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CF75E" w14:textId="77777777" w:rsidR="00B14970" w:rsidRDefault="00B14970" w:rsidP="00B14970">
      <w:pPr>
        <w:pStyle w:val="Caption"/>
      </w:pPr>
      <w:bookmarkStart w:id="0" w:name="_Ref302225080"/>
      <w:bookmarkStart w:id="1" w:name="_Ref302225073"/>
      <w:r>
        <w:t>S</w:t>
      </w:r>
      <w:r>
        <w:t>4</w:t>
      </w:r>
      <w:bookmarkStart w:id="2" w:name="_GoBack"/>
      <w:bookmarkEnd w:id="2"/>
      <w:r>
        <w:rPr>
          <w:noProof/>
        </w:rPr>
        <w:t xml:space="preserve"> </w:t>
      </w:r>
      <w:r>
        <w:t>Table</w:t>
      </w:r>
      <w:bookmarkEnd w:id="0"/>
      <w:r>
        <w:t>: Comparison of distribution models for Tropical Montane Cloud Forests</w:t>
      </w:r>
      <w:bookmarkEnd w:id="1"/>
      <w:r>
        <w:t xml:space="preserve"> </w:t>
      </w:r>
    </w:p>
    <w:tbl>
      <w:tblPr>
        <w:tblW w:w="0" w:type="auto"/>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1587"/>
        <w:gridCol w:w="2582"/>
        <w:gridCol w:w="2070"/>
        <w:gridCol w:w="1378"/>
      </w:tblGrid>
      <w:tr w:rsidR="00B14970" w14:paraId="465D24A8" w14:textId="77777777" w:rsidTr="00393CDC">
        <w:trPr>
          <w:tblCellSpacing w:w="0" w:type="dxa"/>
          <w:jc w:val="center"/>
        </w:trPr>
        <w:tc>
          <w:tcPr>
            <w:tcW w:w="1587" w:type="dxa"/>
            <w:tcBorders>
              <w:top w:val="single" w:sz="2" w:space="0" w:color="auto"/>
              <w:left w:val="single" w:sz="2" w:space="0" w:color="auto"/>
              <w:bottom w:val="single" w:sz="4" w:space="0" w:color="808080" w:themeColor="background1" w:themeShade="80"/>
              <w:right w:val="single" w:sz="4" w:space="0" w:color="808080" w:themeColor="background1" w:themeShade="80"/>
            </w:tcBorders>
          </w:tcPr>
          <w:p w14:paraId="0D4AB70E" w14:textId="77777777" w:rsidR="00B14970" w:rsidRPr="006E478F" w:rsidRDefault="00B14970" w:rsidP="00393CDC">
            <w:pPr>
              <w:rPr>
                <w:b/>
                <w:sz w:val="18"/>
                <w:szCs w:val="18"/>
              </w:rPr>
            </w:pPr>
            <w:r>
              <w:rPr>
                <w:b/>
                <w:sz w:val="18"/>
                <w:szCs w:val="18"/>
              </w:rPr>
              <w:t>Group</w:t>
            </w:r>
          </w:p>
        </w:tc>
        <w:tc>
          <w:tcPr>
            <w:tcW w:w="2582"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065D48C4" w14:textId="77777777" w:rsidR="00B14970" w:rsidRPr="006E478F" w:rsidRDefault="00B14970" w:rsidP="00393CDC">
            <w:pPr>
              <w:rPr>
                <w:b/>
                <w:sz w:val="18"/>
                <w:szCs w:val="18"/>
              </w:rPr>
            </w:pPr>
            <w:r w:rsidRPr="006E478F">
              <w:rPr>
                <w:b/>
                <w:sz w:val="18"/>
                <w:szCs w:val="18"/>
              </w:rPr>
              <w:t> Term</w:t>
            </w:r>
          </w:p>
        </w:tc>
        <w:tc>
          <w:tcPr>
            <w:tcW w:w="207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43BD2EEA" w14:textId="77777777" w:rsidR="00B14970" w:rsidRPr="006E478F" w:rsidRDefault="00B14970" w:rsidP="00393CDC">
            <w:pPr>
              <w:rPr>
                <w:b/>
                <w:sz w:val="18"/>
                <w:szCs w:val="18"/>
              </w:rPr>
            </w:pPr>
            <w:r w:rsidRPr="006E478F">
              <w:rPr>
                <w:b/>
                <w:sz w:val="18"/>
                <w:szCs w:val="18"/>
              </w:rPr>
              <w:t>Interpolated Climate</w:t>
            </w:r>
          </w:p>
        </w:tc>
        <w:tc>
          <w:tcPr>
            <w:tcW w:w="1378" w:type="dxa"/>
            <w:tcBorders>
              <w:top w:val="single" w:sz="2" w:space="0" w:color="auto"/>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hideMark/>
          </w:tcPr>
          <w:p w14:paraId="4BBDAB30" w14:textId="77777777" w:rsidR="00B14970" w:rsidRPr="006E478F" w:rsidRDefault="00B14970" w:rsidP="00393CDC">
            <w:pPr>
              <w:rPr>
                <w:b/>
                <w:sz w:val="18"/>
                <w:szCs w:val="18"/>
              </w:rPr>
            </w:pPr>
            <w:r w:rsidRPr="006E478F">
              <w:rPr>
                <w:b/>
                <w:sz w:val="18"/>
                <w:szCs w:val="18"/>
              </w:rPr>
              <w:t>Cloud Product</w:t>
            </w:r>
          </w:p>
        </w:tc>
      </w:tr>
      <w:tr w:rsidR="00B14970" w14:paraId="56845667" w14:textId="77777777" w:rsidTr="00393CDC">
        <w:trPr>
          <w:tblCellSpacing w:w="0" w:type="dxa"/>
          <w:jc w:val="center"/>
        </w:trPr>
        <w:tc>
          <w:tcPr>
            <w:tcW w:w="1587" w:type="dxa"/>
            <w:vMerge w:val="restart"/>
            <w:tcBorders>
              <w:top w:val="single" w:sz="4" w:space="0" w:color="808080" w:themeColor="background1" w:themeShade="80"/>
              <w:left w:val="single" w:sz="2" w:space="0" w:color="auto"/>
              <w:right w:val="single" w:sz="4" w:space="0" w:color="808080" w:themeColor="background1" w:themeShade="80"/>
            </w:tcBorders>
          </w:tcPr>
          <w:p w14:paraId="7E542129" w14:textId="77777777" w:rsidR="00B14970" w:rsidRPr="006E478F" w:rsidRDefault="00B14970" w:rsidP="00393CDC">
            <w:pPr>
              <w:rPr>
                <w:sz w:val="18"/>
                <w:szCs w:val="18"/>
              </w:rPr>
            </w:pPr>
            <w:r>
              <w:rPr>
                <w:sz w:val="18"/>
                <w:szCs w:val="18"/>
              </w:rPr>
              <w:t>Intercept and Elevation</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7C8923D1" w14:textId="77777777" w:rsidR="00B14970" w:rsidRPr="006E478F" w:rsidRDefault="00B14970" w:rsidP="00393CDC">
            <w:pPr>
              <w:rPr>
                <w:sz w:val="18"/>
                <w:szCs w:val="18"/>
              </w:rPr>
            </w:pPr>
            <w:r w:rsidRPr="006E478F">
              <w:rPr>
                <w:sz w:val="18"/>
                <w:szCs w:val="18"/>
              </w:rPr>
              <w:t>(Intercept)</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343007EE" w14:textId="77777777" w:rsidR="00B14970" w:rsidRPr="006E478F" w:rsidRDefault="00B14970" w:rsidP="00393CDC">
            <w:pPr>
              <w:rPr>
                <w:sz w:val="18"/>
                <w:szCs w:val="18"/>
              </w:rPr>
            </w:pPr>
            <w:r w:rsidRPr="006E478F">
              <w:rPr>
                <w:sz w:val="18"/>
                <w:szCs w:val="18"/>
              </w:rPr>
              <w:t>-11.96 (0.15)</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31AD0ACE" w14:textId="77777777" w:rsidR="00B14970" w:rsidRPr="006E478F" w:rsidRDefault="00B14970" w:rsidP="00393CDC">
            <w:pPr>
              <w:rPr>
                <w:sz w:val="18"/>
                <w:szCs w:val="18"/>
              </w:rPr>
            </w:pPr>
            <w:r w:rsidRPr="006E478F">
              <w:rPr>
                <w:sz w:val="18"/>
                <w:szCs w:val="18"/>
              </w:rPr>
              <w:t>-12.95 (0.24)</w:t>
            </w:r>
            <w:r w:rsidRPr="006E478F">
              <w:rPr>
                <w:sz w:val="18"/>
                <w:szCs w:val="18"/>
                <w:vertAlign w:val="superscript"/>
              </w:rPr>
              <w:t>***</w:t>
            </w:r>
          </w:p>
        </w:tc>
      </w:tr>
      <w:tr w:rsidR="00B14970" w14:paraId="184EED5F"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2DF397E4"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7516E3EF" w14:textId="77777777" w:rsidR="00B14970" w:rsidRPr="006E478F" w:rsidRDefault="00B14970" w:rsidP="00393CDC">
            <w:pPr>
              <w:rPr>
                <w:sz w:val="18"/>
                <w:szCs w:val="18"/>
              </w:rPr>
            </w:pPr>
            <w:r w:rsidRPr="006E478F">
              <w:rPr>
                <w:sz w:val="18"/>
                <w:szCs w:val="18"/>
              </w:rPr>
              <w:t>Elevation</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0A334D6D" w14:textId="77777777" w:rsidR="00B14970" w:rsidRPr="006E478F" w:rsidRDefault="00B14970" w:rsidP="00393CDC">
            <w:pPr>
              <w:rPr>
                <w:sz w:val="18"/>
                <w:szCs w:val="18"/>
              </w:rPr>
            </w:pPr>
            <w:r w:rsidRPr="006E478F">
              <w:rPr>
                <w:sz w:val="18"/>
                <w:szCs w:val="18"/>
              </w:rPr>
              <w:t>1.27 (0.23)</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6D2DFCFA" w14:textId="77777777" w:rsidR="00B14970" w:rsidRPr="006E478F" w:rsidRDefault="00B14970" w:rsidP="00393CDC">
            <w:pPr>
              <w:rPr>
                <w:sz w:val="18"/>
                <w:szCs w:val="18"/>
              </w:rPr>
            </w:pPr>
            <w:r w:rsidRPr="006E478F">
              <w:rPr>
                <w:sz w:val="18"/>
                <w:szCs w:val="18"/>
              </w:rPr>
              <w:t>1.79 (0.08)</w:t>
            </w:r>
            <w:r w:rsidRPr="006E478F">
              <w:rPr>
                <w:sz w:val="18"/>
                <w:szCs w:val="18"/>
                <w:vertAlign w:val="superscript"/>
              </w:rPr>
              <w:t>***</w:t>
            </w:r>
          </w:p>
        </w:tc>
      </w:tr>
      <w:tr w:rsidR="00B14970" w14:paraId="4A9E5056" w14:textId="77777777" w:rsidTr="00393CDC">
        <w:trPr>
          <w:tblCellSpacing w:w="0" w:type="dxa"/>
          <w:jc w:val="center"/>
        </w:trPr>
        <w:tc>
          <w:tcPr>
            <w:tcW w:w="1587" w:type="dxa"/>
            <w:vMerge/>
            <w:tcBorders>
              <w:left w:val="single" w:sz="2" w:space="0" w:color="auto"/>
              <w:bottom w:val="single" w:sz="4" w:space="0" w:color="808080" w:themeColor="background1" w:themeShade="80"/>
              <w:right w:val="single" w:sz="4" w:space="0" w:color="808080" w:themeColor="background1" w:themeShade="80"/>
            </w:tcBorders>
          </w:tcPr>
          <w:p w14:paraId="26F51461"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231B8FED" w14:textId="77777777" w:rsidR="00B14970" w:rsidRPr="006E478F" w:rsidRDefault="00B14970" w:rsidP="00393CDC">
            <w:pPr>
              <w:rPr>
                <w:sz w:val="18"/>
                <w:szCs w:val="18"/>
              </w:rPr>
            </w:pPr>
            <w:r w:rsidRPr="006E478F">
              <w:rPr>
                <w:sz w:val="18"/>
                <w:szCs w:val="18"/>
              </w:rPr>
              <w:t>Elevation</w:t>
            </w:r>
            <w:r w:rsidRPr="006E478F">
              <w:rPr>
                <w:sz w:val="18"/>
                <w:szCs w:val="18"/>
                <w:vertAlign w:val="superscript"/>
              </w:rPr>
              <w:t>2</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736D43E5" w14:textId="77777777" w:rsidR="00B14970" w:rsidRPr="006E478F" w:rsidRDefault="00B14970" w:rsidP="00393CDC">
            <w:pPr>
              <w:rPr>
                <w:sz w:val="18"/>
                <w:szCs w:val="18"/>
              </w:rPr>
            </w:pPr>
            <w:r w:rsidRPr="006E478F">
              <w:rPr>
                <w:sz w:val="18"/>
                <w:szCs w:val="18"/>
              </w:rPr>
              <w:t>-0.44 (0.05)</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41D2AF5D" w14:textId="77777777" w:rsidR="00B14970" w:rsidRPr="006E478F" w:rsidRDefault="00B14970" w:rsidP="00393CDC">
            <w:pPr>
              <w:rPr>
                <w:sz w:val="18"/>
                <w:szCs w:val="18"/>
              </w:rPr>
            </w:pPr>
            <w:r w:rsidRPr="006E478F">
              <w:rPr>
                <w:sz w:val="18"/>
                <w:szCs w:val="18"/>
              </w:rPr>
              <w:t>-0.29 (0.02)</w:t>
            </w:r>
            <w:r w:rsidRPr="006E478F">
              <w:rPr>
                <w:sz w:val="18"/>
                <w:szCs w:val="18"/>
                <w:vertAlign w:val="superscript"/>
              </w:rPr>
              <w:t>***</w:t>
            </w:r>
          </w:p>
        </w:tc>
      </w:tr>
      <w:tr w:rsidR="00B14970" w14:paraId="713A5878" w14:textId="77777777" w:rsidTr="00393CDC">
        <w:trPr>
          <w:tblCellSpacing w:w="0" w:type="dxa"/>
          <w:jc w:val="center"/>
        </w:trPr>
        <w:tc>
          <w:tcPr>
            <w:tcW w:w="1587" w:type="dxa"/>
            <w:vMerge w:val="restart"/>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367CCD02" w14:textId="77777777" w:rsidR="00B14970" w:rsidRPr="006E478F" w:rsidRDefault="00B14970" w:rsidP="00393CDC">
            <w:pPr>
              <w:rPr>
                <w:sz w:val="18"/>
                <w:szCs w:val="18"/>
              </w:rPr>
            </w:pPr>
            <w:r w:rsidRPr="006E478F">
              <w:rPr>
                <w:sz w:val="18"/>
                <w:szCs w:val="18"/>
              </w:rPr>
              <w:t>Interpolated Climate</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6CD1906D" w14:textId="77777777" w:rsidR="00B14970" w:rsidRPr="006E478F" w:rsidRDefault="00B14970" w:rsidP="00393CDC">
            <w:pPr>
              <w:rPr>
                <w:sz w:val="18"/>
                <w:szCs w:val="18"/>
              </w:rPr>
            </w:pPr>
            <w:r w:rsidRPr="006E478F">
              <w:rPr>
                <w:sz w:val="18"/>
                <w:szCs w:val="18"/>
              </w:rPr>
              <w:t>MAT</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3E9EA979" w14:textId="77777777" w:rsidR="00B14970" w:rsidRPr="006E478F" w:rsidRDefault="00B14970" w:rsidP="00393CDC">
            <w:pPr>
              <w:rPr>
                <w:sz w:val="18"/>
                <w:szCs w:val="18"/>
              </w:rPr>
            </w:pPr>
            <w:r w:rsidRPr="006E478F">
              <w:rPr>
                <w:sz w:val="18"/>
                <w:szCs w:val="18"/>
              </w:rPr>
              <w:t>-1.06 (0.26)</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67D854CE" w14:textId="77777777" w:rsidR="00B14970" w:rsidRPr="006E478F" w:rsidRDefault="00B14970" w:rsidP="00393CDC">
            <w:pPr>
              <w:rPr>
                <w:sz w:val="18"/>
                <w:szCs w:val="18"/>
              </w:rPr>
            </w:pPr>
          </w:p>
        </w:tc>
      </w:tr>
      <w:tr w:rsidR="00B14970" w14:paraId="0EEA73BC" w14:textId="77777777" w:rsidTr="00393CDC">
        <w:trPr>
          <w:tblCellSpacing w:w="0" w:type="dxa"/>
          <w:jc w:val="center"/>
        </w:trPr>
        <w:tc>
          <w:tcPr>
            <w:tcW w:w="1587" w:type="dxa"/>
            <w:vMerge/>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6660FA8A"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31785F38" w14:textId="77777777" w:rsidR="00B14970" w:rsidRPr="006E478F" w:rsidRDefault="00B14970" w:rsidP="00393CDC">
            <w:pPr>
              <w:rPr>
                <w:sz w:val="18"/>
                <w:szCs w:val="18"/>
              </w:rPr>
            </w:pPr>
            <w:r w:rsidRPr="006E478F">
              <w:rPr>
                <w:sz w:val="18"/>
                <w:szCs w:val="18"/>
              </w:rPr>
              <w:t>MAT</w:t>
            </w:r>
            <w:r w:rsidRPr="006E478F">
              <w:rPr>
                <w:sz w:val="18"/>
                <w:szCs w:val="18"/>
                <w:vertAlign w:val="superscript"/>
              </w:rPr>
              <w:t>2</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71E9AE13" w14:textId="77777777" w:rsidR="00B14970" w:rsidRPr="006E478F" w:rsidRDefault="00B14970" w:rsidP="00393CDC">
            <w:pPr>
              <w:rPr>
                <w:sz w:val="18"/>
                <w:szCs w:val="18"/>
              </w:rPr>
            </w:pPr>
            <w:r w:rsidRPr="006E478F">
              <w:rPr>
                <w:sz w:val="18"/>
                <w:szCs w:val="18"/>
              </w:rPr>
              <w:t>0.14 (0.06)</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2CC7FABA" w14:textId="77777777" w:rsidR="00B14970" w:rsidRPr="006E478F" w:rsidRDefault="00B14970" w:rsidP="00393CDC">
            <w:pPr>
              <w:rPr>
                <w:sz w:val="18"/>
                <w:szCs w:val="18"/>
              </w:rPr>
            </w:pPr>
          </w:p>
        </w:tc>
      </w:tr>
      <w:tr w:rsidR="00B14970" w14:paraId="77038AC6" w14:textId="77777777" w:rsidTr="00393CDC">
        <w:trPr>
          <w:tblCellSpacing w:w="0" w:type="dxa"/>
          <w:jc w:val="center"/>
        </w:trPr>
        <w:tc>
          <w:tcPr>
            <w:tcW w:w="1587" w:type="dxa"/>
            <w:vMerge/>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5366B5AF"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2654D1DE" w14:textId="77777777" w:rsidR="00B14970" w:rsidRPr="006E478F" w:rsidRDefault="00B14970" w:rsidP="00393CDC">
            <w:pPr>
              <w:rPr>
                <w:sz w:val="18"/>
                <w:szCs w:val="18"/>
              </w:rPr>
            </w:pPr>
            <w:r w:rsidRPr="006E478F">
              <w:rPr>
                <w:sz w:val="18"/>
                <w:szCs w:val="18"/>
              </w:rPr>
              <w:t>MAP</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1F03FC94" w14:textId="77777777" w:rsidR="00B14970" w:rsidRPr="006E478F" w:rsidRDefault="00B14970" w:rsidP="00393CDC">
            <w:pPr>
              <w:rPr>
                <w:sz w:val="18"/>
                <w:szCs w:val="18"/>
              </w:rPr>
            </w:pPr>
            <w:r w:rsidRPr="006E478F">
              <w:rPr>
                <w:sz w:val="18"/>
                <w:szCs w:val="18"/>
              </w:rPr>
              <w:t>2.24 (0.20)</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76FD85D1" w14:textId="77777777" w:rsidR="00B14970" w:rsidRPr="006E478F" w:rsidRDefault="00B14970" w:rsidP="00393CDC">
            <w:pPr>
              <w:rPr>
                <w:sz w:val="18"/>
                <w:szCs w:val="18"/>
              </w:rPr>
            </w:pPr>
          </w:p>
        </w:tc>
      </w:tr>
      <w:tr w:rsidR="00B14970" w14:paraId="1FAF44E8" w14:textId="77777777" w:rsidTr="00393CDC">
        <w:trPr>
          <w:tblCellSpacing w:w="0" w:type="dxa"/>
          <w:jc w:val="center"/>
        </w:trPr>
        <w:tc>
          <w:tcPr>
            <w:tcW w:w="1587" w:type="dxa"/>
            <w:vMerge/>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5DEFC4D7"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525F5022" w14:textId="77777777" w:rsidR="00B14970" w:rsidRPr="006E478F" w:rsidRDefault="00B14970" w:rsidP="00393CDC">
            <w:pPr>
              <w:rPr>
                <w:sz w:val="18"/>
                <w:szCs w:val="18"/>
              </w:rPr>
            </w:pPr>
            <w:r w:rsidRPr="006E478F">
              <w:rPr>
                <w:sz w:val="18"/>
                <w:szCs w:val="18"/>
              </w:rPr>
              <w:t>MAP</w:t>
            </w:r>
            <w:r w:rsidRPr="006E478F">
              <w:rPr>
                <w:sz w:val="18"/>
                <w:szCs w:val="18"/>
                <w:vertAlign w:val="superscript"/>
              </w:rPr>
              <w:t>2</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2D921500" w14:textId="77777777" w:rsidR="00B14970" w:rsidRPr="006E478F" w:rsidRDefault="00B14970" w:rsidP="00393CDC">
            <w:pPr>
              <w:rPr>
                <w:sz w:val="18"/>
                <w:szCs w:val="18"/>
              </w:rPr>
            </w:pPr>
            <w:r w:rsidRPr="006E478F">
              <w:rPr>
                <w:sz w:val="18"/>
                <w:szCs w:val="18"/>
              </w:rPr>
              <w:t>-0.20 (0.04)</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583C6303" w14:textId="77777777" w:rsidR="00B14970" w:rsidRPr="006E478F" w:rsidRDefault="00B14970" w:rsidP="00393CDC">
            <w:pPr>
              <w:rPr>
                <w:sz w:val="18"/>
                <w:szCs w:val="18"/>
              </w:rPr>
            </w:pPr>
          </w:p>
        </w:tc>
      </w:tr>
      <w:tr w:rsidR="00B14970" w14:paraId="2F760620" w14:textId="77777777" w:rsidTr="00393CDC">
        <w:trPr>
          <w:tblCellSpacing w:w="0" w:type="dxa"/>
          <w:jc w:val="center"/>
        </w:trPr>
        <w:tc>
          <w:tcPr>
            <w:tcW w:w="1587" w:type="dxa"/>
            <w:vMerge/>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21F33174"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09BCF953" w14:textId="77777777" w:rsidR="00B14970" w:rsidRPr="006E478F" w:rsidRDefault="00B14970" w:rsidP="00393CDC">
            <w:pPr>
              <w:rPr>
                <w:sz w:val="18"/>
                <w:szCs w:val="18"/>
              </w:rPr>
            </w:pPr>
            <w:r w:rsidRPr="006E478F">
              <w:rPr>
                <w:sz w:val="18"/>
                <w:szCs w:val="18"/>
              </w:rPr>
              <w:t>Precipitation Seasonality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31B591E3" w14:textId="77777777" w:rsidR="00B14970" w:rsidRPr="006E478F" w:rsidRDefault="00B14970" w:rsidP="00393CDC">
            <w:pPr>
              <w:rPr>
                <w:sz w:val="18"/>
                <w:szCs w:val="18"/>
              </w:rPr>
            </w:pPr>
            <w:r w:rsidRPr="006E478F">
              <w:rPr>
                <w:sz w:val="18"/>
                <w:szCs w:val="18"/>
              </w:rPr>
              <w:t>-0.28 (0.08)</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1DAA75CD" w14:textId="77777777" w:rsidR="00B14970" w:rsidRPr="006E478F" w:rsidRDefault="00B14970" w:rsidP="00393CDC">
            <w:pPr>
              <w:rPr>
                <w:sz w:val="18"/>
                <w:szCs w:val="18"/>
              </w:rPr>
            </w:pPr>
          </w:p>
        </w:tc>
      </w:tr>
      <w:tr w:rsidR="00B14970" w14:paraId="2DEC9689" w14:textId="77777777" w:rsidTr="00393CDC">
        <w:trPr>
          <w:tblCellSpacing w:w="0" w:type="dxa"/>
          <w:jc w:val="center"/>
        </w:trPr>
        <w:tc>
          <w:tcPr>
            <w:tcW w:w="1587" w:type="dxa"/>
            <w:vMerge w:val="restart"/>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5DD5CC7F" w14:textId="77777777" w:rsidR="00B14970" w:rsidRPr="006E478F" w:rsidRDefault="00B14970" w:rsidP="00393CDC">
            <w:pPr>
              <w:rPr>
                <w:sz w:val="18"/>
                <w:szCs w:val="18"/>
              </w:rPr>
            </w:pPr>
            <w:r w:rsidRPr="006E478F">
              <w:rPr>
                <w:sz w:val="18"/>
                <w:szCs w:val="18"/>
              </w:rPr>
              <w:t>Cloud Product</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6E12F9ED" w14:textId="77777777" w:rsidR="00B14970" w:rsidRPr="006E478F" w:rsidRDefault="00B14970" w:rsidP="00393CDC">
            <w:pPr>
              <w:rPr>
                <w:sz w:val="18"/>
                <w:szCs w:val="18"/>
              </w:rPr>
            </w:pPr>
            <w:r w:rsidRPr="006E478F">
              <w:rPr>
                <w:sz w:val="18"/>
                <w:szCs w:val="18"/>
              </w:rPr>
              <w:t>Inter</w:t>
            </w:r>
            <w:r>
              <w:rPr>
                <w:sz w:val="18"/>
                <w:szCs w:val="18"/>
              </w:rPr>
              <w:t>-</w:t>
            </w:r>
            <w:r w:rsidRPr="006E478F">
              <w:rPr>
                <w:sz w:val="18"/>
                <w:szCs w:val="18"/>
              </w:rPr>
              <w:t>annual cloud variability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690AF879" w14:textId="77777777" w:rsidR="00B14970" w:rsidRPr="006E478F" w:rsidRDefault="00B14970" w:rsidP="00393CDC">
            <w:pPr>
              <w:rPr>
                <w:sz w:val="18"/>
                <w:szCs w:val="18"/>
              </w:rPr>
            </w:pP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64EB3211" w14:textId="77777777" w:rsidR="00B14970" w:rsidRPr="006E478F" w:rsidRDefault="00B14970" w:rsidP="00393CDC">
            <w:pPr>
              <w:rPr>
                <w:sz w:val="18"/>
                <w:szCs w:val="18"/>
              </w:rPr>
            </w:pPr>
            <w:r w:rsidRPr="006E478F">
              <w:rPr>
                <w:sz w:val="18"/>
                <w:szCs w:val="18"/>
              </w:rPr>
              <w:t>0.42 (0.07)</w:t>
            </w:r>
            <w:r w:rsidRPr="006E478F">
              <w:rPr>
                <w:sz w:val="18"/>
                <w:szCs w:val="18"/>
                <w:vertAlign w:val="superscript"/>
              </w:rPr>
              <w:t>***</w:t>
            </w:r>
          </w:p>
        </w:tc>
      </w:tr>
      <w:tr w:rsidR="00B14970" w14:paraId="1C98F592" w14:textId="77777777" w:rsidTr="00393CDC">
        <w:trPr>
          <w:tblCellSpacing w:w="0" w:type="dxa"/>
          <w:jc w:val="center"/>
        </w:trPr>
        <w:tc>
          <w:tcPr>
            <w:tcW w:w="1587" w:type="dxa"/>
            <w:vMerge/>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6857CFDF"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0BCE9081" w14:textId="77777777" w:rsidR="00B14970" w:rsidRPr="006E478F" w:rsidRDefault="00B14970" w:rsidP="00393CDC">
            <w:pPr>
              <w:rPr>
                <w:sz w:val="18"/>
                <w:szCs w:val="18"/>
              </w:rPr>
            </w:pPr>
            <w:r w:rsidRPr="006E478F">
              <w:rPr>
                <w:sz w:val="18"/>
                <w:szCs w:val="18"/>
              </w:rPr>
              <w:t>Intra-annual cloud variability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0E8A6D53" w14:textId="77777777" w:rsidR="00B14970" w:rsidRPr="006E478F" w:rsidRDefault="00B14970" w:rsidP="00393CDC">
            <w:pPr>
              <w:rPr>
                <w:sz w:val="18"/>
                <w:szCs w:val="18"/>
              </w:rPr>
            </w:pP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6F90AF10" w14:textId="77777777" w:rsidR="00B14970" w:rsidRPr="006E478F" w:rsidRDefault="00B14970" w:rsidP="00393CDC">
            <w:pPr>
              <w:rPr>
                <w:sz w:val="18"/>
                <w:szCs w:val="18"/>
              </w:rPr>
            </w:pPr>
            <w:r w:rsidRPr="006E478F">
              <w:rPr>
                <w:sz w:val="18"/>
                <w:szCs w:val="18"/>
              </w:rPr>
              <w:t>0.20 (0.10)</w:t>
            </w:r>
            <w:r w:rsidRPr="006E478F">
              <w:rPr>
                <w:sz w:val="18"/>
                <w:szCs w:val="18"/>
                <w:vertAlign w:val="superscript"/>
              </w:rPr>
              <w:t>*</w:t>
            </w:r>
          </w:p>
        </w:tc>
      </w:tr>
      <w:tr w:rsidR="00B14970" w14:paraId="76D23F61" w14:textId="77777777" w:rsidTr="00393CDC">
        <w:trPr>
          <w:tblCellSpacing w:w="0" w:type="dxa"/>
          <w:jc w:val="center"/>
        </w:trPr>
        <w:tc>
          <w:tcPr>
            <w:tcW w:w="1587" w:type="dxa"/>
            <w:vMerge/>
            <w:tcBorders>
              <w:top w:val="single" w:sz="4" w:space="0" w:color="808080" w:themeColor="background1" w:themeShade="80"/>
              <w:left w:val="single" w:sz="2" w:space="0" w:color="auto"/>
              <w:bottom w:val="single" w:sz="4" w:space="0" w:color="808080" w:themeColor="background1" w:themeShade="80"/>
              <w:right w:val="single" w:sz="4" w:space="0" w:color="808080" w:themeColor="background1" w:themeShade="80"/>
            </w:tcBorders>
          </w:tcPr>
          <w:p w14:paraId="3311A626"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471FDDEA" w14:textId="77777777" w:rsidR="00B14970" w:rsidRPr="006E478F" w:rsidRDefault="00B14970" w:rsidP="00393CDC">
            <w:pPr>
              <w:rPr>
                <w:sz w:val="18"/>
                <w:szCs w:val="18"/>
              </w:rPr>
            </w:pPr>
            <w:r w:rsidRPr="006E478F">
              <w:rPr>
                <w:sz w:val="18"/>
                <w:szCs w:val="18"/>
              </w:rPr>
              <w:t>Mean annual cloud frequency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2C91393E" w14:textId="77777777" w:rsidR="00B14970" w:rsidRPr="006E478F" w:rsidRDefault="00B14970" w:rsidP="00393CDC">
            <w:pPr>
              <w:rPr>
                <w:sz w:val="18"/>
                <w:szCs w:val="18"/>
              </w:rPr>
            </w:pP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5A4DD431" w14:textId="77777777" w:rsidR="00B14970" w:rsidRPr="006E478F" w:rsidRDefault="00B14970" w:rsidP="00393CDC">
            <w:pPr>
              <w:rPr>
                <w:sz w:val="18"/>
                <w:szCs w:val="18"/>
              </w:rPr>
            </w:pPr>
            <w:r w:rsidRPr="006E478F">
              <w:rPr>
                <w:sz w:val="18"/>
                <w:szCs w:val="18"/>
              </w:rPr>
              <w:t>2.88 (0.24)</w:t>
            </w:r>
            <w:r w:rsidRPr="006E478F">
              <w:rPr>
                <w:sz w:val="18"/>
                <w:szCs w:val="18"/>
                <w:vertAlign w:val="superscript"/>
              </w:rPr>
              <w:t>***</w:t>
            </w:r>
          </w:p>
        </w:tc>
      </w:tr>
      <w:tr w:rsidR="00B14970" w14:paraId="090871B7" w14:textId="77777777" w:rsidTr="00393CDC">
        <w:trPr>
          <w:tblCellSpacing w:w="0" w:type="dxa"/>
          <w:jc w:val="center"/>
        </w:trPr>
        <w:tc>
          <w:tcPr>
            <w:tcW w:w="1587" w:type="dxa"/>
            <w:vMerge w:val="restart"/>
            <w:tcBorders>
              <w:top w:val="single" w:sz="4" w:space="0" w:color="808080" w:themeColor="background1" w:themeShade="80"/>
              <w:left w:val="single" w:sz="2" w:space="0" w:color="auto"/>
              <w:right w:val="single" w:sz="4" w:space="0" w:color="808080" w:themeColor="background1" w:themeShade="80"/>
            </w:tcBorders>
          </w:tcPr>
          <w:p w14:paraId="7AD6556F" w14:textId="77777777" w:rsidR="00B14970" w:rsidRPr="006E478F" w:rsidRDefault="00B14970" w:rsidP="00393CDC">
            <w:pPr>
              <w:rPr>
                <w:sz w:val="18"/>
                <w:szCs w:val="18"/>
              </w:rPr>
            </w:pPr>
            <w:r w:rsidRPr="006E478F">
              <w:rPr>
                <w:sz w:val="18"/>
                <w:szCs w:val="18"/>
              </w:rPr>
              <w:t>Regions</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0B98846E" w14:textId="77777777" w:rsidR="00B14970" w:rsidRPr="006E478F" w:rsidRDefault="00B14970" w:rsidP="00393CDC">
            <w:pPr>
              <w:rPr>
                <w:sz w:val="18"/>
                <w:szCs w:val="18"/>
              </w:rPr>
            </w:pPr>
            <w:r w:rsidRPr="006E478F">
              <w:rPr>
                <w:sz w:val="18"/>
                <w:szCs w:val="18"/>
              </w:rPr>
              <w:t>Americas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751D223C" w14:textId="77777777" w:rsidR="00B14970" w:rsidRPr="006E478F" w:rsidRDefault="00B14970" w:rsidP="00393CDC">
            <w:pPr>
              <w:rPr>
                <w:sz w:val="18"/>
                <w:szCs w:val="18"/>
              </w:rPr>
            </w:pPr>
            <w:r w:rsidRPr="006E478F">
              <w:rPr>
                <w:sz w:val="18"/>
                <w:szCs w:val="18"/>
              </w:rPr>
              <w:t>0.67 (0.17)</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79B7536D" w14:textId="77777777" w:rsidR="00B14970" w:rsidRPr="006E478F" w:rsidRDefault="00B14970" w:rsidP="00393CDC">
            <w:pPr>
              <w:rPr>
                <w:sz w:val="18"/>
                <w:szCs w:val="18"/>
              </w:rPr>
            </w:pPr>
            <w:r w:rsidRPr="006E478F">
              <w:rPr>
                <w:sz w:val="18"/>
                <w:szCs w:val="18"/>
              </w:rPr>
              <w:t>1.25 (0.27)</w:t>
            </w:r>
            <w:r w:rsidRPr="006E478F">
              <w:rPr>
                <w:sz w:val="18"/>
                <w:szCs w:val="18"/>
                <w:vertAlign w:val="superscript"/>
              </w:rPr>
              <w:t>***</w:t>
            </w:r>
          </w:p>
        </w:tc>
      </w:tr>
      <w:tr w:rsidR="00B14970" w14:paraId="01B63402" w14:textId="77777777" w:rsidTr="00393CDC">
        <w:trPr>
          <w:tblCellSpacing w:w="0" w:type="dxa"/>
          <w:jc w:val="center"/>
        </w:trPr>
        <w:tc>
          <w:tcPr>
            <w:tcW w:w="1587" w:type="dxa"/>
            <w:vMerge/>
            <w:tcBorders>
              <w:left w:val="single" w:sz="2" w:space="0" w:color="auto"/>
              <w:bottom w:val="single" w:sz="4" w:space="0" w:color="808080" w:themeColor="background1" w:themeShade="80"/>
              <w:right w:val="single" w:sz="4" w:space="0" w:color="808080" w:themeColor="background1" w:themeShade="80"/>
            </w:tcBorders>
          </w:tcPr>
          <w:p w14:paraId="23FF295D"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0EE28AE3" w14:textId="77777777" w:rsidR="00B14970" w:rsidRPr="006E478F" w:rsidRDefault="00B14970" w:rsidP="00393CDC">
            <w:pPr>
              <w:rPr>
                <w:sz w:val="18"/>
                <w:szCs w:val="18"/>
              </w:rPr>
            </w:pPr>
            <w:r w:rsidRPr="006E478F">
              <w:rPr>
                <w:sz w:val="18"/>
                <w:szCs w:val="18"/>
              </w:rPr>
              <w:t>Asia Pacific</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23F6DF7D" w14:textId="77777777" w:rsidR="00B14970" w:rsidRPr="006E478F" w:rsidRDefault="00B14970" w:rsidP="00393CDC">
            <w:pPr>
              <w:rPr>
                <w:sz w:val="18"/>
                <w:szCs w:val="18"/>
              </w:rPr>
            </w:pPr>
            <w:r w:rsidRPr="006E478F">
              <w:rPr>
                <w:sz w:val="18"/>
                <w:szCs w:val="18"/>
              </w:rPr>
              <w:t>0.66 (0.24)</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50E87AA7" w14:textId="77777777" w:rsidR="00B14970" w:rsidRPr="006E478F" w:rsidRDefault="00B14970" w:rsidP="00393CDC">
            <w:pPr>
              <w:rPr>
                <w:sz w:val="18"/>
                <w:szCs w:val="18"/>
              </w:rPr>
            </w:pPr>
            <w:r w:rsidRPr="006E478F">
              <w:rPr>
                <w:sz w:val="18"/>
                <w:szCs w:val="18"/>
              </w:rPr>
              <w:t>-1.02 (0.54)</w:t>
            </w:r>
          </w:p>
        </w:tc>
      </w:tr>
      <w:tr w:rsidR="00B14970" w14:paraId="7CEA65EA" w14:textId="77777777" w:rsidTr="00393CDC">
        <w:trPr>
          <w:tblCellSpacing w:w="0" w:type="dxa"/>
          <w:jc w:val="center"/>
        </w:trPr>
        <w:tc>
          <w:tcPr>
            <w:tcW w:w="1587" w:type="dxa"/>
            <w:vMerge w:val="restart"/>
            <w:tcBorders>
              <w:top w:val="single" w:sz="4" w:space="0" w:color="808080" w:themeColor="background1" w:themeShade="80"/>
              <w:left w:val="single" w:sz="2" w:space="0" w:color="auto"/>
              <w:right w:val="single" w:sz="4" w:space="0" w:color="808080" w:themeColor="background1" w:themeShade="80"/>
            </w:tcBorders>
          </w:tcPr>
          <w:p w14:paraId="45F5F450" w14:textId="77777777" w:rsidR="00B14970" w:rsidRPr="006E478F" w:rsidRDefault="00B14970" w:rsidP="00393CDC">
            <w:pPr>
              <w:rPr>
                <w:sz w:val="18"/>
                <w:szCs w:val="18"/>
              </w:rPr>
            </w:pPr>
            <w:r w:rsidRPr="006E478F">
              <w:rPr>
                <w:sz w:val="18"/>
                <w:szCs w:val="18"/>
              </w:rPr>
              <w:t>Interactions</w:t>
            </w: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07AA74C3" w14:textId="77777777" w:rsidR="00B14970" w:rsidRPr="006E478F" w:rsidRDefault="00B14970" w:rsidP="00393CDC">
            <w:pPr>
              <w:rPr>
                <w:sz w:val="18"/>
                <w:szCs w:val="18"/>
              </w:rPr>
            </w:pPr>
            <w:r w:rsidRPr="006E478F">
              <w:rPr>
                <w:sz w:val="18"/>
                <w:szCs w:val="18"/>
              </w:rPr>
              <w:t>MAP: Americas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314E2333" w14:textId="77777777" w:rsidR="00B14970" w:rsidRPr="006E478F" w:rsidRDefault="00B14970" w:rsidP="00393CDC">
            <w:pPr>
              <w:rPr>
                <w:sz w:val="18"/>
                <w:szCs w:val="18"/>
              </w:rPr>
            </w:pPr>
            <w:r w:rsidRPr="006E478F">
              <w:rPr>
                <w:sz w:val="18"/>
                <w:szCs w:val="18"/>
              </w:rPr>
              <w:t>-1.08 (0.21)</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1DA92483" w14:textId="77777777" w:rsidR="00B14970" w:rsidRPr="006E478F" w:rsidRDefault="00B14970" w:rsidP="00393CDC">
            <w:pPr>
              <w:rPr>
                <w:sz w:val="18"/>
                <w:szCs w:val="18"/>
              </w:rPr>
            </w:pPr>
          </w:p>
        </w:tc>
      </w:tr>
      <w:tr w:rsidR="00B14970" w14:paraId="014EBBAD"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4754C847"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1A9438D1" w14:textId="77777777" w:rsidR="00B14970" w:rsidRPr="006E478F" w:rsidRDefault="00B14970" w:rsidP="00393CDC">
            <w:pPr>
              <w:rPr>
                <w:sz w:val="18"/>
                <w:szCs w:val="18"/>
              </w:rPr>
            </w:pPr>
            <w:r w:rsidRPr="006E478F">
              <w:rPr>
                <w:sz w:val="18"/>
                <w:szCs w:val="18"/>
              </w:rPr>
              <w:t>MAP: AsiaPacific</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4354686B" w14:textId="77777777" w:rsidR="00B14970" w:rsidRPr="006E478F" w:rsidRDefault="00B14970" w:rsidP="00393CDC">
            <w:pPr>
              <w:rPr>
                <w:sz w:val="18"/>
                <w:szCs w:val="18"/>
              </w:rPr>
            </w:pPr>
            <w:r w:rsidRPr="006E478F">
              <w:rPr>
                <w:sz w:val="18"/>
                <w:szCs w:val="18"/>
              </w:rPr>
              <w:t>-1.02 (0.23)</w:t>
            </w:r>
            <w:r w:rsidRPr="006E478F">
              <w:rPr>
                <w:sz w:val="18"/>
                <w:szCs w:val="18"/>
                <w:vertAlign w:val="superscript"/>
              </w:rPr>
              <w:t>***</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18369715" w14:textId="77777777" w:rsidR="00B14970" w:rsidRPr="006E478F" w:rsidRDefault="00B14970" w:rsidP="00393CDC">
            <w:pPr>
              <w:rPr>
                <w:sz w:val="18"/>
                <w:szCs w:val="18"/>
              </w:rPr>
            </w:pPr>
          </w:p>
        </w:tc>
      </w:tr>
      <w:tr w:rsidR="00B14970" w14:paraId="1D4434D3"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4482946B"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hideMark/>
          </w:tcPr>
          <w:p w14:paraId="6084AC08" w14:textId="77777777" w:rsidR="00B14970" w:rsidRPr="006E478F" w:rsidRDefault="00B14970" w:rsidP="00393CDC">
            <w:pPr>
              <w:rPr>
                <w:sz w:val="18"/>
                <w:szCs w:val="18"/>
              </w:rPr>
            </w:pPr>
            <w:r w:rsidRPr="006E478F">
              <w:rPr>
                <w:sz w:val="18"/>
                <w:szCs w:val="18"/>
              </w:rPr>
              <w:t>Mean annual cloud: Americas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5CC88812" w14:textId="77777777" w:rsidR="00B14970" w:rsidRPr="006E478F" w:rsidRDefault="00B14970" w:rsidP="00393CDC">
            <w:pPr>
              <w:rPr>
                <w:sz w:val="18"/>
                <w:szCs w:val="18"/>
              </w:rPr>
            </w:pP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1418FA3A" w14:textId="77777777" w:rsidR="00B14970" w:rsidRPr="006E478F" w:rsidRDefault="00B14970" w:rsidP="00393CDC">
            <w:pPr>
              <w:rPr>
                <w:sz w:val="18"/>
                <w:szCs w:val="18"/>
              </w:rPr>
            </w:pPr>
            <w:r w:rsidRPr="006E478F">
              <w:rPr>
                <w:sz w:val="18"/>
                <w:szCs w:val="18"/>
              </w:rPr>
              <w:t>-0.67 (0.22)</w:t>
            </w:r>
            <w:r w:rsidRPr="006E478F">
              <w:rPr>
                <w:sz w:val="18"/>
                <w:szCs w:val="18"/>
                <w:vertAlign w:val="superscript"/>
              </w:rPr>
              <w:t>**</w:t>
            </w:r>
          </w:p>
        </w:tc>
      </w:tr>
      <w:tr w:rsidR="00B14970" w14:paraId="2B8941C4" w14:textId="77777777" w:rsidTr="00393CDC">
        <w:trPr>
          <w:tblCellSpacing w:w="0" w:type="dxa"/>
          <w:jc w:val="center"/>
        </w:trPr>
        <w:tc>
          <w:tcPr>
            <w:tcW w:w="1587" w:type="dxa"/>
            <w:vMerge/>
            <w:tcBorders>
              <w:left w:val="single" w:sz="2" w:space="0" w:color="auto"/>
              <w:bottom w:val="single" w:sz="8" w:space="0" w:color="auto"/>
              <w:right w:val="single" w:sz="4" w:space="0" w:color="808080" w:themeColor="background1" w:themeShade="80"/>
            </w:tcBorders>
          </w:tcPr>
          <w:p w14:paraId="5CAB4D81"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8" w:space="0" w:color="auto"/>
              <w:right w:val="single" w:sz="4" w:space="0" w:color="808080" w:themeColor="background1" w:themeShade="80"/>
            </w:tcBorders>
            <w:tcMar>
              <w:top w:w="15" w:type="dxa"/>
              <w:left w:w="15" w:type="dxa"/>
              <w:bottom w:w="15" w:type="dxa"/>
              <w:right w:w="180" w:type="dxa"/>
            </w:tcMar>
            <w:hideMark/>
          </w:tcPr>
          <w:p w14:paraId="32C93950" w14:textId="77777777" w:rsidR="00B14970" w:rsidRPr="006E478F" w:rsidRDefault="00B14970" w:rsidP="00393CDC">
            <w:pPr>
              <w:rPr>
                <w:sz w:val="18"/>
                <w:szCs w:val="18"/>
              </w:rPr>
            </w:pPr>
            <w:r w:rsidRPr="006E478F">
              <w:rPr>
                <w:sz w:val="18"/>
                <w:szCs w:val="18"/>
              </w:rPr>
              <w:t>Mean annual cloud: Asia Pacific</w:t>
            </w:r>
          </w:p>
        </w:tc>
        <w:tc>
          <w:tcPr>
            <w:tcW w:w="2070" w:type="dxa"/>
            <w:tcBorders>
              <w:top w:val="single" w:sz="4" w:space="0" w:color="808080" w:themeColor="background1" w:themeShade="80"/>
              <w:left w:val="single" w:sz="4" w:space="0" w:color="808080" w:themeColor="background1" w:themeShade="80"/>
              <w:bottom w:val="single" w:sz="8" w:space="0" w:color="auto"/>
              <w:right w:val="single" w:sz="4" w:space="0" w:color="808080" w:themeColor="background1" w:themeShade="80"/>
            </w:tcBorders>
            <w:tcMar>
              <w:top w:w="15" w:type="dxa"/>
              <w:left w:w="15" w:type="dxa"/>
              <w:bottom w:w="15" w:type="dxa"/>
              <w:right w:w="180" w:type="dxa"/>
            </w:tcMar>
            <w:vAlign w:val="center"/>
            <w:hideMark/>
          </w:tcPr>
          <w:p w14:paraId="6CA877AB" w14:textId="77777777" w:rsidR="00B14970" w:rsidRPr="006E478F" w:rsidRDefault="00B14970" w:rsidP="00393CDC">
            <w:pPr>
              <w:rPr>
                <w:sz w:val="18"/>
                <w:szCs w:val="18"/>
              </w:rPr>
            </w:pPr>
          </w:p>
        </w:tc>
        <w:tc>
          <w:tcPr>
            <w:tcW w:w="1378" w:type="dxa"/>
            <w:tcBorders>
              <w:top w:val="single" w:sz="4" w:space="0" w:color="808080" w:themeColor="background1" w:themeShade="80"/>
              <w:left w:val="single" w:sz="4" w:space="0" w:color="808080" w:themeColor="background1" w:themeShade="80"/>
              <w:bottom w:val="single" w:sz="8" w:space="0" w:color="auto"/>
              <w:right w:val="single" w:sz="2" w:space="0" w:color="auto"/>
            </w:tcBorders>
            <w:tcMar>
              <w:top w:w="15" w:type="dxa"/>
              <w:left w:w="15" w:type="dxa"/>
              <w:bottom w:w="15" w:type="dxa"/>
              <w:right w:w="180" w:type="dxa"/>
            </w:tcMar>
            <w:vAlign w:val="center"/>
            <w:hideMark/>
          </w:tcPr>
          <w:p w14:paraId="1603D183" w14:textId="77777777" w:rsidR="00B14970" w:rsidRPr="006E478F" w:rsidRDefault="00B14970" w:rsidP="00393CDC">
            <w:pPr>
              <w:rPr>
                <w:sz w:val="18"/>
                <w:szCs w:val="18"/>
              </w:rPr>
            </w:pPr>
            <w:r w:rsidRPr="006E478F">
              <w:rPr>
                <w:sz w:val="18"/>
                <w:szCs w:val="18"/>
              </w:rPr>
              <w:t>0.95 (0.35)</w:t>
            </w:r>
            <w:r w:rsidRPr="006E478F">
              <w:rPr>
                <w:sz w:val="18"/>
                <w:szCs w:val="18"/>
                <w:vertAlign w:val="superscript"/>
              </w:rPr>
              <w:t>**</w:t>
            </w:r>
          </w:p>
        </w:tc>
      </w:tr>
      <w:tr w:rsidR="00B14970" w14:paraId="0EE78F1F" w14:textId="77777777" w:rsidTr="00393CDC">
        <w:trPr>
          <w:tblCellSpacing w:w="0" w:type="dxa"/>
          <w:jc w:val="center"/>
        </w:trPr>
        <w:tc>
          <w:tcPr>
            <w:tcW w:w="1587" w:type="dxa"/>
            <w:vMerge w:val="restart"/>
            <w:tcBorders>
              <w:top w:val="single" w:sz="8" w:space="0" w:color="auto"/>
              <w:left w:val="single" w:sz="2" w:space="0" w:color="auto"/>
              <w:right w:val="single" w:sz="4" w:space="0" w:color="808080" w:themeColor="background1" w:themeShade="80"/>
            </w:tcBorders>
          </w:tcPr>
          <w:p w14:paraId="4BACD85D" w14:textId="77777777" w:rsidR="00B14970" w:rsidRPr="006E478F" w:rsidRDefault="00B14970" w:rsidP="00393CDC">
            <w:pPr>
              <w:rPr>
                <w:sz w:val="18"/>
                <w:szCs w:val="18"/>
              </w:rPr>
            </w:pPr>
            <w:r w:rsidRPr="006E478F">
              <w:rPr>
                <w:sz w:val="18"/>
                <w:szCs w:val="18"/>
              </w:rPr>
              <w:t>Goodness of Fit metrics</w:t>
            </w:r>
          </w:p>
        </w:tc>
        <w:tc>
          <w:tcPr>
            <w:tcW w:w="2582" w:type="dxa"/>
            <w:tcBorders>
              <w:top w:val="single" w:sz="8"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F551A9" w14:textId="77777777" w:rsidR="00B14970" w:rsidRPr="006E478F" w:rsidRDefault="00B14970" w:rsidP="00393CDC">
            <w:pPr>
              <w:rPr>
                <w:sz w:val="18"/>
                <w:szCs w:val="18"/>
              </w:rPr>
            </w:pPr>
            <w:r w:rsidRPr="006E478F">
              <w:rPr>
                <w:sz w:val="18"/>
                <w:szCs w:val="18"/>
              </w:rPr>
              <w:t>AUC</w:t>
            </w:r>
          </w:p>
        </w:tc>
        <w:tc>
          <w:tcPr>
            <w:tcW w:w="2070" w:type="dxa"/>
            <w:tcBorders>
              <w:top w:val="single" w:sz="8"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E4A8D20" w14:textId="77777777" w:rsidR="00B14970" w:rsidRPr="006E478F" w:rsidRDefault="00B14970" w:rsidP="00393CDC">
            <w:pPr>
              <w:rPr>
                <w:sz w:val="18"/>
                <w:szCs w:val="18"/>
              </w:rPr>
            </w:pPr>
            <w:r w:rsidRPr="006E478F">
              <w:rPr>
                <w:sz w:val="18"/>
                <w:szCs w:val="18"/>
              </w:rPr>
              <w:t>0.94</w:t>
            </w:r>
          </w:p>
        </w:tc>
        <w:tc>
          <w:tcPr>
            <w:tcW w:w="1378" w:type="dxa"/>
            <w:tcBorders>
              <w:top w:val="single" w:sz="8" w:space="0" w:color="auto"/>
              <w:left w:val="single" w:sz="4" w:space="0" w:color="808080" w:themeColor="background1" w:themeShade="80"/>
              <w:bottom w:val="single" w:sz="4" w:space="0" w:color="808080" w:themeColor="background1" w:themeShade="80"/>
              <w:right w:val="single" w:sz="2" w:space="0" w:color="auto"/>
            </w:tcBorders>
            <w:vAlign w:val="center"/>
            <w:hideMark/>
          </w:tcPr>
          <w:p w14:paraId="2D14B81A" w14:textId="77777777" w:rsidR="00B14970" w:rsidRPr="006E478F" w:rsidRDefault="00B14970" w:rsidP="00393CDC">
            <w:pPr>
              <w:rPr>
                <w:sz w:val="18"/>
                <w:szCs w:val="18"/>
              </w:rPr>
            </w:pPr>
            <w:r w:rsidRPr="006E478F">
              <w:rPr>
                <w:sz w:val="18"/>
                <w:szCs w:val="18"/>
              </w:rPr>
              <w:t>0.95</w:t>
            </w:r>
          </w:p>
        </w:tc>
      </w:tr>
      <w:tr w:rsidR="00B14970" w14:paraId="45F022C9"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646A4B49"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5CD7241B" w14:textId="77777777" w:rsidR="00B14970" w:rsidRPr="006E478F" w:rsidRDefault="00B14970" w:rsidP="00393CDC">
            <w:pPr>
              <w:rPr>
                <w:sz w:val="18"/>
                <w:szCs w:val="18"/>
              </w:rPr>
            </w:pPr>
            <w:r w:rsidRPr="006E478F">
              <w:rPr>
                <w:sz w:val="18"/>
                <w:szCs w:val="18"/>
              </w:rPr>
              <w:t>COR</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449111ED" w14:textId="77777777" w:rsidR="00B14970" w:rsidRPr="006E478F" w:rsidRDefault="00B14970" w:rsidP="00393CDC">
            <w:pPr>
              <w:rPr>
                <w:sz w:val="18"/>
                <w:szCs w:val="18"/>
              </w:rPr>
            </w:pPr>
            <w:r w:rsidRPr="006E478F">
              <w:rPr>
                <w:sz w:val="18"/>
                <w:szCs w:val="18"/>
              </w:rPr>
              <w:t>0.41</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0C697D14" w14:textId="77777777" w:rsidR="00B14970" w:rsidRPr="006E478F" w:rsidRDefault="00B14970" w:rsidP="00393CDC">
            <w:pPr>
              <w:rPr>
                <w:sz w:val="18"/>
                <w:szCs w:val="18"/>
              </w:rPr>
            </w:pPr>
            <w:r w:rsidRPr="006E478F">
              <w:rPr>
                <w:sz w:val="18"/>
                <w:szCs w:val="18"/>
              </w:rPr>
              <w:t>0.56</w:t>
            </w:r>
          </w:p>
        </w:tc>
      </w:tr>
      <w:tr w:rsidR="00B14970" w14:paraId="1FB5BD1C"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28734D8A"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6A727CC6" w14:textId="77777777" w:rsidR="00B14970" w:rsidRPr="006E478F" w:rsidRDefault="00B14970" w:rsidP="00393CDC">
            <w:pPr>
              <w:rPr>
                <w:sz w:val="18"/>
                <w:szCs w:val="18"/>
              </w:rPr>
            </w:pPr>
            <w:r w:rsidRPr="006E478F">
              <w:rPr>
                <w:sz w:val="18"/>
                <w:szCs w:val="18"/>
              </w:rPr>
              <w:t>AIC</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4529A95F" w14:textId="77777777" w:rsidR="00B14970" w:rsidRPr="006E478F" w:rsidRDefault="00B14970" w:rsidP="00393CDC">
            <w:pPr>
              <w:rPr>
                <w:sz w:val="18"/>
                <w:szCs w:val="18"/>
              </w:rPr>
            </w:pPr>
            <w:r w:rsidRPr="006E478F">
              <w:rPr>
                <w:sz w:val="18"/>
                <w:szCs w:val="18"/>
              </w:rPr>
              <w:t>8645.66</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6A537B80" w14:textId="77777777" w:rsidR="00B14970" w:rsidRPr="006E478F" w:rsidRDefault="00B14970" w:rsidP="00393CDC">
            <w:pPr>
              <w:rPr>
                <w:sz w:val="18"/>
                <w:szCs w:val="18"/>
              </w:rPr>
            </w:pPr>
            <w:r w:rsidRPr="006E478F">
              <w:rPr>
                <w:sz w:val="18"/>
                <w:szCs w:val="18"/>
              </w:rPr>
              <w:t>8591.36</w:t>
            </w:r>
          </w:p>
        </w:tc>
      </w:tr>
      <w:tr w:rsidR="00B14970" w14:paraId="261EB458"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1A24AC52"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0BF394C4" w14:textId="77777777" w:rsidR="00B14970" w:rsidRPr="006E478F" w:rsidRDefault="00B14970" w:rsidP="00393CDC">
            <w:pPr>
              <w:rPr>
                <w:sz w:val="18"/>
                <w:szCs w:val="18"/>
              </w:rPr>
            </w:pPr>
            <w:r w:rsidRPr="006E478F">
              <w:rPr>
                <w:sz w:val="18"/>
                <w:szCs w:val="18"/>
              </w:rPr>
              <w:t>BIC</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1A9EE7EA" w14:textId="77777777" w:rsidR="00B14970" w:rsidRPr="006E478F" w:rsidRDefault="00B14970" w:rsidP="00393CDC">
            <w:pPr>
              <w:rPr>
                <w:sz w:val="18"/>
                <w:szCs w:val="18"/>
              </w:rPr>
            </w:pPr>
            <w:r w:rsidRPr="006E478F">
              <w:rPr>
                <w:sz w:val="18"/>
                <w:szCs w:val="18"/>
              </w:rPr>
              <w:t>8732.77</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5D33C523" w14:textId="77777777" w:rsidR="00B14970" w:rsidRPr="006E478F" w:rsidRDefault="00B14970" w:rsidP="00393CDC">
            <w:pPr>
              <w:rPr>
                <w:sz w:val="18"/>
                <w:szCs w:val="18"/>
              </w:rPr>
            </w:pPr>
            <w:r w:rsidRPr="006E478F">
              <w:rPr>
                <w:sz w:val="18"/>
                <w:szCs w:val="18"/>
              </w:rPr>
              <w:t>8663.95</w:t>
            </w:r>
          </w:p>
        </w:tc>
      </w:tr>
      <w:tr w:rsidR="00B14970" w14:paraId="35BF504A"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02F96BA4"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35A3139F" w14:textId="77777777" w:rsidR="00B14970" w:rsidRPr="006E478F" w:rsidRDefault="00B14970" w:rsidP="00393CDC">
            <w:pPr>
              <w:rPr>
                <w:sz w:val="18"/>
                <w:szCs w:val="18"/>
              </w:rPr>
            </w:pPr>
            <w:r w:rsidRPr="006E478F">
              <w:rPr>
                <w:sz w:val="18"/>
                <w:szCs w:val="18"/>
              </w:rPr>
              <w:t>Log Likelihood</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4C349893" w14:textId="77777777" w:rsidR="00B14970" w:rsidRPr="006E478F" w:rsidRDefault="00B14970" w:rsidP="00393CDC">
            <w:pPr>
              <w:rPr>
                <w:sz w:val="18"/>
                <w:szCs w:val="18"/>
              </w:rPr>
            </w:pPr>
            <w:r w:rsidRPr="006E478F">
              <w:rPr>
                <w:sz w:val="18"/>
                <w:szCs w:val="18"/>
              </w:rPr>
              <w:t>-4310.83</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18CE19C5" w14:textId="77777777" w:rsidR="00B14970" w:rsidRPr="006E478F" w:rsidRDefault="00B14970" w:rsidP="00393CDC">
            <w:pPr>
              <w:rPr>
                <w:sz w:val="18"/>
                <w:szCs w:val="18"/>
              </w:rPr>
            </w:pPr>
            <w:r w:rsidRPr="006E478F">
              <w:rPr>
                <w:sz w:val="18"/>
                <w:szCs w:val="18"/>
              </w:rPr>
              <w:t>-4285.68</w:t>
            </w:r>
          </w:p>
        </w:tc>
      </w:tr>
      <w:tr w:rsidR="00B14970" w14:paraId="6F3D2061" w14:textId="77777777" w:rsidTr="00393CDC">
        <w:trPr>
          <w:tblCellSpacing w:w="0" w:type="dxa"/>
          <w:jc w:val="center"/>
        </w:trPr>
        <w:tc>
          <w:tcPr>
            <w:tcW w:w="1587" w:type="dxa"/>
            <w:vMerge/>
            <w:tcBorders>
              <w:left w:val="single" w:sz="2" w:space="0" w:color="auto"/>
              <w:right w:val="single" w:sz="4" w:space="0" w:color="808080" w:themeColor="background1" w:themeShade="80"/>
            </w:tcBorders>
          </w:tcPr>
          <w:p w14:paraId="077809CB"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231C5B3C" w14:textId="77777777" w:rsidR="00B14970" w:rsidRPr="006E478F" w:rsidRDefault="00B14970" w:rsidP="00393CDC">
            <w:pPr>
              <w:rPr>
                <w:sz w:val="18"/>
                <w:szCs w:val="18"/>
              </w:rPr>
            </w:pPr>
            <w:r w:rsidRPr="006E478F">
              <w:rPr>
                <w:sz w:val="18"/>
                <w:szCs w:val="18"/>
              </w:rPr>
              <w:t>Deviance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15" w:type="dxa"/>
              <w:right w:w="180" w:type="dxa"/>
            </w:tcMar>
            <w:vAlign w:val="center"/>
            <w:hideMark/>
          </w:tcPr>
          <w:p w14:paraId="11E4BFE7" w14:textId="77777777" w:rsidR="00B14970" w:rsidRPr="006E478F" w:rsidRDefault="00B14970" w:rsidP="00393CDC">
            <w:pPr>
              <w:rPr>
                <w:sz w:val="18"/>
                <w:szCs w:val="18"/>
              </w:rPr>
            </w:pPr>
            <w:r w:rsidRPr="006E478F">
              <w:rPr>
                <w:sz w:val="18"/>
                <w:szCs w:val="18"/>
              </w:rPr>
              <w:t>8621.66</w:t>
            </w:r>
          </w:p>
        </w:tc>
        <w:tc>
          <w:tcPr>
            <w:tcW w:w="13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auto"/>
            </w:tcBorders>
            <w:tcMar>
              <w:top w:w="15" w:type="dxa"/>
              <w:left w:w="15" w:type="dxa"/>
              <w:bottom w:w="15" w:type="dxa"/>
              <w:right w:w="180" w:type="dxa"/>
            </w:tcMar>
            <w:vAlign w:val="center"/>
            <w:hideMark/>
          </w:tcPr>
          <w:p w14:paraId="0FA2AFC0" w14:textId="77777777" w:rsidR="00B14970" w:rsidRPr="006E478F" w:rsidRDefault="00B14970" w:rsidP="00393CDC">
            <w:pPr>
              <w:rPr>
                <w:sz w:val="18"/>
                <w:szCs w:val="18"/>
              </w:rPr>
            </w:pPr>
            <w:r w:rsidRPr="006E478F">
              <w:rPr>
                <w:sz w:val="18"/>
                <w:szCs w:val="18"/>
              </w:rPr>
              <w:t>8571.36</w:t>
            </w:r>
          </w:p>
        </w:tc>
      </w:tr>
      <w:tr w:rsidR="00B14970" w14:paraId="4E077CCF" w14:textId="77777777" w:rsidTr="00393CDC">
        <w:trPr>
          <w:tblCellSpacing w:w="0" w:type="dxa"/>
          <w:jc w:val="center"/>
        </w:trPr>
        <w:tc>
          <w:tcPr>
            <w:tcW w:w="1587" w:type="dxa"/>
            <w:vMerge/>
            <w:tcBorders>
              <w:left w:val="single" w:sz="2" w:space="0" w:color="auto"/>
              <w:bottom w:val="single" w:sz="2" w:space="0" w:color="auto"/>
              <w:right w:val="single" w:sz="4" w:space="0" w:color="808080" w:themeColor="background1" w:themeShade="80"/>
            </w:tcBorders>
          </w:tcPr>
          <w:p w14:paraId="17101BF5" w14:textId="77777777" w:rsidR="00B14970" w:rsidRPr="006E478F" w:rsidRDefault="00B14970" w:rsidP="00393CDC">
            <w:pPr>
              <w:rPr>
                <w:sz w:val="18"/>
                <w:szCs w:val="18"/>
              </w:rPr>
            </w:pPr>
          </w:p>
        </w:tc>
        <w:tc>
          <w:tcPr>
            <w:tcW w:w="2582" w:type="dxa"/>
            <w:tcBorders>
              <w:top w:val="single" w:sz="4" w:space="0" w:color="808080" w:themeColor="background1" w:themeShade="80"/>
              <w:left w:val="single" w:sz="4" w:space="0" w:color="808080" w:themeColor="background1" w:themeShade="80"/>
              <w:bottom w:val="single" w:sz="2" w:space="0" w:color="auto"/>
              <w:right w:val="single" w:sz="4" w:space="0" w:color="808080" w:themeColor="background1" w:themeShade="80"/>
            </w:tcBorders>
            <w:vAlign w:val="center"/>
            <w:hideMark/>
          </w:tcPr>
          <w:p w14:paraId="600D3D13" w14:textId="77777777" w:rsidR="00B14970" w:rsidRPr="006E478F" w:rsidRDefault="00B14970" w:rsidP="00393CDC">
            <w:pPr>
              <w:rPr>
                <w:sz w:val="18"/>
                <w:szCs w:val="18"/>
              </w:rPr>
            </w:pPr>
            <w:r w:rsidRPr="006E478F">
              <w:rPr>
                <w:sz w:val="18"/>
                <w:szCs w:val="18"/>
              </w:rPr>
              <w:t>Num. obs.</w:t>
            </w:r>
          </w:p>
        </w:tc>
        <w:tc>
          <w:tcPr>
            <w:tcW w:w="2070" w:type="dxa"/>
            <w:tcBorders>
              <w:top w:val="single" w:sz="4" w:space="0" w:color="808080" w:themeColor="background1" w:themeShade="80"/>
              <w:left w:val="single" w:sz="4" w:space="0" w:color="808080" w:themeColor="background1" w:themeShade="80"/>
              <w:bottom w:val="single" w:sz="2" w:space="0" w:color="auto"/>
              <w:right w:val="single" w:sz="4" w:space="0" w:color="808080" w:themeColor="background1" w:themeShade="80"/>
            </w:tcBorders>
            <w:vAlign w:val="center"/>
            <w:hideMark/>
          </w:tcPr>
          <w:p w14:paraId="76ECEF25" w14:textId="77777777" w:rsidR="00B14970" w:rsidRPr="006E478F" w:rsidRDefault="00B14970" w:rsidP="00393CDC">
            <w:pPr>
              <w:rPr>
                <w:sz w:val="18"/>
                <w:szCs w:val="18"/>
              </w:rPr>
            </w:pPr>
            <w:r w:rsidRPr="006E478F">
              <w:rPr>
                <w:sz w:val="18"/>
                <w:szCs w:val="18"/>
              </w:rPr>
              <w:t>10501</w:t>
            </w:r>
          </w:p>
        </w:tc>
        <w:tc>
          <w:tcPr>
            <w:tcW w:w="1378" w:type="dxa"/>
            <w:tcBorders>
              <w:top w:val="single" w:sz="4" w:space="0" w:color="808080" w:themeColor="background1" w:themeShade="80"/>
              <w:left w:val="single" w:sz="4" w:space="0" w:color="808080" w:themeColor="background1" w:themeShade="80"/>
              <w:bottom w:val="single" w:sz="2" w:space="0" w:color="auto"/>
              <w:right w:val="single" w:sz="2" w:space="0" w:color="auto"/>
            </w:tcBorders>
            <w:vAlign w:val="center"/>
            <w:hideMark/>
          </w:tcPr>
          <w:p w14:paraId="7A9F5832" w14:textId="77777777" w:rsidR="00B14970" w:rsidRPr="006E478F" w:rsidRDefault="00B14970" w:rsidP="00393CDC">
            <w:pPr>
              <w:rPr>
                <w:sz w:val="18"/>
                <w:szCs w:val="18"/>
              </w:rPr>
            </w:pPr>
            <w:r w:rsidRPr="006E478F">
              <w:rPr>
                <w:sz w:val="18"/>
                <w:szCs w:val="18"/>
              </w:rPr>
              <w:t>10501</w:t>
            </w:r>
          </w:p>
        </w:tc>
      </w:tr>
    </w:tbl>
    <w:p w14:paraId="104BFAC7" w14:textId="77777777" w:rsidR="00B14970" w:rsidRDefault="00B14970" w:rsidP="00B14970">
      <w:pPr>
        <w:pStyle w:val="Caption"/>
        <w:ind w:left="0"/>
      </w:pPr>
      <w:r>
        <w:t xml:space="preserve">Regression coefficients and goodness-of-fit metrics for an infinitely weighted logistic regression </w:t>
      </w:r>
      <w:r>
        <w:fldChar w:fldCharType="begin"/>
      </w:r>
      <w:r>
        <w:instrText xml:space="preserve"> ADDIN ZOTERO_ITEM CSL_CITATION {"citationID":"2l0jvsb9m","properties":{"formattedCitation":"[47]","plainCitation":"[47]"},"citationItems":[{"id":4210,"uris":["http://zotero.org/users/70825/items/75V9B7TS"],"uri":["http://zotero.org/users/70825/items/75V9B7TS"],"itemData":{"id":4210,"type":"article-journal","title":"Finite-sample equivalence in statistical models for presence-only data","container-title":"The Annals of Applied Statistics","page":"1917-1939","volume":"7","issue":"4","source":"Project Euclid","abstract":"Statistical modeling of presence-only data has attracted much recent attention in the ecological literature, leading to a proliferation of methods, including the inhomogeneous Poisson process (IPP) model, maximum entropy (Maxent) modeling of species distributions and logistic regression models. Several recent articles have shown the close relationships between these methods. We explain why the IPP intensity function is a more natural object of inference in presence-only studies than occurrence probability (which is only defined with reference to quadrat size), and why presence-only data only allows estimation of relative, and not absolute intensity of species occurrence. All three of the above techniques amount to parametric density estimation under the same exponential family model (in the case of the IPP, the fitted density is multiplied by the number of presence records to obtain a fitted intensity). We show that IPP and Maxent give the exact same estimate for this density, but logistic regression in general yields a different estimate in finite samples. When the model is misspecified—as it practically always is—logistic regression and the IPP may have substantially different asymptotic limits with large data sets. We propose “infinitely weighted logistic regression,” which is exactly equivalent to the IPP in finite samples. Consequently, many already-implemented methods extending logistic regression can also extend the Maxent and IPP models in directly analogous ways using this technique.","DOI":"10.1214/13-AOAS667","ISSN":"1932-6157, 1941-7330","note":"MR: MR3161707","journalAbbreviation":"Ann. Appl. Stat.","language":"EN","author":[{"family":"Fithian","given":"William"},{"family":"Hastie","given":"Trevor"}],"issued":{"date-parts":[["2013",12]]}}}],"schema":"https://github.com/citation-style-language/schema/raw/master/csl-citation.json"} </w:instrText>
      </w:r>
      <w:r>
        <w:fldChar w:fldCharType="separate"/>
      </w:r>
      <w:r>
        <w:rPr>
          <w:noProof/>
        </w:rPr>
        <w:t>[47]</w:t>
      </w:r>
      <w:r>
        <w:fldChar w:fldCharType="end"/>
      </w:r>
      <w:r>
        <w:t xml:space="preserve">.  MAT: mean annual temperature; MAP: mean annual precipitation; PSeas: precipitation seasonality from  </w:t>
      </w:r>
      <w:r>
        <w:fldChar w:fldCharType="begin"/>
      </w:r>
      <w:r>
        <w:instrText xml:space="preserve"> ADDIN ZOTERO_ITEM CSL_CITATION {"citationID":"o6kkqigbj","properties":{"formattedCitation":"[7]","plainCitation":"[7]"},"citationItems":[{"id":658,"uris":["http://zotero.org/users/70825/items/55T5ADQV"],"uri":["http://zotero.org/users/70825/items/55T5ADQV"],"itemData":{"id":658,"type":"article-journal","title":"Very high resolution interpolated climate surfaces for global land areas","container-title":"International Journal of Climatology","page":"1965--1978","volume":"25","issue":"15","author":[{"family":"Hijmans","given":"R J"},{"family":"Cameron","given":"S E"},{"family":"Parra","given":"J L"},{"family":"Jones","given":"P G"},{"family":"Jarvis","given":"A."},{"family":"Others","given":""}],"issued":{"date-parts":[["2005"]]}}}],"schema":"https://github.com/citation-style-language/schema/raw/master/csl-citation.json"} </w:instrText>
      </w:r>
      <w:r>
        <w:fldChar w:fldCharType="separate"/>
      </w:r>
      <w:r>
        <w:rPr>
          <w:noProof/>
        </w:rPr>
        <w:t>[7]</w:t>
      </w:r>
      <w:r>
        <w:fldChar w:fldCharType="end"/>
      </w:r>
      <w:r>
        <w:t xml:space="preserve">.  AUC is the </w:t>
      </w:r>
      <w:r w:rsidRPr="00751112">
        <w:t>area under the receiver operating characteristic curve</w:t>
      </w:r>
      <w:r>
        <w:t xml:space="preserve">, COR is </w:t>
      </w:r>
      <w:r w:rsidRPr="00751112">
        <w:t>point biserial correlation</w:t>
      </w:r>
      <w:r>
        <w:t xml:space="preserve"> coefficient, AIC is the </w:t>
      </w:r>
      <w:r w:rsidRPr="00751112">
        <w:t>Akaike information criterion</w:t>
      </w:r>
      <w:r>
        <w:t xml:space="preserve">, BIC is the Bayesian information criterion.  </w:t>
      </w:r>
      <w:r w:rsidRPr="00751112">
        <w:t xml:space="preserve"> </w:t>
      </w:r>
      <w:r>
        <w:t xml:space="preserve">Continental Regions were defined with longitudinal breaks at </w:t>
      </w:r>
      <w:r w:rsidRPr="00274039">
        <w:t>29.5</w:t>
      </w:r>
      <w:r w:rsidRPr="00274039">
        <w:rPr>
          <w:vertAlign w:val="superscript"/>
        </w:rPr>
        <w:t>o</w:t>
      </w:r>
      <w:r>
        <w:t xml:space="preserve">W and </w:t>
      </w:r>
      <w:r w:rsidRPr="00274039">
        <w:t>63.4</w:t>
      </w:r>
      <w:r w:rsidRPr="00274039">
        <w:rPr>
          <w:vertAlign w:val="superscript"/>
        </w:rPr>
        <w:t>o</w:t>
      </w:r>
      <w:r>
        <w:t xml:space="preserve">E.  The region baseline was Africa.  Stars indicate coefficient significance: </w:t>
      </w:r>
      <w:r w:rsidRPr="00EF6529">
        <w:rPr>
          <w:sz w:val="18"/>
          <w:vertAlign w:val="superscript"/>
        </w:rPr>
        <w:t>***</w:t>
      </w:r>
      <w:r w:rsidRPr="00EF6529">
        <w:rPr>
          <w:sz w:val="18"/>
        </w:rPr>
        <w:t xml:space="preserve">p &lt; 0.001, </w:t>
      </w:r>
      <w:r w:rsidRPr="00EF6529">
        <w:rPr>
          <w:sz w:val="18"/>
          <w:vertAlign w:val="superscript"/>
        </w:rPr>
        <w:t>**</w:t>
      </w:r>
      <w:r w:rsidRPr="00EF6529">
        <w:rPr>
          <w:sz w:val="18"/>
        </w:rPr>
        <w:t xml:space="preserve">p &lt; 0.01, </w:t>
      </w:r>
      <w:r w:rsidRPr="00EF6529">
        <w:rPr>
          <w:sz w:val="18"/>
          <w:vertAlign w:val="superscript"/>
        </w:rPr>
        <w:t>*</w:t>
      </w:r>
      <w:r w:rsidRPr="00EF6529">
        <w:rPr>
          <w:sz w:val="18"/>
        </w:rPr>
        <w:t>p &lt; 0.05</w:t>
      </w:r>
      <w:r>
        <w:rPr>
          <w:sz w:val="18"/>
        </w:rPr>
        <w:t xml:space="preserve">. </w:t>
      </w:r>
      <w:r>
        <w:t>Model formulas were as follows. 1) Interpolated Precipitation: cf ~ elev+I(elev^2)</w:t>
      </w:r>
      <w:r w:rsidRPr="00401898">
        <w:t xml:space="preserve"> </w:t>
      </w:r>
      <w:r>
        <w:t>+PSeas +MAT+I(MAT^2)+</w:t>
      </w:r>
      <w:r w:rsidRPr="00401898">
        <w:t xml:space="preserve"> </w:t>
      </w:r>
      <w:r>
        <w:t>I(MAP^2) +MAP* region; 2) Cloud Product:  cf ~ elev+I(elev^2)+inter+intra+meanannual*region; 3) All: cf ~ MAT+I(MAT^2)+MAP+I(MAP^2)+PSeas+inter+intra+meanannual*region.</w:t>
      </w:r>
    </w:p>
    <w:p w14:paraId="4DE05525" w14:textId="77777777" w:rsidR="00276723" w:rsidRDefault="00276723"/>
    <w:sectPr w:rsidR="00276723" w:rsidSect="00095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70"/>
    <w:rsid w:val="00095A66"/>
    <w:rsid w:val="00276723"/>
    <w:rsid w:val="00B1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9D9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970"/>
    <w:pPr>
      <w:spacing w:before="100" w:beforeAutospacing="1" w:after="100" w:afterAutospacing="1"/>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14970"/>
    <w:pPr>
      <w:keepNext/>
      <w:spacing w:after="200"/>
      <w:ind w:left="720"/>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4395</Characters>
  <Application>Microsoft Macintosh Word</Application>
  <DocSecurity>0</DocSecurity>
  <Lines>36</Lines>
  <Paragraphs>10</Paragraphs>
  <ScaleCrop>false</ScaleCrop>
  <Company>SUNY Buffalo</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 Wilson</dc:creator>
  <cp:keywords/>
  <dc:description/>
  <cp:lastModifiedBy>Adam M. Wilson</cp:lastModifiedBy>
  <cp:revision>1</cp:revision>
  <dcterms:created xsi:type="dcterms:W3CDTF">2016-02-11T19:42:00Z</dcterms:created>
  <dcterms:modified xsi:type="dcterms:W3CDTF">2016-02-11T19:42:00Z</dcterms:modified>
</cp:coreProperties>
</file>