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3A55D6C5-6105-4415-9DD2-5E9AAEAB4955" style="width:450.35pt;height:352.5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DŮVODOVÁ ZPRÁVA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SOUVISLOSTI NÁVRHU</w:t>
      </w:r>
    </w:p>
    <w:p>
      <w:pPr>
        <w:rPr>
          <w:noProof/>
        </w:rPr>
      </w:pPr>
      <w:r>
        <w:rPr>
          <w:noProof/>
        </w:rPr>
        <w:t>Dohoda o společném leteckém prostoru mezi Evropskou unií a jejími členskými státy na straně jedné a Moldavskou republikou na straně druhé byla sjednána Komisí na základě zmocnění Radou v červnu 2011.</w:t>
      </w:r>
    </w:p>
    <w:p>
      <w:pPr>
        <w:spacing w:before="100" w:beforeAutospacing="1"/>
        <w:rPr>
          <w:noProof/>
        </w:rPr>
      </w:pPr>
      <w:r>
        <w:rPr>
          <w:noProof/>
        </w:rPr>
        <w:t>V souladu s rozhodnutím Rady a zástupců vlád členských států zasedajících v Radě 2012/639/EU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byla dohoda dne 26. června 2012 podepsána s výhradou jejího pozdějšího uzavření. Pokud jde o EU, jsou smluvními stranami dohody jak Unie, tak i její členské státy. </w:t>
      </w:r>
    </w:p>
    <w:p>
      <w:pPr>
        <w:spacing w:before="100" w:beforeAutospacing="1"/>
        <w:rPr>
          <w:noProof/>
        </w:rPr>
      </w:pPr>
      <w:r>
        <w:rPr>
          <w:noProof/>
        </w:rPr>
        <w:t>Proces ratifikace byl dokončen všemi členskými státy s výjimkou Chorvatské republiky. Chorvatská republika přistupuje k dohodě v souladu s postupem stanoveným v aktu o přistoupení připojeném ke smlouvě o přistoupení ze dne 5. prosince 2011 a příslušný protokol o přistoupení Chorvatské republiky k této dohodě byl podepsán dne 22. července 2015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Předkládaným návrhem se mění původní návrh Komise (pod číslem KOM(2012) 20 v konečném znění</w:t>
      </w:r>
      <w:r>
        <w:rPr>
          <w:rStyle w:val="FootnoteReference"/>
          <w:noProof/>
        </w:rPr>
        <w:footnoteReference w:id="3"/>
      </w:r>
      <w:r>
        <w:rPr>
          <w:noProof/>
        </w:rPr>
        <w:t>), který byl přijat dne 27. ledna 2012 a následně předložen Radě, a to zejména s cílem zohlednit vstup v platnost Lisabonské smlouvy a rozsudek Evropského soudního dvora ze dne 28. dubna 2015 ve věci C-28/12. Aby se Radě usnadnilo přezkoumání daného návrhu rozhodnutí, předkládá se celé jeho znění jako pozměněný návrh.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PRÁVNÍ ZÁKLAD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b/>
          <w:noProof/>
        </w:rPr>
      </w:pPr>
      <w:r>
        <w:rPr>
          <w:noProof/>
        </w:rPr>
        <w:t>Právním základem návrhu je čl. 100 odst. 2 Smlouvy o fungování Evropské unie ve spojení s čl. </w:t>
      </w:r>
      <w:r>
        <w:rPr>
          <w:noProof/>
          <w:szCs w:val="27"/>
          <w:shd w:val="clear" w:color="auto" w:fill="FFFFFF"/>
        </w:rPr>
        <w:t>218 odst. 6 písm. a) bodem v)</w:t>
      </w:r>
      <w:r>
        <w:rPr>
          <w:noProof/>
        </w:rPr>
        <w:t xml:space="preserve"> a čl. 218 odst. 7 této smlouvy.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VÝSLEDKY HODNOCENÍ </w:t>
      </w:r>
      <w:r>
        <w:rPr>
          <w:i/>
          <w:iCs/>
          <w:noProof/>
        </w:rPr>
        <w:t>EX POST</w:t>
      </w:r>
      <w:r>
        <w:rPr>
          <w:noProof/>
        </w:rPr>
        <w:t>, KONZULTACÍ SE ZÚČASTNĚNÝMI STRANAMI A POSOUZENÍ DOPADŮ</w:t>
      </w:r>
    </w:p>
    <w:p>
      <w:pPr>
        <w:rPr>
          <w:noProof/>
        </w:rPr>
      </w:pPr>
      <w:r>
        <w:rPr>
          <w:noProof/>
        </w:rPr>
        <w:t>Nevztahuje se na tento návrh.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ROZPOČTOVÉ DŮSLEDKY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rPr>
          <w:noProof/>
        </w:rPr>
      </w:pPr>
      <w:r>
        <w:rPr>
          <w:noProof/>
        </w:rPr>
        <w:t>Návrh nemá žádné důsledky pro rozpočet Unie.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OSTATNÍ PRVKY</w:t>
      </w:r>
    </w:p>
    <w:p>
      <w:pPr>
        <w:pStyle w:val="ListBullet1"/>
        <w:rPr>
          <w:noProof/>
          <w:u w:color="000000"/>
          <w:bdr w:val="nil"/>
        </w:rPr>
      </w:pPr>
      <w:r>
        <w:rPr>
          <w:noProof/>
          <w:u w:color="000000"/>
          <w:bdr w:val="nil"/>
        </w:rPr>
        <w:t>Shrnutí navrhované dohody</w:t>
      </w:r>
    </w:p>
    <w:p>
      <w:pPr>
        <w:ind w:left="720"/>
        <w:rPr>
          <w:b/>
          <w:noProof/>
        </w:rPr>
      </w:pPr>
      <w:r>
        <w:rPr>
          <w:noProof/>
        </w:rPr>
        <w:t xml:space="preserve">Dohoda sestává z hlavního textu obsahujícího hlavní zásady a čtyř příloh: přílohy I o dohodnutých službách a určených tratích, přílohy II o přechodných ustanoveních, </w:t>
      </w:r>
      <w:r>
        <w:rPr>
          <w:noProof/>
        </w:rPr>
        <w:lastRenderedPageBreak/>
        <w:t>přílohy III o předpisech upravujících civilní letectví a přílohy IV se seznamem jiných států uvedených v článku 3 a 4 a příloze I.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2012/0006 (NLE)</w:t>
      </w:r>
    </w:p>
    <w:p>
      <w:pPr>
        <w:pStyle w:val="Statut"/>
        <w:rPr>
          <w:noProof/>
        </w:rPr>
      </w:pPr>
      <w:r>
        <w:rPr>
          <w:noProof/>
        </w:rPr>
        <w:t>Pozměněný návrh</w:t>
      </w:r>
    </w:p>
    <w:p>
      <w:pPr>
        <w:pStyle w:val="Typedudocument"/>
        <w:rPr>
          <w:noProof/>
        </w:rPr>
      </w:pPr>
      <w:r>
        <w:rPr>
          <w:noProof/>
        </w:rPr>
        <w:t>ROZHODNUTÍ RADY</w:t>
      </w:r>
    </w:p>
    <w:p>
      <w:pPr>
        <w:pStyle w:val="Titreobjet"/>
        <w:rPr>
          <w:noProof/>
        </w:rPr>
      </w:pPr>
      <w:r>
        <w:rPr>
          <w:noProof/>
        </w:rPr>
        <w:t>o uzavření Dohody o společném leteckém prostoru mezi Evropskou unií a jejími členskými státy na straně jedné a Moldavskou republikou na straně druhé</w:t>
      </w:r>
    </w:p>
    <w:p>
      <w:pPr>
        <w:pStyle w:val="Institutionquiagit"/>
        <w:rPr>
          <w:noProof/>
        </w:rPr>
      </w:pPr>
      <w:r>
        <w:rPr>
          <w:noProof/>
        </w:rPr>
        <w:t>RADA EVROPSKÉ UNIE,</w:t>
      </w:r>
    </w:p>
    <w:p>
      <w:pPr>
        <w:rPr>
          <w:noProof/>
        </w:rPr>
      </w:pPr>
      <w:r>
        <w:rPr>
          <w:noProof/>
        </w:rPr>
        <w:t>s ohledem na Smlouvu o fungování Evropské unie, a zejména na čl. 100 odst. 2 ve spojení s čl. 218 odst. 6 písm. a) bodem v) a čl. 218 odst. 7 této smlouvy,</w:t>
      </w:r>
    </w:p>
    <w:p>
      <w:pPr>
        <w:rPr>
          <w:noProof/>
        </w:rPr>
      </w:pPr>
      <w:r>
        <w:rPr>
          <w:noProof/>
        </w:rPr>
        <w:t>s ohledem na návrh Evropské komise,</w:t>
      </w:r>
    </w:p>
    <w:p>
      <w:pPr>
        <w:rPr>
          <w:noProof/>
        </w:rPr>
      </w:pPr>
      <w:r>
        <w:rPr>
          <w:noProof/>
        </w:rPr>
        <w:t>s ohledem na souhlas Evropského parlamentu</w:t>
      </w:r>
      <w:r>
        <w:rPr>
          <w:rStyle w:val="FootnoteReference"/>
          <w:noProof/>
        </w:rPr>
        <w:footnoteReference w:id="4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vzhledem k těmto důvodům: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Dohoda o společném leteckém prostoru mezi Evropskou unií a jejími členskými státy na straně jedné a Moldavskou republikou na straně druhé byla podepsána dne 26. června 2012 s výhradou jejího pozdějšího uzavření v souladu s rozhodnutím Rady a zástupců vlád členských států zasedajících v Radě 2012/639/EU ze dne 7. června 2012 o podpisu jménem Unie a prozatímním provádění Dohody o společném leteckém prostoru mezi Evropskou unií a jejími členskými státy a Moldavskou republikou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Dohoda byla ratifikována všemi členskými státy s výjimkou Chorvatské republiky. Chorvatská republika přistupuje k dohodě v souladu s postupem stanoveným v aktu o přistoupení připojeném ke smlouvě o přistoupení ze dne 5. prosince 2011 a příslušný protokol o přistoupení Chorvatské republiky k této dohodě byl podepsán dne 22. července 2015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Dohoda by měla být schválena jménem Unie.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Články 4 a 5 rozhodnutí 2012/639/EU obsahují ustanovení o rozhodování a zastupování, pokud jde o různé záležitosti stanovené v dohodě. Vzhledem k rozsudku Evropského soudního dvora ze dne 28. dubna 2015 ve věci C-28/12 by se uvedená ustanovení měla přestat uplatňovat. S ohledem na Smlouvy nejsou nutná nová ustanovení týkající se těchto záležitostí ani ustanovení o povinnostech členských států poskytovat informace obsažených v článku 6 rozhodnutí. Články 4, 5 a 6 rozhodnutí 2012/639/EU by se proto měly přestat používat ke dni vstupu tohoto rozhodnutí v platnost,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 xml:space="preserve">PŘIJALA TOTO ROZHODNUTÍ: </w:t>
      </w:r>
    </w:p>
    <w:p>
      <w:pPr>
        <w:pStyle w:val="Titrearticle"/>
        <w:spacing w:before="0" w:after="0"/>
        <w:rPr>
          <w:noProof/>
        </w:rPr>
      </w:pPr>
      <w:r>
        <w:rPr>
          <w:noProof/>
        </w:rPr>
        <w:t>Článek 1</w:t>
      </w:r>
    </w:p>
    <w:p>
      <w:pPr>
        <w:rPr>
          <w:noProof/>
        </w:rPr>
      </w:pPr>
      <w:r>
        <w:rPr>
          <w:noProof/>
        </w:rPr>
        <w:t>Dohoda o společném leteckém prostoru mezi Evropskou unií a jejími členskými státy na straně jedné a Moldavskou republikou na straně druhé se schvaluje jménem Unie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. </w:t>
      </w:r>
    </w:p>
    <w:p>
      <w:pPr>
        <w:pStyle w:val="Titrearticle"/>
        <w:rPr>
          <w:noProof/>
        </w:rPr>
      </w:pPr>
      <w:r>
        <w:rPr>
          <w:noProof/>
        </w:rPr>
        <w:t>Článek 2</w:t>
      </w:r>
    </w:p>
    <w:p>
      <w:pPr>
        <w:rPr>
          <w:iCs/>
          <w:noProof/>
        </w:rPr>
      </w:pPr>
      <w:r>
        <w:rPr>
          <w:noProof/>
        </w:rPr>
        <w:t>Postoj, který má Unie zaujmout k rozhodnutím smíšeného výboru podle článku 22 dohody, pokud jde o pouhé začlenění právních předpisů Unie do přílohy III (Předpisy upravující civilní letectví) dohody s výhradou případných potřebných technických úprav, přijímá Komise po konzultaci se zvláštním výborem jmenovaným Radou.</w:t>
      </w:r>
    </w:p>
    <w:p>
      <w:pPr>
        <w:pStyle w:val="Titrearticle"/>
        <w:rPr>
          <w:noProof/>
        </w:rPr>
      </w:pPr>
      <w:r>
        <w:rPr>
          <w:noProof/>
        </w:rPr>
        <w:t>Článek 3</w:t>
      </w:r>
    </w:p>
    <w:p>
      <w:pPr>
        <w:rPr>
          <w:noProof/>
        </w:rPr>
      </w:pPr>
      <w:r>
        <w:rPr>
          <w:noProof/>
        </w:rPr>
        <w:t xml:space="preserve">Použitelnost článků 4, 5 a 6 rozhodnutí 2012/639/EU končí ke dni vstupu tohoto rozhodnutí v platnost. </w:t>
      </w:r>
    </w:p>
    <w:p>
      <w:pPr>
        <w:pStyle w:val="Titrearticle"/>
        <w:rPr>
          <w:noProof/>
        </w:rPr>
      </w:pPr>
      <w:r>
        <w:rPr>
          <w:noProof/>
        </w:rPr>
        <w:t>Článek 4</w:t>
      </w:r>
    </w:p>
    <w:p>
      <w:pPr>
        <w:rPr>
          <w:noProof/>
        </w:rPr>
      </w:pPr>
      <w:r>
        <w:rPr>
          <w:noProof/>
        </w:rPr>
        <w:t xml:space="preserve">Toto rozhodnutí vstupuje v platnost dnem přijetí. </w:t>
      </w:r>
    </w:p>
    <w:p>
      <w:pPr>
        <w:pStyle w:val="Fait"/>
        <w:rPr>
          <w:noProof/>
        </w:rPr>
      </w:pPr>
      <w:r>
        <w:t>V Bruselu dne</w:t>
      </w:r>
    </w:p>
    <w:p>
      <w:pPr>
        <w:pStyle w:val="Institutionquisigne"/>
        <w:spacing w:after="120"/>
        <w:rPr>
          <w:noProof/>
        </w:rPr>
      </w:pPr>
      <w:r>
        <w:rPr>
          <w:noProof/>
        </w:rPr>
        <w:tab/>
        <w:t>Za Radu</w:t>
      </w:r>
    </w:p>
    <w:p>
      <w:pPr>
        <w:pStyle w:val="Personnequisigne"/>
        <w:keepNext/>
        <w:spacing w:after="120"/>
        <w:rPr>
          <w:noProof/>
        </w:rPr>
      </w:pPr>
      <w:r>
        <w:rPr>
          <w:noProof/>
        </w:rPr>
        <w:tab/>
        <w:t>předseda/předsedkyně</w:t>
      </w:r>
    </w:p>
    <w:p>
      <w:pPr>
        <w:pStyle w:val="Personnequisigne"/>
        <w:spacing w:after="120"/>
        <w:rPr>
          <w:noProof/>
        </w:rPr>
      </w:pPr>
      <w:r>
        <w:rPr>
          <w:noProof/>
        </w:rPr>
        <w:tab/>
        <w:t>[…]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spacing w:after="0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ab/>
        <w:t>Rozhodnutí Rady a zástupců vlád členských států zasedajících v Radě ze dne 7. června 2012 o podpisu jménem Unie a prozatímním provádění Dohody o společném leteckém prostoru mezi Evropskou unií a jejími členskými státy a Moldavskou republikou (2012/639/EU) (Úř. věst. L 292, 20.10.2012, s. 1).</w:t>
      </w:r>
    </w:p>
  </w:footnote>
  <w:footnote w:id="2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Rozhodnutí Rady (EU) 2015/1389 ze dne 7. května 2015 o podpisu, jménem Unie a jejích členských států, a prozatímním provádění Protokolu, kterým se mění Dohoda o společném leteckém prostoru mezi Evropskou unií a jejími členskými státy a Moldavskou republikou s ohledem na přistoupení Chorvatské republiky k Evropské unii (Úř. věst. L 215, 14.8.2015, s. 1).</w:t>
      </w:r>
    </w:p>
  </w:footnote>
  <w:footnote w:id="3">
    <w:p>
      <w:pPr>
        <w:pStyle w:val="Footnote"/>
      </w:pPr>
      <w:r>
        <w:rPr>
          <w:rStyle w:val="FootnoteReference"/>
        </w:rPr>
        <w:footnoteRef/>
      </w:r>
      <w:r>
        <w:tab/>
        <w:t>https://eur-lex.europa.eu/legal-content/CS/TXT/PDF/?uri=CELEX:52012PC0020&amp;from=CS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Souhlas ze dne [datum] (dosud nezveřejněný v Úředním věstníku).</w:t>
      </w:r>
    </w:p>
  </w:footnote>
  <w:footnote w:id="5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Rozhodnutí Rady a zástupců vlád členských států zasedajících v Radě ze dne 7. června 2012 o podpisu jménem Unie a prozatímním provádění Dohody o společném leteckém prostoru mezi Evropskou unií a jejími členskými státy a Moldavskou republikou (2012/639/EU) (Úř. věst. L 292, 20.10.2012, s. 1).</w:t>
      </w:r>
    </w:p>
  </w:footnote>
  <w:footnote w:id="6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Rozhodnutí Rady (EU) 2015/1389 ze dne 7. května 2015 o podpisu, jménem Unie a jejích členských států, a prozatímním provádění Protokolu, kterým se mění Dohoda o společném leteckém prostoru mezi Evropskou unií a jejími členskými státy a Moldavskou republikou s ohledem na přistoupení Chorvatské republiky k Evropské unii (Úř. věst. L 215, 14.8.2015, s. 1).</w:t>
      </w:r>
    </w:p>
  </w:footnote>
  <w:footnote w:id="7">
    <w:p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ab/>
        <w:t>Dohoda byla zveřejněna v Úř. věst. L 292, 20.10.2012, s. 3 spolu s rozhodnutím o podpisu.</w:t>
      </w:r>
    </w:p>
    <w:p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18E99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33853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4EE7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F48C8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EA4F9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5A81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67AAA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8C4C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4593082"/>
    <w:multiLevelType w:val="singleLevel"/>
    <w:tmpl w:val="EDE069AC"/>
    <w:lvl w:ilvl="0">
      <w:start w:val="1"/>
      <w:numFmt w:val="bullet"/>
      <w:lvlRestart w:val="0"/>
      <w:pStyle w:val="ListNumber2Level4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5F342530"/>
    <w:multiLevelType w:val="singleLevel"/>
    <w:tmpl w:val="D5444702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2"/>
  </w:num>
  <w:num w:numId="14">
    <w:abstractNumId w:val="11"/>
  </w:num>
  <w:num w:numId="15">
    <w:abstractNumId w:val="13"/>
  </w:num>
  <w:num w:numId="16">
    <w:abstractNumId w:val="9"/>
  </w:num>
  <w:num w:numId="17">
    <w:abstractNumId w:val="21"/>
  </w:num>
  <w:num w:numId="18">
    <w:abstractNumId w:val="8"/>
  </w:num>
  <w:num w:numId="19">
    <w:abstractNumId w:val="14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3"/>
  </w:num>
  <w:num w:numId="25">
    <w:abstractNumId w:val="19"/>
  </w:num>
  <w:num w:numId="26">
    <w:abstractNumId w:val="12"/>
  </w:num>
  <w:num w:numId="27">
    <w:abstractNumId w:val="22"/>
  </w:num>
  <w:num w:numId="28">
    <w:abstractNumId w:val="11"/>
  </w:num>
  <w:num w:numId="29">
    <w:abstractNumId w:val="13"/>
  </w:num>
  <w:num w:numId="30">
    <w:abstractNumId w:val="9"/>
  </w:num>
  <w:num w:numId="31">
    <w:abstractNumId w:val="21"/>
  </w:num>
  <w:num w:numId="32">
    <w:abstractNumId w:val="8"/>
  </w:num>
  <w:num w:numId="33">
    <w:abstractNumId w:val="14"/>
  </w:num>
  <w:num w:numId="34">
    <w:abstractNumId w:val="17"/>
  </w:num>
  <w:num w:numId="35">
    <w:abstractNumId w:val="18"/>
  </w:num>
  <w:num w:numId="36">
    <w:abstractNumId w:val="10"/>
  </w:num>
  <w:num w:numId="37">
    <w:abstractNumId w:val="16"/>
  </w:num>
  <w:num w:numId="3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9-10-28 16:10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3A55D6C5-6105-4415-9DD2-5E9AAEAB4955"/>
    <w:docVar w:name="LW_COVERPAGE_TYPE" w:val="1"/>
    <w:docVar w:name="LW_CROSSREFERENCE" w:val="&lt;UNUSED&gt;"/>
    <w:docVar w:name="LW_DocType" w:val="COM"/>
    <w:docVar w:name="LW_EMISSION" w:val="5.11.2019"/>
    <w:docVar w:name="LW_EMISSION_ISODATE" w:val="2019-11-05"/>
    <w:docVar w:name="LW_EMISSION_LOCATION" w:val="BRX"/>
    <w:docVar w:name="LW_EMISSION_PREFIX" w:val="V Bruselu dne "/>
    <w:docVar w:name="LW_EMISSION_SUFFIX" w:val=" "/>
    <w:docVar w:name="LW_ID_DOCMODEL" w:val="SJ-019"/>
    <w:docVar w:name="LW_ID_DOCSIGNATURE" w:val="SJ-019"/>
    <w:docVar w:name="LW_ID_DOCSTRUCTURE" w:val="COM/PL/MOD"/>
    <w:docVar w:name="LW_ID_DOCTYPE" w:val="SG-010"/>
    <w:docVar w:name="LW_ID_EXP.MOTIFS.NEW" w:val="EM_PL_"/>
    <w:docVar w:name="LW_ID_STATUT" w:val="SG-010"/>
    <w:docVar w:name="LW_INTERETEEE.CP" w:val="&lt;UNUSED&gt;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06"/>
    <w:docVar w:name="LW_REF.II.NEW.CP_YEAR" w:val="2012"/>
    <w:docVar w:name="LW_REF.INST.NEW" w:val="COM"/>
    <w:docVar w:name="LW_REF.INST.NEW_ADOPTED" w:val="final"/>
    <w:docVar w:name="LW_REF.INST.NEW_TEXT" w:val="(2019) 5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ozm\u283?n\u283?ný návrh"/>
    <w:docVar w:name="LW_SUPERTITRE" w:val="&lt;UNUSED&gt;"/>
    <w:docVar w:name="LW_TITRE.OBJ.CP" w:val="o uzav\u345?ení Dohody o spole\u269?ném leteckém prostoru mezi Evropskou unií a jejími \u269?lenskými státy na stran\u283? jedné a Moldavskou republikou na stran\u283? druhé"/>
    <w:docVar w:name="LW_TYPE.DOC.CP" w:val="ROZHODNUTÍ RADY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2Level4">
    <w:name w:val="List Number 2 (Level 4)"/>
    <w:basedOn w:val="Text2"/>
    <w:pPr>
      <w:numPr>
        <w:numId w:val="1"/>
      </w:numPr>
      <w:tabs>
        <w:tab w:val="num" w:pos="3686"/>
      </w:tabs>
      <w:ind w:left="3686" w:hanging="709"/>
    </w:pPr>
    <w:rPr>
      <w:lang w:eastAsia="de-DE"/>
    </w:rPr>
  </w:style>
  <w:style w:type="paragraph" w:customStyle="1" w:styleId="ListBullet1">
    <w:name w:val="List Bullet 1"/>
    <w:basedOn w:val="Normal"/>
    <w:pPr>
      <w:numPr>
        <w:numId w:val="2"/>
      </w:numPr>
      <w:tabs>
        <w:tab w:val="num" w:pos="1134"/>
      </w:tabs>
      <w:ind w:left="1134" w:hanging="283"/>
    </w:pPr>
    <w:rPr>
      <w:lang w:eastAsia="de-DE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Footnote">
    <w:name w:val="Footnote"/>
    <w:basedOn w:val="Normal"/>
    <w:pPr>
      <w:autoSpaceDE w:val="0"/>
      <w:autoSpaceDN w:val="0"/>
      <w:adjustRightInd w:val="0"/>
      <w:spacing w:before="0" w:after="0"/>
    </w:pPr>
    <w:rPr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cs-CZ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2Level4">
    <w:name w:val="List Number 2 (Level 4)"/>
    <w:basedOn w:val="Text2"/>
    <w:pPr>
      <w:numPr>
        <w:numId w:val="1"/>
      </w:numPr>
      <w:tabs>
        <w:tab w:val="num" w:pos="3686"/>
      </w:tabs>
      <w:ind w:left="3686" w:hanging="709"/>
    </w:pPr>
    <w:rPr>
      <w:lang w:eastAsia="de-DE"/>
    </w:rPr>
  </w:style>
  <w:style w:type="paragraph" w:customStyle="1" w:styleId="ListBullet1">
    <w:name w:val="List Bullet 1"/>
    <w:basedOn w:val="Normal"/>
    <w:pPr>
      <w:numPr>
        <w:numId w:val="2"/>
      </w:numPr>
      <w:tabs>
        <w:tab w:val="num" w:pos="1134"/>
      </w:tabs>
      <w:ind w:left="1134" w:hanging="283"/>
    </w:pPr>
    <w:rPr>
      <w:lang w:eastAsia="de-DE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Footnote">
    <w:name w:val="Footnote"/>
    <w:basedOn w:val="Normal"/>
    <w:pPr>
      <w:autoSpaceDE w:val="0"/>
      <w:autoSpaceDN w:val="0"/>
      <w:adjustRightInd w:val="0"/>
      <w:spacing w:before="0" w:after="0"/>
    </w:pPr>
    <w:rPr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cs-CZ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725</Words>
  <Characters>3910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dcterms:created xsi:type="dcterms:W3CDTF">2019-10-04T07:12:00Z</dcterms:created>
  <dcterms:modified xsi:type="dcterms:W3CDTF">2019-10-28T15:10:00Z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COM/PL/MOD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SG-010</vt:lpwstr>
  </property>
  <property fmtid="{D5CDD505-2E9C-101B-9397-08002B2CF9AE}" pid="10" name="DQCStatus">
    <vt:lpwstr>Green (DQC version 03)</vt:lpwstr>
  </property>
</Properties>
</file>