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03" w:rsidRDefault="00D334F8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B379426-E56B-4E13-A812-D7061BA0CD61" style="width:450.85pt;height:321.45pt">
            <v:imagedata r:id="rId8" o:title=""/>
          </v:shape>
        </w:pict>
      </w:r>
    </w:p>
    <w:bookmarkEnd w:id="0"/>
    <w:p w:rsidR="00293D03" w:rsidRDefault="00293D03">
      <w:pPr>
        <w:spacing w:line="252" w:lineRule="auto"/>
        <w:rPr>
          <w:noProof/>
        </w:rPr>
        <w:sectPr w:rsidR="00293D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 w:rsidR="00293D03" w:rsidRDefault="00D334F8">
      <w:pPr>
        <w:pStyle w:val="Title"/>
        <w:spacing w:before="240" w:after="180" w:line="252" w:lineRule="auto"/>
        <w:jc w:val="both"/>
        <w:rPr>
          <w:rFonts w:ascii="Times New Roman Bold" w:hAnsi="Times New Roman Bold"/>
          <w:smallCaps/>
          <w:noProof/>
          <w:sz w:val="28"/>
          <w:szCs w:val="28"/>
        </w:rPr>
      </w:pPr>
      <w:r>
        <w:rPr>
          <w:rFonts w:ascii="Times New Roman Bold" w:hAnsi="Times New Roman Bold"/>
          <w:smallCaps/>
          <w:noProof/>
          <w:sz w:val="28"/>
          <w:szCs w:val="28"/>
        </w:rPr>
        <w:lastRenderedPageBreak/>
        <w:t>Úvod</w:t>
      </w:r>
    </w:p>
    <w:p w:rsidR="00293D03" w:rsidRDefault="00D334F8">
      <w:pPr>
        <w:pStyle w:val="Text1"/>
        <w:spacing w:before="120" w:after="0" w:line="252" w:lineRule="auto"/>
        <w:ind w:left="0"/>
        <w:rPr>
          <w:noProof/>
        </w:rPr>
      </w:pPr>
      <w:r>
        <w:rPr>
          <w:noProof/>
        </w:rPr>
        <w:t xml:space="preserve">Jednotný trh představuje jeden z největších úspěchů EU. Je v samotném středu evropského projektu, stojí za hospodářským růstem posledních desetiletí a usnadnil život evropským spotřebitelům i podnikům. EU představuje 18 % celosvětové hospodářské produkce, </w:t>
      </w:r>
      <w:r>
        <w:rPr>
          <w:noProof/>
        </w:rPr>
        <w:t>hned po Spojených státech amerických. Dobře fungující jednotný trh přináší občanům EU širší nabídku služeb a výrobků a lepší pracovní příležitosti. Díky jednotnému trhu mají hospodářské subjekty v EU k dispozici velký domácí trh, který stimuluje obchod a h</w:t>
      </w:r>
      <w:r>
        <w:rPr>
          <w:noProof/>
        </w:rPr>
        <w:t xml:space="preserve">ospodářskou soutěž a rovněž zvyšuje efektivitu. To má zásadní význam pro realizaci ekologické a digitální transformace EU a funguje jako odrazový můstek k celosvětové konkurenceschopnosti. </w:t>
      </w:r>
    </w:p>
    <w:p w:rsidR="00293D03" w:rsidRDefault="00D334F8">
      <w:pPr>
        <w:pStyle w:val="Text1"/>
        <w:spacing w:before="120" w:after="0" w:line="252" w:lineRule="auto"/>
        <w:ind w:left="0"/>
        <w:rPr>
          <w:noProof/>
        </w:rPr>
      </w:pPr>
      <w:r>
        <w:rPr>
          <w:noProof/>
        </w:rPr>
        <w:t>Jednotný trh tvoří jádro dnes přijaté Nové průmyslové strategie pr</w:t>
      </w:r>
      <w:r>
        <w:rPr>
          <w:noProof/>
        </w:rPr>
        <w:t>o Evropu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coby jeden ze základních prvků evropské průmyslové transformace. Aby jednotný trh fungoval pro všechny, zavádí právo Unie společná pravidla, která mají odstranit překážky, usnadnit pohyb zboží a služeb v celé EU a zároveň chránit spotřebitele. </w:t>
      </w:r>
    </w:p>
    <w:p w:rsidR="00293D03" w:rsidRDefault="00D334F8">
      <w:pPr>
        <w:pStyle w:val="Text1"/>
        <w:spacing w:before="120" w:after="0" w:line="252" w:lineRule="auto"/>
        <w:ind w:left="0"/>
        <w:rPr>
          <w:noProof/>
        </w:rPr>
      </w:pPr>
      <w:r>
        <w:rPr>
          <w:noProof/>
        </w:rPr>
        <w:t>T</w:t>
      </w:r>
      <w:r>
        <w:rPr>
          <w:noProof/>
        </w:rPr>
        <w:t>ato pravidla však mohou přinést zamýšlený účinek jen tehdy, pokud jsou řádně koncipována a prosazována. Pravidla jednotného trhu však nejsou dodržována dostatečně. Sdělení o překážkách pro jednotný trh ukazuje řadu překážek, které stále existují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– a v pří</w:t>
      </w:r>
      <w:r>
        <w:rPr>
          <w:noProof/>
        </w:rPr>
        <w:t>liš mnoha případech jsou tyto překážky způsobeny nesprávným nebo neúplným uplatňováním již dohodnutých právních předpisů EU na vnitrostátní úrovni. Práva účastníků trhu a investorů na volný pohyb jsou stále omezována řadou regulačních a administrativních p</w:t>
      </w:r>
      <w:r>
        <w:rPr>
          <w:noProof/>
        </w:rPr>
        <w:t xml:space="preserve">řekážek a Evropané se kvůli nedostatečnému praktickému dohledu, inspekcím, odhalování a postihování hospodářských subjektů, které porušují pravidla jednotného trhu, setkávají s nezákonnými nebo nebezpečnými výrobky a službami. </w:t>
      </w:r>
    </w:p>
    <w:p w:rsidR="00293D03" w:rsidRDefault="00D334F8">
      <w:pPr>
        <w:pStyle w:val="Text1"/>
        <w:spacing w:before="120" w:after="0" w:line="252" w:lineRule="auto"/>
        <w:ind w:left="0"/>
        <w:rPr>
          <w:noProof/>
        </w:rPr>
      </w:pPr>
      <w:r>
        <w:rPr>
          <w:noProof/>
        </w:rPr>
        <w:t>Během celého regulačního cyk</w:t>
      </w:r>
      <w:r>
        <w:rPr>
          <w:noProof/>
        </w:rPr>
        <w:t xml:space="preserve">lu mají členské státy a Komise společnou odpovědnost zajistit, aby byla pravidla jednotného trhu dodržována a práva občanů vymáhána. </w:t>
      </w:r>
    </w:p>
    <w:p w:rsidR="00293D03" w:rsidRDefault="00D334F8">
      <w:pPr>
        <w:pStyle w:val="Text1"/>
        <w:spacing w:before="120" w:after="0" w:line="252" w:lineRule="auto"/>
        <w:ind w:left="0"/>
        <w:rPr>
          <w:noProof/>
        </w:rPr>
      </w:pPr>
      <w:r>
        <w:rPr>
          <w:noProof/>
        </w:rPr>
        <w:t>Členské státy mají povinnost správně uplatňovat to, na čem se dohodly coby evropští normotvůrci. Dále odpovídají za odhalo</w:t>
      </w:r>
      <w:r>
        <w:rPr>
          <w:noProof/>
        </w:rPr>
        <w:t xml:space="preserve">vání a nápravu porušování pravidel jednotného trhu na svém území. Komise, coby strážkyně Smlouvy, musí pozorně sledovat, zda všechny členské státy pravidla jednotného trhu provádí a dodržují je, a bez váhání rozhodně jednat prostřednictvím zahájení řízení </w:t>
      </w:r>
      <w:r>
        <w:rPr>
          <w:noProof/>
        </w:rPr>
        <w:t xml:space="preserve">o porušení Smlouvy, pokud tomu tak není. </w:t>
      </w:r>
    </w:p>
    <w:p w:rsidR="00293D03" w:rsidRDefault="00D334F8">
      <w:pPr>
        <w:pStyle w:val="Text1"/>
        <w:spacing w:before="120" w:after="0" w:line="252" w:lineRule="auto"/>
        <w:ind w:left="0"/>
        <w:rPr>
          <w:noProof/>
        </w:rPr>
      </w:pPr>
      <w:r>
        <w:rPr>
          <w:noProof/>
        </w:rPr>
        <w:t xml:space="preserve">V březnu 2019 vyzvala Evropská rada Komisi, aby v úzké spolupráci s členskými státy vypracovala </w:t>
      </w:r>
      <w:r>
        <w:rPr>
          <w:b/>
          <w:noProof/>
        </w:rPr>
        <w:t>dlouhodobý akční plán pro lepší provádění a vymáhání pravidel týkajících se jednotného trhu</w:t>
      </w:r>
      <w:r>
        <w:rPr>
          <w:noProof/>
        </w:rPr>
        <w:t>. Členské státy se od té do</w:t>
      </w:r>
      <w:r>
        <w:rPr>
          <w:noProof/>
        </w:rPr>
        <w:t>by opakovaně zavázaly k důslednějšímu prosazování těchto pravidel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. Komise vítá výzvu Evropské rady a sdílí názor členských států, že provádění pravidel jednotného trhu a jejich dodržování je třeba podstatně zlepšit. </w:t>
      </w:r>
    </w:p>
    <w:p w:rsidR="00293D03" w:rsidRDefault="00D334F8">
      <w:pPr>
        <w:pStyle w:val="Text1"/>
        <w:spacing w:before="120" w:after="0" w:line="252" w:lineRule="auto"/>
        <w:ind w:left="0"/>
        <w:rPr>
          <w:noProof/>
        </w:rPr>
      </w:pPr>
      <w:r>
        <w:rPr>
          <w:noProof/>
        </w:rPr>
        <w:lastRenderedPageBreak/>
        <w:t>Na základě obnoveného partnerství mezi</w:t>
      </w:r>
      <w:r>
        <w:rPr>
          <w:noProof/>
        </w:rPr>
        <w:t xml:space="preserve"> členskými státy a Komisí a s přihlédnutím ke zjištěním uvedeným v dnešním sdělení o překážkách pro jednotný trh předkládá tento akční plán řadu opatření s cílem maximalizovat účinnost a efektivitu dodržování a prosazování pravidel v celé EU. </w:t>
      </w:r>
    </w:p>
    <w:p w:rsidR="00293D03" w:rsidRDefault="00D334F8">
      <w:pPr>
        <w:keepNext/>
        <w:spacing w:before="240" w:after="180" w:line="252" w:lineRule="auto"/>
        <w:jc w:val="left"/>
        <w:rPr>
          <w:b/>
          <w:i/>
          <w:noProof/>
          <w:sz w:val="26"/>
          <w:szCs w:val="26"/>
        </w:rPr>
      </w:pPr>
      <w:r>
        <w:rPr>
          <w:b/>
          <w:i/>
          <w:noProof/>
          <w:sz w:val="26"/>
          <w:szCs w:val="26"/>
        </w:rPr>
        <w:t xml:space="preserve">Současné </w:t>
      </w:r>
      <w:r>
        <w:rPr>
          <w:b/>
          <w:i/>
          <w:noProof/>
          <w:sz w:val="26"/>
          <w:szCs w:val="26"/>
        </w:rPr>
        <w:t>výzvy v oblasti prosazování pravidel</w:t>
      </w:r>
    </w:p>
    <w:p w:rsidR="00293D03" w:rsidRDefault="00D334F8">
      <w:pPr>
        <w:spacing w:before="120" w:after="0" w:line="252" w:lineRule="auto"/>
        <w:rPr>
          <w:noProof/>
        </w:rPr>
      </w:pPr>
      <w:r>
        <w:rPr>
          <w:b/>
          <w:noProof/>
        </w:rPr>
        <w:t>Obchod na jednotném trhu tvoří 56 milionů pracovních míst v Evropě</w:t>
      </w:r>
      <w:r>
        <w:rPr>
          <w:rStyle w:val="FootnoteReference"/>
          <w:b/>
          <w:noProof/>
        </w:rPr>
        <w:footnoteReference w:id="5"/>
      </w:r>
      <w:r>
        <w:rPr>
          <w:b/>
          <w:noProof/>
        </w:rPr>
        <w:t xml:space="preserve"> a jeho odhadovaný ekonomický přínos se pohybuje mezi 8 % a 9 % HDP EU</w:t>
      </w:r>
      <w:r>
        <w:rPr>
          <w:rStyle w:val="FootnoteReference"/>
          <w:b/>
          <w:noProof/>
        </w:rPr>
        <w:footnoteReference w:id="6"/>
      </w:r>
      <w:r>
        <w:rPr>
          <w:b/>
          <w:noProof/>
        </w:rPr>
        <w:t>.</w:t>
      </w:r>
      <w:r>
        <w:rPr>
          <w:noProof/>
        </w:rPr>
        <w:t xml:space="preserve"> Podle odhadů by mohla další zlepšení jednotného trhu s výrobky přinést 183 až 2</w:t>
      </w:r>
      <w:r>
        <w:rPr>
          <w:noProof/>
        </w:rPr>
        <w:t>69 miliard eur ročně, zatímco další integrace trhů se službami by mohla zajistit přínos až 297 miliard eur ročně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. Samotný tento nárůst by mohl zvýšit hospodářské přínosy z 8–9 % na přibližně </w:t>
      </w:r>
      <w:r>
        <w:rPr>
          <w:b/>
          <w:noProof/>
        </w:rPr>
        <w:t>12 % dodatečného HDP</w:t>
      </w:r>
      <w:r>
        <w:rPr>
          <w:noProof/>
        </w:rPr>
        <w:t>.</w:t>
      </w:r>
    </w:p>
    <w:p w:rsidR="00293D03" w:rsidRDefault="00D334F8">
      <w:pPr>
        <w:spacing w:before="120" w:after="0" w:line="252" w:lineRule="auto"/>
        <w:rPr>
          <w:noProof/>
        </w:rPr>
      </w:pPr>
      <w:r>
        <w:rPr>
          <w:noProof/>
        </w:rPr>
        <w:t xml:space="preserve"> Zdá se, že členské státy někdy porušují dohodnutá pravidla jednotného trhu nebo vytvářejí a tolerují překážky ve vnitrostátním právu, aby zajistily dodatečnou ochranu pro svůj trh a výhody pro vnitrostátní podniky. Potenciální přínosy tohoto přístupu jsou</w:t>
      </w:r>
      <w:r>
        <w:rPr>
          <w:noProof/>
        </w:rPr>
        <w:t xml:space="preserve"> ovšem často jen krátkodobé, zatímco dopad na evropské podniky může být mnohem škodlivější. Při deformaci rovných podmínek zevnitř může být výrazně těžší prosadit se za skutečně rovných podmínek a stát se světovými lídry. To má nepřiměřený dopad na malé a </w:t>
      </w:r>
      <w:r>
        <w:rPr>
          <w:noProof/>
        </w:rPr>
        <w:t>střední či začínající podniky. Větší společnosti mají prostředky k tomu, aby mohly dodržovat různé soubory pravidel. Administrativní zátěž a složitost pravidel tak dopadne jako první na malé a střední podniky, zejména když chtějí podnikat na jednotném trhu</w:t>
      </w:r>
      <w:r>
        <w:rPr>
          <w:noProof/>
        </w:rPr>
        <w:t xml:space="preserve"> v zahraničí. Proto je jednotný trh a jeho řádné provádění a prosazování základem strategie zaměřené na malé a střední podniky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, která byla dnes rovněž přijata. </w:t>
      </w:r>
    </w:p>
    <w:p w:rsidR="00293D03" w:rsidRDefault="00D334F8">
      <w:pPr>
        <w:spacing w:before="120" w:after="0" w:line="252" w:lineRule="auto"/>
        <w:rPr>
          <w:noProof/>
        </w:rPr>
      </w:pPr>
      <w:r>
        <w:rPr>
          <w:noProof/>
        </w:rPr>
        <w:t>Nedostatečné nebo nesprávné provádění a prosazování pravidel má škodlivé důsledky jak na evrop</w:t>
      </w:r>
      <w:r>
        <w:rPr>
          <w:noProof/>
        </w:rPr>
        <w:t>ské, tak na vnitrostátní úrovni. Občané a podniky nemohou plně využívat svých práv na volný pohyb, podniky nemohou realizovat úspory z rozsahu, které může jednotný trh nabídnout, spotřebitelé jsou vystaveni rizikům spojeným s nevyhovujícími výrobky nebo ma</w:t>
      </w:r>
      <w:r>
        <w:rPr>
          <w:noProof/>
        </w:rPr>
        <w:t>jí menší možnost volby, zabezpečení dodávek energie je ohroženo a environmentální a klimatické cíle EU je obtížnější splnit. Podniky, které dodržují právní předpisy, ztrácejí podíl na trhu v důsledku nekalé soutěže ze strany podniků, které porušují pravidl</w:t>
      </w:r>
      <w:r>
        <w:rPr>
          <w:noProof/>
        </w:rPr>
        <w:t>a, nabízejí výrobky, jež nejsou v souladu s normami, nebo které nerespektují pravidla sociální ochrany.</w:t>
      </w:r>
    </w:p>
    <w:p w:rsidR="00293D03" w:rsidRDefault="00D334F8">
      <w:pPr>
        <w:keepNext/>
        <w:spacing w:before="240" w:after="180" w:line="252" w:lineRule="auto"/>
        <w:jc w:val="left"/>
        <w:rPr>
          <w:b/>
          <w:i/>
          <w:noProof/>
          <w:sz w:val="26"/>
          <w:szCs w:val="26"/>
        </w:rPr>
      </w:pPr>
      <w:r>
        <w:rPr>
          <w:b/>
          <w:i/>
          <w:noProof/>
          <w:sz w:val="26"/>
          <w:szCs w:val="26"/>
        </w:rPr>
        <w:t>Společné úsilí členských států a Komise</w:t>
      </w:r>
    </w:p>
    <w:p w:rsidR="00293D03" w:rsidRDefault="00D334F8">
      <w:pPr>
        <w:spacing w:before="120" w:after="0"/>
        <w:rPr>
          <w:noProof/>
        </w:rPr>
      </w:pPr>
      <w:r>
        <w:rPr>
          <w:noProof/>
        </w:rPr>
        <w:t>Prosazování pravidel jednotného trhu především vyžaduje, aby pravidla byla v každém členském státě a každým evro</w:t>
      </w:r>
      <w:r>
        <w:rPr>
          <w:noProof/>
        </w:rPr>
        <w:t xml:space="preserve">pským veřejným orgánem správně uplatňována a aby jejich porušení byla sankcionována, a to i pomocí řízení o porušení Smlouvy, je-li to třeba. Kromě </w:t>
      </w:r>
      <w:r>
        <w:rPr>
          <w:noProof/>
        </w:rPr>
        <w:lastRenderedPageBreak/>
        <w:t>toho je třeba zajistit dozor nad hospodářskými subjekty, jejich inspekce a příslušné sankce a dále odstraněn</w:t>
      </w:r>
      <w:r>
        <w:rPr>
          <w:noProof/>
        </w:rPr>
        <w:t>í jejich nelegálních výrobků z trhu, ať už proto, že jsou nebezpečné, padělané nebo nejsou v souladu s předpisy v oblasti životního prostředí, energetické účinnosti či jinými pravidly.</w:t>
      </w:r>
    </w:p>
    <w:p w:rsidR="00293D03" w:rsidRDefault="00D334F8">
      <w:pPr>
        <w:spacing w:before="120" w:after="0"/>
        <w:rPr>
          <w:noProof/>
        </w:rPr>
      </w:pPr>
      <w:r>
        <w:rPr>
          <w:noProof/>
        </w:rPr>
        <w:t>Jestli však chceme využít výhod jednotného trhu, musí být prosazování p</w:t>
      </w:r>
      <w:r>
        <w:rPr>
          <w:noProof/>
        </w:rPr>
        <w:t xml:space="preserve">ravidel širší a zahrnovat celý cyklus příslušných pravidel, od jejich vzniku až po uplatňování. To vyžaduje spolupráci na všech úrovních správy v EU, počínaje místními a regionálními orgány a soudy až po evropskou úroveň. Na prosazování pravidel je rovněž </w:t>
      </w:r>
      <w:r>
        <w:rPr>
          <w:noProof/>
        </w:rPr>
        <w:t xml:space="preserve">třeba pohlížet jako na nepřetržitý proces, který začíná koncepcí pravidel, přes jejich případné provedení ve vnitrostátním právu členských států až po uplatňování a ukládání sankcí za jejich porušování. Členské státy a Komise se musí navzájem podporovat v </w:t>
      </w:r>
      <w:r>
        <w:rPr>
          <w:noProof/>
        </w:rPr>
        <w:t xml:space="preserve">plnění svých rolí, aby dostály sdílené odpovědnosti. </w:t>
      </w:r>
    </w:p>
    <w:p w:rsidR="00293D03" w:rsidRDefault="00D334F8">
      <w:pPr>
        <w:spacing w:before="120" w:after="0"/>
        <w:rPr>
          <w:noProof/>
        </w:rPr>
      </w:pPr>
      <w:r>
        <w:rPr>
          <w:noProof/>
        </w:rPr>
        <w:t xml:space="preserve">Důležitým prostředkem pro to, aby v pozdějších fázích nebyla nutná nápravná opatření, jsou preventivní opatření. Jestliže nebylo možné zajistit soulad s pravidly jednotného trhu hned zpočátku, mohou se </w:t>
      </w:r>
      <w:r>
        <w:rPr>
          <w:noProof/>
        </w:rPr>
        <w:t>občané a podniky potýkat s regulačními a administrativními překážkami a očekávat, že budou odstraněny následnou účinnou intervencí. Donucovací orgány musí dobře fungovat, postupy i monitorování musí být vhodné pro daný účel a aktéři v terénu, jako jsou veř</w:t>
      </w:r>
      <w:r>
        <w:rPr>
          <w:noProof/>
        </w:rPr>
        <w:t xml:space="preserve">ejní činitelé nebo soudci, musí právo Unie chápat a být schopni je uplatňovat v každodenní praxi. </w:t>
      </w:r>
    </w:p>
    <w:p w:rsidR="00293D03" w:rsidRDefault="00D334F8">
      <w:pPr>
        <w:spacing w:before="120"/>
        <w:rPr>
          <w:noProof/>
        </w:rPr>
      </w:pPr>
      <w:r>
        <w:rPr>
          <w:noProof/>
        </w:rPr>
        <w:t xml:space="preserve">Mají-li být práva jednotlivců nebo podniků chráněna, musí členské státy zajistit soulad s právními předpisy v oblasti jednotného trhu. K tomu musí dojít již </w:t>
      </w:r>
      <w:r>
        <w:rPr>
          <w:noProof/>
        </w:rPr>
        <w:t>ve fázi navrhování vnitrostátních právních předpisů a musí to být prováděno jednotlivými soudními nebo správními rozhodnutími. Komise má za úkol podporovat členské státy při předcházení vzniku nových překážek na jednotném trhu, během provádění a uplatňován</w:t>
      </w:r>
      <w:r>
        <w:rPr>
          <w:noProof/>
        </w:rPr>
        <w:t>í práva Unie a v nezbytných případech musí zahájit nápravná opatření.</w:t>
      </w: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4592"/>
        <w:gridCol w:w="4592"/>
      </w:tblGrid>
      <w:tr w:rsidR="00293D03">
        <w:trPr>
          <w:trHeight w:val="397"/>
        </w:trPr>
        <w:tc>
          <w:tcPr>
            <w:tcW w:w="9184" w:type="dxa"/>
            <w:gridSpan w:val="2"/>
          </w:tcPr>
          <w:p w:rsidR="00293D03" w:rsidRDefault="00D334F8">
            <w:pPr>
              <w:keepNext/>
              <w:spacing w:before="40" w:after="60" w:line="252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Úkoly a odpovědnost za provádění a prosazování pravidel jednotného trhu</w:t>
            </w:r>
          </w:p>
        </w:tc>
      </w:tr>
      <w:tr w:rsidR="00293D03">
        <w:trPr>
          <w:trHeight w:val="397"/>
        </w:trPr>
        <w:tc>
          <w:tcPr>
            <w:tcW w:w="4592" w:type="dxa"/>
          </w:tcPr>
          <w:p w:rsidR="00293D03" w:rsidRDefault="00D334F8">
            <w:pPr>
              <w:keepNext/>
              <w:spacing w:before="40" w:after="60" w:line="252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Členské státy</w:t>
            </w:r>
          </w:p>
        </w:tc>
        <w:tc>
          <w:tcPr>
            <w:tcW w:w="4592" w:type="dxa"/>
          </w:tcPr>
          <w:p w:rsidR="00293D03" w:rsidRDefault="00D334F8">
            <w:pPr>
              <w:spacing w:before="40" w:after="60" w:line="252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Komise</w:t>
            </w:r>
          </w:p>
        </w:tc>
      </w:tr>
      <w:tr w:rsidR="00293D03">
        <w:trPr>
          <w:trHeight w:val="680"/>
        </w:trPr>
        <w:tc>
          <w:tcPr>
            <w:tcW w:w="4592" w:type="dxa"/>
          </w:tcPr>
          <w:p w:rsidR="00293D03" w:rsidRDefault="00D334F8">
            <w:pPr>
              <w:pStyle w:val="Text3"/>
              <w:keepNext/>
              <w:numPr>
                <w:ilvl w:val="0"/>
                <w:numId w:val="42"/>
              </w:numPr>
              <w:spacing w:before="40" w:after="60" w:line="252" w:lineRule="auto"/>
              <w:ind w:left="340" w:hanging="357"/>
              <w:rPr>
                <w:noProof/>
              </w:rPr>
            </w:pPr>
            <w:r>
              <w:rPr>
                <w:noProof/>
              </w:rPr>
              <w:t xml:space="preserve">Právo Unie včas a správně provádět ve vnitrostátním právu, neukládat dodatečné požadavky </w:t>
            </w:r>
            <w:r>
              <w:rPr>
                <w:noProof/>
              </w:rPr>
              <w:t>nad rámec předpisů EU (tzv. gold plating) a zajistit rovné podmínky</w:t>
            </w:r>
          </w:p>
        </w:tc>
        <w:tc>
          <w:tcPr>
            <w:tcW w:w="4592" w:type="dxa"/>
          </w:tcPr>
          <w:p w:rsidR="00293D03" w:rsidRDefault="00D334F8">
            <w:pPr>
              <w:pStyle w:val="ListParagraph"/>
              <w:numPr>
                <w:ilvl w:val="0"/>
                <w:numId w:val="42"/>
              </w:numPr>
              <w:spacing w:before="40" w:after="60" w:line="252" w:lineRule="auto"/>
              <w:ind w:left="340" w:hanging="357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Pomáhat členským státům právo Unie provádět správně, úplně a včas</w:t>
            </w:r>
          </w:p>
        </w:tc>
      </w:tr>
      <w:tr w:rsidR="00293D03">
        <w:trPr>
          <w:trHeight w:val="680"/>
        </w:trPr>
        <w:tc>
          <w:tcPr>
            <w:tcW w:w="4592" w:type="dxa"/>
          </w:tcPr>
          <w:p w:rsidR="00293D03" w:rsidRDefault="00D334F8">
            <w:pPr>
              <w:pStyle w:val="ListParagraph"/>
              <w:numPr>
                <w:ilvl w:val="0"/>
                <w:numId w:val="42"/>
              </w:numPr>
              <w:spacing w:before="40" w:after="60" w:line="252" w:lineRule="auto"/>
              <w:ind w:left="340" w:hanging="357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Zajistit, aby vnitrostátní právní předpisy byly přiměřené a nediskriminační</w:t>
            </w:r>
            <w:r>
              <w:rPr>
                <w:noProof/>
              </w:rPr>
              <w:t xml:space="preserve"> </w:t>
            </w:r>
          </w:p>
        </w:tc>
        <w:tc>
          <w:tcPr>
            <w:tcW w:w="4592" w:type="dxa"/>
          </w:tcPr>
          <w:p w:rsidR="00293D03" w:rsidRDefault="00D334F8">
            <w:pPr>
              <w:pStyle w:val="ListParagraph"/>
              <w:numPr>
                <w:ilvl w:val="0"/>
                <w:numId w:val="42"/>
              </w:numPr>
              <w:spacing w:before="40" w:after="60" w:line="252" w:lineRule="auto"/>
              <w:ind w:left="340" w:hanging="357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Pomáhat členským státům při uplatňování práv</w:t>
            </w:r>
            <w:r>
              <w:rPr>
                <w:rFonts w:ascii="Times New Roman" w:hAnsi="Times New Roman"/>
                <w:noProof/>
              </w:rPr>
              <w:t>a Unie</w:t>
            </w:r>
          </w:p>
        </w:tc>
      </w:tr>
      <w:tr w:rsidR="00293D03">
        <w:trPr>
          <w:trHeight w:val="964"/>
        </w:trPr>
        <w:tc>
          <w:tcPr>
            <w:tcW w:w="4592" w:type="dxa"/>
          </w:tcPr>
          <w:p w:rsidR="00293D03" w:rsidRDefault="00D334F8">
            <w:pPr>
              <w:pStyle w:val="ListParagraph"/>
              <w:numPr>
                <w:ilvl w:val="0"/>
                <w:numId w:val="42"/>
              </w:numPr>
              <w:spacing w:before="40" w:after="60" w:line="252" w:lineRule="auto"/>
              <w:ind w:left="340" w:hanging="357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Zajistit dostatečné a přiměřené správní kontroly a ověřování, aby byla zjištěna případná porušení</w:t>
            </w:r>
          </w:p>
        </w:tc>
        <w:tc>
          <w:tcPr>
            <w:tcW w:w="4592" w:type="dxa"/>
          </w:tcPr>
          <w:p w:rsidR="00293D03" w:rsidRDefault="00D334F8">
            <w:pPr>
              <w:pStyle w:val="ListParagraph"/>
              <w:numPr>
                <w:ilvl w:val="0"/>
                <w:numId w:val="42"/>
              </w:numPr>
              <w:spacing w:before="40" w:after="60" w:line="252" w:lineRule="auto"/>
              <w:ind w:left="340" w:hanging="357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Kontrolovat provádění ve vnitrostátním právu a monitorovat uplatňování práva Unie</w:t>
            </w:r>
          </w:p>
        </w:tc>
      </w:tr>
      <w:tr w:rsidR="00293D03">
        <w:trPr>
          <w:trHeight w:val="964"/>
        </w:trPr>
        <w:tc>
          <w:tcPr>
            <w:tcW w:w="4592" w:type="dxa"/>
          </w:tcPr>
          <w:p w:rsidR="00293D03" w:rsidRDefault="00D334F8">
            <w:pPr>
              <w:pStyle w:val="ListParagraph"/>
              <w:numPr>
                <w:ilvl w:val="0"/>
                <w:numId w:val="42"/>
              </w:numPr>
              <w:spacing w:before="40" w:after="60" w:line="252" w:lineRule="auto"/>
              <w:ind w:left="340" w:hanging="357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Vyhnout se jakýmkoli vnitrostátním opatřením, která jsou v rozporu </w:t>
            </w:r>
            <w:r>
              <w:rPr>
                <w:rFonts w:ascii="Times New Roman" w:hAnsi="Times New Roman"/>
                <w:noProof/>
              </w:rPr>
              <w:t>s uplatňováním práva Unie nebo brání jeho uplatňování</w:t>
            </w:r>
          </w:p>
        </w:tc>
        <w:tc>
          <w:tcPr>
            <w:tcW w:w="4592" w:type="dxa"/>
          </w:tcPr>
          <w:p w:rsidR="00293D03" w:rsidRDefault="00D334F8">
            <w:pPr>
              <w:pStyle w:val="ListParagraph"/>
              <w:numPr>
                <w:ilvl w:val="0"/>
                <w:numId w:val="42"/>
              </w:numPr>
              <w:spacing w:before="40" w:after="60" w:line="252" w:lineRule="auto"/>
              <w:ind w:left="340" w:hanging="357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Podnikat kroky proti porušování práva Unie a v případě potřeby zahájit formální řízení o nesplnění povinnosti</w:t>
            </w:r>
          </w:p>
        </w:tc>
      </w:tr>
      <w:tr w:rsidR="00293D03">
        <w:trPr>
          <w:trHeight w:val="397"/>
        </w:trPr>
        <w:tc>
          <w:tcPr>
            <w:tcW w:w="9184" w:type="dxa"/>
            <w:gridSpan w:val="2"/>
          </w:tcPr>
          <w:p w:rsidR="00293D03" w:rsidRDefault="00D334F8">
            <w:pPr>
              <w:pStyle w:val="ListParagraph"/>
              <w:numPr>
                <w:ilvl w:val="0"/>
                <w:numId w:val="42"/>
              </w:numPr>
              <w:spacing w:before="40" w:after="40" w:line="252" w:lineRule="auto"/>
              <w:ind w:left="340" w:hanging="357"/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Účinně spolupracovat s cílem zajistit dodržování práva Unie</w:t>
            </w:r>
          </w:p>
        </w:tc>
      </w:tr>
    </w:tbl>
    <w:p w:rsidR="00293D03" w:rsidRDefault="00D334F8">
      <w:pPr>
        <w:spacing w:before="240" w:after="0" w:line="252" w:lineRule="auto"/>
        <w:rPr>
          <w:noProof/>
        </w:rPr>
      </w:pPr>
      <w:r>
        <w:rPr>
          <w:noProof/>
        </w:rPr>
        <w:t>K překonání stávajících překáž</w:t>
      </w:r>
      <w:r>
        <w:rPr>
          <w:noProof/>
        </w:rPr>
        <w:t>ek jednotného trhu bude mít zásadní význam skutečné partnerství různých aktérů na úrovni EU a členských států odpovědných za provádění a prosazování pravidel. Pomůže nasměrovat cílené donucovací opatření a zlepšit soulad s právními předpisy v oblasti jedno</w:t>
      </w:r>
      <w:r>
        <w:rPr>
          <w:noProof/>
        </w:rPr>
        <w:t>tného trhu.</w:t>
      </w:r>
    </w:p>
    <w:p w:rsidR="00293D03" w:rsidRDefault="00D334F8">
      <w:pPr>
        <w:pStyle w:val="Text3"/>
        <w:spacing w:before="120" w:after="0" w:line="252" w:lineRule="auto"/>
        <w:ind w:left="0"/>
        <w:rPr>
          <w:noProof/>
        </w:rPr>
      </w:pPr>
      <w:r>
        <w:rPr>
          <w:noProof/>
        </w:rPr>
        <w:t xml:space="preserve">V zájmu posílení spolupráce při prosazování pravidel jednotného trhu bude zřízena </w:t>
      </w:r>
      <w:r>
        <w:rPr>
          <w:b/>
          <w:noProof/>
        </w:rPr>
        <w:t>pracovní skupina pro prosazování pravidel jednotného trhu</w:t>
      </w:r>
      <w:r>
        <w:rPr>
          <w:noProof/>
        </w:rPr>
        <w:t xml:space="preserve"> složená z členských států a Komise. Plánuje se, že pracovní skupina bude pořádat pravidelná setkání za ú</w:t>
      </w:r>
      <w:r>
        <w:rPr>
          <w:noProof/>
        </w:rPr>
        <w:t>čelem posouzení souladu vnitrostátních právních předpisů s pravidly jednotného trhu, bude se přednostně zabývat nejnaléhavějšími překážkami, řešit neoprávněný „gold plating“, jednat o horizontálních otázkách prosazování pravidel a sledovat provádění tohoto</w:t>
      </w:r>
      <w:r>
        <w:rPr>
          <w:noProof/>
        </w:rPr>
        <w:t xml:space="preserve"> akčního plánu. Pracovní skupina bude pravidelně informovat Radu pro konkurenceschopnost a Výbor Evropského parlamentu pro vnitřní trh a ochranu spotřebitelů.</w:t>
      </w:r>
    </w:p>
    <w:p w:rsidR="00293D03" w:rsidRDefault="00D334F8">
      <w:pPr>
        <w:pStyle w:val="Text3"/>
        <w:spacing w:before="120" w:after="0" w:line="252" w:lineRule="auto"/>
        <w:ind w:left="0"/>
        <w:rPr>
          <w:noProof/>
        </w:rPr>
      </w:pPr>
      <w:r>
        <w:rPr>
          <w:noProof/>
        </w:rPr>
        <w:t xml:space="preserve">Pracovní skupina doplní </w:t>
      </w:r>
      <w:r>
        <w:rPr>
          <w:b/>
          <w:noProof/>
        </w:rPr>
        <w:t>síť pro spolupráci mezi vnitrostátními koordinátory pro prosazování pravi</w:t>
      </w:r>
      <w:r>
        <w:rPr>
          <w:b/>
          <w:noProof/>
        </w:rPr>
        <w:t>del, která má být zřízena</w:t>
      </w:r>
      <w:r>
        <w:rPr>
          <w:noProof/>
        </w:rPr>
        <w:t>, s využitím stávajícího rámce poradního výboru pro vnitřní trh (IMAC). Tento formát umožní výměnu informací a osvědčených postupů mezi Komisí a členskými státy ohledně toho, jak vnitrostátní správní orgány analyzují a řeší významn</w:t>
      </w:r>
      <w:r>
        <w:rPr>
          <w:noProof/>
        </w:rPr>
        <w:t>é případy na celostátní, regionální a místní úrovni. Budou prozkoumány další možnosti s cílem zlepšit koordinaci a komunikaci mezi orgány členských států odpovědnými za dozor nad jednotným trhem v konkrétních záležitostech týkajících se prosazovaní pravide</w:t>
      </w:r>
      <w:r>
        <w:rPr>
          <w:noProof/>
        </w:rPr>
        <w:t>l.</w:t>
      </w:r>
    </w:p>
    <w:p w:rsidR="00293D03" w:rsidRDefault="00D334F8">
      <w:pPr>
        <w:pStyle w:val="Text3"/>
        <w:spacing w:before="120" w:after="0" w:line="252" w:lineRule="auto"/>
        <w:ind w:left="0"/>
        <w:rPr>
          <w:noProof/>
        </w:rPr>
      </w:pPr>
      <w:r>
        <w:rPr>
          <w:noProof/>
        </w:rPr>
        <w:t xml:space="preserve">Pro zajištění úspěchu a dynamiky provádění poslouží členským státům i Komisi jako užitečný nástroj pro sledování výsledků při uplatňování pravidel jednotného trhu </w:t>
      </w:r>
      <w:r>
        <w:rPr>
          <w:b/>
          <w:noProof/>
        </w:rPr>
        <w:t>srovnávací přehled výsledků v oblasti jednotného trhu</w:t>
      </w:r>
      <w:r>
        <w:rPr>
          <w:noProof/>
        </w:rPr>
        <w:t>. Komise tento srovnávací přehled zak</w:t>
      </w:r>
      <w:r>
        <w:rPr>
          <w:noProof/>
        </w:rPr>
        <w:t xml:space="preserve">tualizuje, aby lépe odrážel situaci koncových uživatelů na jednotném trhu a podporoval evropský semestr. Použití dalších ukazatelů pomůže posoudit, zda jednotný trh řádně funguje v oblastech, kde se očekává jeho největší přínos, jako jsou výrobky, služby, </w:t>
      </w:r>
      <w:r>
        <w:rPr>
          <w:noProof/>
        </w:rPr>
        <w:t>finanční nebo digitální trhy, síťová odvětví, jako je energetika, ale také ekonomika založená na datech a oběhové hospodářství. Za tímto účelem navrhne Komise po konzultaci s členskými státy použití dalších ambiciózních ukazatelů, včetně ukazatelů týkající</w:t>
      </w:r>
      <w:r>
        <w:rPr>
          <w:noProof/>
        </w:rPr>
        <w:t xml:space="preserve">ch se výsledků členských států v těchto oblastech. </w:t>
      </w:r>
    </w:p>
    <w:p w:rsidR="00293D03" w:rsidRDefault="00D334F8">
      <w:pPr>
        <w:spacing w:after="160" w:line="259" w:lineRule="auto"/>
        <w:jc w:val="left"/>
        <w:rPr>
          <w:noProof/>
        </w:rPr>
      </w:pPr>
      <w:r>
        <w:rPr>
          <w:noProof/>
        </w:rPr>
        <w:br w:type="page"/>
      </w:r>
    </w:p>
    <w:p w:rsidR="00293D03" w:rsidRDefault="00D334F8">
      <w:pPr>
        <w:pStyle w:val="Title"/>
        <w:spacing w:before="240" w:after="180" w:line="252" w:lineRule="auto"/>
        <w:jc w:val="both"/>
        <w:rPr>
          <w:rFonts w:ascii="Times New Roman Bold" w:hAnsi="Times New Roman Bold"/>
          <w:smallCaps/>
          <w:noProof/>
          <w:sz w:val="28"/>
          <w:szCs w:val="28"/>
        </w:rPr>
      </w:pPr>
      <w:r>
        <w:rPr>
          <w:rFonts w:ascii="Times New Roman Bold" w:hAnsi="Times New Roman Bold"/>
          <w:smallCaps/>
          <w:noProof/>
          <w:sz w:val="28"/>
          <w:szCs w:val="28"/>
        </w:rPr>
        <w:t>Akční plán pro lepší provádění a prosazování pravidel jednotného trhu</w:t>
      </w:r>
    </w:p>
    <w:p w:rsidR="00293D03" w:rsidRDefault="00D334F8">
      <w:pPr>
        <w:spacing w:before="240" w:after="0" w:line="252" w:lineRule="auto"/>
        <w:rPr>
          <w:rFonts w:ascii="Times New Roman Bold" w:hAnsi="Times New Roman Bold"/>
          <w:smallCaps/>
          <w:noProof/>
          <w:sz w:val="28"/>
          <w:szCs w:val="28"/>
        </w:rPr>
      </w:pPr>
      <w:r>
        <w:rPr>
          <w:rFonts w:ascii="Times New Roman Bold" w:hAnsi="Times New Roman Bold"/>
          <w:smallCaps/>
          <w:noProof/>
          <w:sz w:val="28"/>
          <w:szCs w:val="28"/>
        </w:rPr>
        <w:t>I</w:t>
      </w:r>
      <w:r>
        <w:rPr>
          <w:rFonts w:ascii="Times New Roman Bold" w:hAnsi="Times New Roman Bold"/>
          <w:smallCaps/>
          <w:noProof/>
          <w:sz w:val="28"/>
          <w:szCs w:val="28"/>
        </w:rPr>
        <w:tab/>
        <w:t>Lepší znalosti a povědomí o pravidlech jednotného trhu</w:t>
      </w:r>
    </w:p>
    <w:p w:rsidR="00293D03" w:rsidRDefault="00D334F8">
      <w:pPr>
        <w:pStyle w:val="Text3"/>
        <w:spacing w:before="180" w:after="0" w:line="252" w:lineRule="auto"/>
        <w:ind w:left="0"/>
        <w:rPr>
          <w:noProof/>
        </w:rPr>
      </w:pPr>
      <w:r>
        <w:rPr>
          <w:noProof/>
        </w:rPr>
        <w:t>Vnitrostátní orgány a hospodářské subjekty, zejména malé a střední podniky, si často nejsou vědomy příležitostí a výhod, které vyplývají z právních předpisů týkajících se jednotného trhu. Rovněž pro ně může být obtížné plně chápat povinnosti stanovené práv</w:t>
      </w:r>
      <w:r>
        <w:rPr>
          <w:noProof/>
        </w:rPr>
        <w:t xml:space="preserve">em Unie, což vede k problémům v oblasti dodržování a prosazování předpisů. Cílem navrhovaných opatření je zlepšit znalosti a povědomí o pravidlech jednotného trhu mezi vnitrostátními orgány a soudy, které je denně uplatňují, jakož i mezi občany a podniky. 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noProof/>
          <w:szCs w:val="24"/>
        </w:rPr>
      </w:pPr>
      <w:r>
        <w:rPr>
          <w:b/>
          <w:noProof/>
        </w:rPr>
        <w:t>OPATŘENÍ 1: Program na poskytnutí specifičtějších pokynů a nástrojů vnitrostátním orgánům</w:t>
      </w:r>
      <w:r>
        <w:rPr>
          <w:noProof/>
        </w:rPr>
        <w:t>: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S cílem zlepšit dodržování předpisů a zabránit segmentaci trhu vypracuje Komise podrobnější pokyny pro členské státy a podniky a poskytne nástroje pro lepší koordin</w:t>
      </w:r>
      <w:r>
        <w:rPr>
          <w:noProof/>
        </w:rPr>
        <w:t>aci v některých oblastech, včetně: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>identifikace (ve fázi legislativních jednání) oblastí, v kterých se mohou vyskytnout rizika při provádění a uplatňování, a v případě potřeby Komise zváží vydání pokynů. Tak tomu již bylo v nedávno přijatých audiovizuálníc</w:t>
      </w:r>
      <w:r>
        <w:rPr>
          <w:noProof/>
        </w:rPr>
        <w:t>h pravidlech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a pravidlech v oblasti autorského práva</w:t>
      </w:r>
      <w:r>
        <w:rPr>
          <w:rStyle w:val="FootnoteReference"/>
          <w:noProof/>
        </w:rPr>
        <w:footnoteReference w:id="10"/>
      </w:r>
      <w:r>
        <w:rPr>
          <w:noProof/>
        </w:rPr>
        <w:t>,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 xml:space="preserve">vydání pokynů k legislativním nástrojům v </w:t>
      </w:r>
      <w:r>
        <w:rPr>
          <w:b/>
          <w:bCs/>
          <w:noProof/>
        </w:rPr>
        <w:t>digitální oblasti</w:t>
      </w:r>
      <w:r>
        <w:rPr>
          <w:noProof/>
        </w:rPr>
        <w:t xml:space="preserve"> (revidovaná pravidla v oblasti telekomunikací, kybernetické bezpečnosti, autorského práva, audiovizuální oblasti), 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 xml:space="preserve">aktualizace </w:t>
      </w:r>
      <w:r>
        <w:rPr>
          <w:b/>
          <w:noProof/>
        </w:rPr>
        <w:t>Příručky k p</w:t>
      </w:r>
      <w:r>
        <w:rPr>
          <w:b/>
          <w:noProof/>
        </w:rPr>
        <w:t>rovedení směrnice o službách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týkající se nedávné judikatury zabývající se základními prvky směrnice o službách a poskytování pokynů k právním otázkám vyvstávajícím například v souvislosti s novými obchodními modely a novými způsoby poskytování služeb,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>zří</w:t>
      </w:r>
      <w:r>
        <w:rPr>
          <w:noProof/>
        </w:rPr>
        <w:t xml:space="preserve">zení </w:t>
      </w:r>
      <w:r>
        <w:rPr>
          <w:b/>
          <w:noProof/>
        </w:rPr>
        <w:t>centrálního informačního místa</w:t>
      </w:r>
      <w:r>
        <w:rPr>
          <w:noProof/>
        </w:rPr>
        <w:t xml:space="preserve"> o praktických otázkách, které si kladou úředníci v členských státech při každodenním uplatňování právních předpisů týkajících se jednotného trhu. To bude probíhat ve spolupráci s členskými státy, přičemž cílem je postupn</w:t>
      </w:r>
      <w:r>
        <w:rPr>
          <w:noProof/>
        </w:rPr>
        <w:t>ě a na dobrovolné bázi integrovat specifické vnitrostátní struktury, které byly zřízeny za účelem provádění práva Unie,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 xml:space="preserve">aktualizace </w:t>
      </w:r>
      <w:r>
        <w:rPr>
          <w:b/>
          <w:noProof/>
        </w:rPr>
        <w:t>pokynů k uplatňování článků 34–36 SFEU</w:t>
      </w:r>
      <w:r>
        <w:rPr>
          <w:rStyle w:val="FootnoteReference"/>
          <w:b/>
          <w:noProof/>
        </w:rPr>
        <w:footnoteReference w:id="12"/>
      </w:r>
      <w:r>
        <w:rPr>
          <w:noProof/>
        </w:rPr>
        <w:t>,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>vydání</w:t>
      </w:r>
      <w:r>
        <w:rPr>
          <w:b/>
          <w:noProof/>
        </w:rPr>
        <w:t xml:space="preserve"> pokynů</w:t>
      </w:r>
      <w:r>
        <w:rPr>
          <w:noProof/>
        </w:rPr>
        <w:t xml:space="preserve"> ke strategickým (sociálním, inovačním, environmentálním) a dalším asp</w:t>
      </w:r>
      <w:r>
        <w:rPr>
          <w:noProof/>
        </w:rPr>
        <w:t xml:space="preserve">ektům (tajné dohody) </w:t>
      </w:r>
      <w:r>
        <w:rPr>
          <w:b/>
          <w:noProof/>
        </w:rPr>
        <w:t>zadávání veřejných zakázek</w:t>
      </w:r>
      <w:r>
        <w:rPr>
          <w:noProof/>
        </w:rPr>
        <w:t xml:space="preserve"> a návrhu </w:t>
      </w:r>
      <w:r>
        <w:rPr>
          <w:b/>
          <w:noProof/>
        </w:rPr>
        <w:t>doporučení k systémům přezkumu</w:t>
      </w:r>
      <w:r>
        <w:rPr>
          <w:noProof/>
        </w:rPr>
        <w:t>,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>vydání</w:t>
      </w:r>
      <w:r>
        <w:rPr>
          <w:b/>
          <w:noProof/>
        </w:rPr>
        <w:t xml:space="preserve"> pokynů k zásadě vzájemného uznávání</w:t>
      </w:r>
      <w:r>
        <w:rPr>
          <w:rStyle w:val="FootnoteReference"/>
          <w:noProof/>
        </w:rPr>
        <w:footnoteReference w:id="13"/>
      </w:r>
      <w:r>
        <w:rPr>
          <w:noProof/>
        </w:rPr>
        <w:t>,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 xml:space="preserve">vydání </w:t>
      </w:r>
      <w:r>
        <w:rPr>
          <w:b/>
          <w:noProof/>
        </w:rPr>
        <w:t>pokynů ke směrnici o odpovědnosti za výrobky</w:t>
      </w:r>
      <w:r>
        <w:rPr>
          <w:rStyle w:val="FootnoteReference"/>
          <w:noProof/>
        </w:rPr>
        <w:footnoteReference w:id="14"/>
      </w:r>
      <w:r>
        <w:rPr>
          <w:noProof/>
        </w:rPr>
        <w:t>,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 xml:space="preserve">vydání </w:t>
      </w:r>
      <w:r>
        <w:rPr>
          <w:b/>
          <w:noProof/>
        </w:rPr>
        <w:t>pokynů k článku 4 nařízení o dozoru nad trhem</w:t>
      </w:r>
      <w:r>
        <w:rPr>
          <w:rStyle w:val="FootnoteReference"/>
          <w:noProof/>
        </w:rPr>
        <w:footnoteReference w:id="15"/>
      </w:r>
      <w:r>
        <w:rPr>
          <w:noProof/>
        </w:rPr>
        <w:t>,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 xml:space="preserve">aktualizace </w:t>
      </w:r>
      <w:r>
        <w:rPr>
          <w:b/>
          <w:noProof/>
        </w:rPr>
        <w:t>„</w:t>
      </w:r>
      <w:r>
        <w:rPr>
          <w:b/>
          <w:noProof/>
        </w:rPr>
        <w:t>Modré příručky“ k provádění pravidel EU pro výrobky</w:t>
      </w:r>
      <w:r>
        <w:rPr>
          <w:rStyle w:val="FootnoteReference"/>
          <w:noProof/>
        </w:rPr>
        <w:footnoteReference w:id="16"/>
      </w:r>
      <w:r>
        <w:rPr>
          <w:noProof/>
        </w:rPr>
        <w:t>,</w:t>
      </w:r>
    </w:p>
    <w:p w:rsidR="00293D03" w:rsidRDefault="00D334F8">
      <w:pPr>
        <w:pStyle w:val="Text3"/>
        <w:numPr>
          <w:ilvl w:val="1"/>
          <w:numId w:val="19"/>
        </w:numPr>
        <w:ind w:left="717"/>
        <w:rPr>
          <w:noProof/>
        </w:rPr>
      </w:pPr>
      <w:r>
        <w:rPr>
          <w:noProof/>
        </w:rPr>
        <w:t xml:space="preserve">zveřejnění aktualizovaných </w:t>
      </w:r>
      <w:r>
        <w:rPr>
          <w:b/>
          <w:noProof/>
        </w:rPr>
        <w:t>doporučení k reformám v oblasti regulace odborných služeb</w:t>
      </w:r>
      <w:r>
        <w:rPr>
          <w:noProof/>
        </w:rPr>
        <w:t xml:space="preserve"> na základě sdělení Komise ze dne 17. ledna 2017</w:t>
      </w:r>
      <w:r>
        <w:rPr>
          <w:rStyle w:val="FootnoteReference"/>
          <w:noProof/>
        </w:rPr>
        <w:footnoteReference w:id="17"/>
      </w:r>
      <w:r>
        <w:rPr>
          <w:noProof/>
        </w:rPr>
        <w:t xml:space="preserve">. Doporučení jsou založena na ukazateli restriktivnosti používaném k </w:t>
      </w:r>
      <w:r>
        <w:rPr>
          <w:noProof/>
        </w:rPr>
        <w:t>posuzování a srovnávání vnitrostátních požadavků v odborných službách s cílem zohlednit nové změny v regulačních rámcích členských států a prosadit další reformy. Tyto reformy mohou mít pozitivní dopady na mobilitu pracovníků a snížení nedostatku kvalifiko</w:t>
      </w:r>
      <w:r>
        <w:rPr>
          <w:noProof/>
        </w:rPr>
        <w:t>vaných pracovních sil a nesouladu mezi nabízenými a požadovanými dovednostmi, zejména v souvislosti s ekologickou a digitální transformací,</w:t>
      </w:r>
    </w:p>
    <w:p w:rsidR="00293D03" w:rsidRDefault="00D334F8">
      <w:pPr>
        <w:pStyle w:val="Text3"/>
        <w:numPr>
          <w:ilvl w:val="1"/>
          <w:numId w:val="19"/>
        </w:numPr>
        <w:ind w:left="717"/>
        <w:rPr>
          <w:noProof/>
        </w:rPr>
      </w:pPr>
      <w:r>
        <w:rPr>
          <w:noProof/>
        </w:rPr>
        <w:t xml:space="preserve">podpory členských států při provádění </w:t>
      </w:r>
      <w:r>
        <w:rPr>
          <w:b/>
          <w:noProof/>
        </w:rPr>
        <w:t>Evropského aktu přístupnosti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, od nějž se očekává, že zvýší dostupnost </w:t>
      </w:r>
      <w:r>
        <w:rPr>
          <w:noProof/>
        </w:rPr>
        <w:t>přístupných výrobků a služeb na trhu,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7"/>
        <w:rPr>
          <w:noProof/>
        </w:rPr>
      </w:pPr>
      <w:r>
        <w:rPr>
          <w:noProof/>
        </w:rPr>
        <w:t xml:space="preserve">zřízení </w:t>
      </w:r>
      <w:r>
        <w:rPr>
          <w:b/>
          <w:noProof/>
        </w:rPr>
        <w:t>platforem pro výměnu informací</w:t>
      </w:r>
      <w:r>
        <w:rPr>
          <w:noProof/>
        </w:rPr>
        <w:t xml:space="preserve"> s členskými státy, jako je například platforma pro směrnice o zadávání veřejných zakázek, s cílem zajistit výměnu podrobných informací mezi Komisí a orgány členských států v konkrétních otázkách.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2: Zlepšení přístupu k informacím o pravidlech a p</w:t>
      </w:r>
      <w:r>
        <w:rPr>
          <w:b/>
          <w:noProof/>
        </w:rPr>
        <w:t>ožadavcích pro uživatele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V zájmu zlepšení znalostí o platných pravidlech a povinnostech pro podniky a s cílem snížit počet případů neshody a nesouladu poskytne jednotná digitální brána</w:t>
      </w:r>
      <w:r>
        <w:rPr>
          <w:rStyle w:val="FootnoteReference"/>
          <w:noProof/>
        </w:rPr>
        <w:footnoteReference w:id="19"/>
      </w:r>
      <w:r>
        <w:rPr>
          <w:noProof/>
        </w:rPr>
        <w:t xml:space="preserve"> přístup ke komplexním informacím o pravidlech a správních postupech tý</w:t>
      </w:r>
      <w:r>
        <w:rPr>
          <w:noProof/>
        </w:rPr>
        <w:t xml:space="preserve">kajících se jednotného trhu a rovněž nasměruje uživatele na nejvhodnější asistenční služby. </w:t>
      </w:r>
    </w:p>
    <w:p w:rsidR="00293D03" w:rsidRDefault="00D334F8">
      <w:pPr>
        <w:pStyle w:val="Text3"/>
        <w:spacing w:before="120" w:after="0" w:line="252" w:lineRule="auto"/>
        <w:ind w:left="357"/>
        <w:rPr>
          <w:noProof/>
        </w:rPr>
      </w:pPr>
      <w:r>
        <w:rPr>
          <w:noProof/>
        </w:rPr>
        <w:t>Kontaktní místa pro výrobky EU s podporou nedávného balíčku týkajícího se zboží</w:t>
      </w:r>
      <w:r>
        <w:rPr>
          <w:rStyle w:val="FootnoteReference"/>
          <w:noProof/>
        </w:rPr>
        <w:footnoteReference w:id="20"/>
      </w:r>
      <w:r>
        <w:rPr>
          <w:noProof/>
        </w:rPr>
        <w:t xml:space="preserve"> poskytnou podnikům lepší a rychlejší informace o pravidlech, která se vztahují na </w:t>
      </w:r>
      <w:r>
        <w:rPr>
          <w:noProof/>
        </w:rPr>
        <w:t xml:space="preserve">jejich výrobky. 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3: On-line platformy usnadňující soulad výrobků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Prodejci výrobků na platformách elektronického obchodování si musí být vědomi pravidel EU pro výrobky a zajistit, aby na trh EU nebyly uváděny žádné nezákonné a nebezpečné výrobky. M</w:t>
      </w:r>
      <w:r>
        <w:rPr>
          <w:noProof/>
        </w:rPr>
        <w:t>ožná opatření ke zlepšení souladu výrobků prodávaných prostřednictvím on-line platforem budou analyzována coby součást aktu o digitálních službách. Revize směrnice o obecné bezpečnosti výrobků</w:t>
      </w:r>
      <w:r>
        <w:rPr>
          <w:noProof/>
          <w:vertAlign w:val="superscript"/>
        </w:rPr>
        <w:footnoteReference w:id="21"/>
      </w:r>
      <w:r>
        <w:rPr>
          <w:noProof/>
        </w:rPr>
        <w:t xml:space="preserve"> se bude rovněž zabývat problémy s bezpečností výrobků při prod</w:t>
      </w:r>
      <w:r>
        <w:rPr>
          <w:noProof/>
        </w:rPr>
        <w:t>eji on-line a v globálním dodavatelském řetězci on-line.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4: Odborná příprava a výměna osvědčených postupů mezi soudci a aplikujícími odborníky jednotlivých států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Občané a podniky EU se při ochraně svých práv na jednotném trhu spoléhají na vnitrost</w:t>
      </w:r>
      <w:r>
        <w:rPr>
          <w:noProof/>
        </w:rPr>
        <w:t>átní soudy. Proto je nezbytné, aby byli soudci jednotlivých států v právu Unie dobře proškoleni. Budou posíleny vzdělávací programy a semináře pro soudce a další právníky odpovědné za prosazování právních předpisů týkajících se jednotného trhu s cílem zlep</w:t>
      </w:r>
      <w:r>
        <w:rPr>
          <w:noProof/>
        </w:rPr>
        <w:t>šit chápání těchto předpisů a povědomí o nich. Odborná příprava a semináře budou součástí vnitrostátní nabídky školení a budou mít rovněž podobu odborné přípravy na úrovni EU, mimo jiné v souvislosti s nadcházející revizí evropské strategie justičního vzdě</w:t>
      </w:r>
      <w:r>
        <w:rPr>
          <w:noProof/>
        </w:rPr>
        <w:t>lávání.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5: Budování kapacit ve státních správách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Na žádost členských států budou specializované programy, jako například program pro jednotný trh navržený v rámci víceletého finančního rámce na období 2021–2027, poskytovat finanční pobídky a techn</w:t>
      </w:r>
      <w:r>
        <w:rPr>
          <w:noProof/>
        </w:rPr>
        <w:t xml:space="preserve">ickou podporu pro optimalizaci kapacit státní správy pro provádění a prosazování. 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 xml:space="preserve">Přístup k programu pro jednotný trh bude založen na srovnávacích ukazatelích umožňujících sledovat lepší prosazování pravidel v praxi, například kontrolovaná odvětví, počet </w:t>
      </w:r>
      <w:r>
        <w:rPr>
          <w:noProof/>
        </w:rPr>
        <w:t>inspektorů nebo počet výrobků odstraněných z trhu. Na základě výsledků členských států a zjištěných potřeb by pak byly přidělovány další kapacity, zajišťována odborná příprava, výměny apod. V této souvislosti budou prozkoumány rovněž další možnosti usnadně</w:t>
      </w:r>
      <w:r>
        <w:rPr>
          <w:noProof/>
        </w:rPr>
        <w:t xml:space="preserve">ní a posílení využití vnitrostátních mechanismů nápravy ze strany podniků a občanů. </w:t>
      </w:r>
    </w:p>
    <w:p w:rsidR="00293D03" w:rsidRDefault="00D334F8">
      <w:pPr>
        <w:spacing w:before="120" w:after="0" w:line="252" w:lineRule="auto"/>
        <w:ind w:left="357"/>
        <w:rPr>
          <w:noProof/>
        </w:rPr>
      </w:pPr>
      <w:r>
        <w:rPr>
          <w:noProof/>
        </w:rPr>
        <w:t>V rámci navrhovaného programu na podporu reforem mohou veřejné orgány požádat o technickou podporu související s potřebami reforem identifikovanými členskými státy v soula</w:t>
      </w:r>
      <w:r>
        <w:rPr>
          <w:noProof/>
        </w:rPr>
        <w:t>du s evropským semestrem, prioritami Unie a cyklem správy ekonomických záležitostí Unie.</w:t>
      </w:r>
    </w:p>
    <w:p w:rsidR="00293D03" w:rsidRDefault="00D334F8">
      <w:pPr>
        <w:spacing w:before="120" w:after="0" w:line="252" w:lineRule="auto"/>
        <w:ind w:left="357"/>
        <w:rPr>
          <w:noProof/>
        </w:rPr>
      </w:pPr>
      <w:r>
        <w:rPr>
          <w:noProof/>
        </w:rPr>
        <w:t>Kromě toho zahrnuje 4. aktualizace akčního plánu pro zadávání veřejných zakázek 2020</w:t>
      </w:r>
      <w:r>
        <w:rPr>
          <w:rStyle w:val="FootnoteReference"/>
          <w:noProof/>
        </w:rPr>
        <w:footnoteReference w:id="22"/>
      </w:r>
      <w:r>
        <w:rPr>
          <w:noProof/>
        </w:rPr>
        <w:t xml:space="preserve"> řadu nových iniciativ, které mají správcům a příjemcům finančních prostředků EU p</w:t>
      </w:r>
      <w:r>
        <w:rPr>
          <w:noProof/>
        </w:rPr>
        <w:t>omoci zlepšit své postupy zadávání veřejných zakázek, zajistit rovné podmínky a využívat zadávání veřejných zakázek jako strategického nástroje k provádění klíčových cílů politiky.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6: Budování kapacit odborníků na zadávání veřejných zakázek a posí</w:t>
      </w:r>
      <w:r>
        <w:rPr>
          <w:b/>
          <w:noProof/>
        </w:rPr>
        <w:t xml:space="preserve">lení spolupráce mezi vnitrostátními orgány 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Komise v partnerství s členskými státy vytvoří praktické nástroje pro rozšiřování dovedností úředníků zabývajících se zadáváním veřejných zakázek, sdruží veřejné kupující na podporu sdílení odborných znalostí, us</w:t>
      </w:r>
      <w:r>
        <w:rPr>
          <w:noProof/>
        </w:rPr>
        <w:t>nadní odbornou přípravu a podpoří společné pořizování v souladu s požadavky občanů na ekologičtější, sociálně odpovědné a inovativní zadávání veřejných zakázek.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 xml:space="preserve">Komise bude rovněž podporovat spolupráci a výměnu osvědčených postupů v rámci sítě přezkumných </w:t>
      </w:r>
      <w:r>
        <w:rPr>
          <w:noProof/>
        </w:rPr>
        <w:t xml:space="preserve">orgánů první instance v oblasti zadávání veřejných zakázek. </w:t>
      </w:r>
    </w:p>
    <w:p w:rsidR="00293D03" w:rsidRDefault="00293D03">
      <w:pPr>
        <w:spacing w:before="120" w:after="0" w:line="252" w:lineRule="auto"/>
        <w:ind w:left="357"/>
        <w:rPr>
          <w:noProof/>
        </w:rPr>
      </w:pPr>
    </w:p>
    <w:p w:rsidR="00293D03" w:rsidRDefault="00D334F8">
      <w:pPr>
        <w:keepNext/>
        <w:spacing w:before="480" w:after="0" w:line="252" w:lineRule="auto"/>
        <w:rPr>
          <w:rFonts w:ascii="Times New Roman Bold" w:hAnsi="Times New Roman Bold"/>
          <w:smallCaps/>
          <w:noProof/>
          <w:sz w:val="28"/>
          <w:szCs w:val="28"/>
        </w:rPr>
      </w:pPr>
      <w:r>
        <w:rPr>
          <w:rFonts w:ascii="Times New Roman Bold" w:hAnsi="Times New Roman Bold"/>
          <w:smallCaps/>
          <w:noProof/>
          <w:sz w:val="28"/>
          <w:szCs w:val="28"/>
        </w:rPr>
        <w:t>II</w:t>
      </w:r>
      <w:r>
        <w:rPr>
          <w:rFonts w:ascii="Times New Roman Bold" w:hAnsi="Times New Roman Bold"/>
          <w:smallCaps/>
          <w:noProof/>
          <w:sz w:val="28"/>
          <w:szCs w:val="28"/>
        </w:rPr>
        <w:tab/>
        <w:t>Zlepšení provádění, uplatňování a používání pravidel EU</w:t>
      </w:r>
    </w:p>
    <w:p w:rsidR="00293D03" w:rsidRDefault="00D334F8">
      <w:pPr>
        <w:spacing w:before="180" w:after="0" w:line="252" w:lineRule="auto"/>
        <w:rPr>
          <w:noProof/>
        </w:rPr>
      </w:pPr>
      <w:r>
        <w:rPr>
          <w:noProof/>
        </w:rPr>
        <w:t xml:space="preserve">Nesprávné provádění, uplatňování a používání pravidel EU vytváří překážky a bariéry pro hladké fungování jednotného trhu. 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 xml:space="preserve">OPATŘENÍ 7: </w:t>
      </w:r>
      <w:r>
        <w:rPr>
          <w:b/>
          <w:noProof/>
        </w:rPr>
        <w:t>Strukturovaný dialog pro lepší provádění směrnic o jednotném trhu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Během lhůty pro provedení ve vnitrostátním právu bude mezi členskými státy a Komisí navázán strukturovaný dialog s cílem zlepšit včasné a správné provedení směrnic. Tento strukturovaný dialo</w:t>
      </w:r>
      <w:r>
        <w:rPr>
          <w:noProof/>
        </w:rPr>
        <w:t>g zjednoduší kontroly shody před tím, než členské státy přijmou své příslušné právní předpisy. Proces provádění může být podpořen použitím „dynamických virtuálních srovnávacích tabulek“</w:t>
      </w:r>
      <w:r>
        <w:rPr>
          <w:noProof/>
          <w:vertAlign w:val="superscript"/>
        </w:rPr>
        <w:footnoteReference w:id="23"/>
      </w:r>
      <w:r>
        <w:rPr>
          <w:noProof/>
        </w:rPr>
        <w:t>, pomocí nichž lze sledovat vnitrostátní právní předpisy, včetně násle</w:t>
      </w:r>
      <w:r>
        <w:rPr>
          <w:noProof/>
        </w:rPr>
        <w:t>dných změn či zrušení. Po přijetí vnitrostátních právních předpisů by členské státy měly Komisi poskytnout jasné a přesné vysvětlení, která vnitrostátní ustanovení provádějí odpovídající povinnosti ve směrnicích</w:t>
      </w:r>
      <w:r>
        <w:rPr>
          <w:rStyle w:val="FootnoteReference"/>
          <w:noProof/>
        </w:rPr>
        <w:footnoteReference w:id="24"/>
      </w:r>
      <w:r>
        <w:rPr>
          <w:noProof/>
        </w:rPr>
        <w:t>. V této souvislosti bude zvláštní pozornost</w:t>
      </w:r>
      <w:r>
        <w:rPr>
          <w:noProof/>
        </w:rPr>
        <w:t xml:space="preserve"> věnována problematice neoprávněného „gold platingu“.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8: Prováděcí partnerství pro nařízení o jednotném trhu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S cílem zlepšit provádění ustanovení nařízení o jednotném trhu, která vyžadují opatření členských států (např. zřízení struktur nebo vypra</w:t>
      </w:r>
      <w:r>
        <w:rPr>
          <w:noProof/>
        </w:rPr>
        <w:t>cování postupů), budou před zahájením jejich uplatňování pořádána specializovaná jednání mezi Komisí a členskými státy, a to jakmile bude dosaženo politické dohody o daném nařízení. Budou se konat pracovní semináře s cílem pomoci členským státům s prováděn</w:t>
      </w:r>
      <w:r>
        <w:rPr>
          <w:noProof/>
        </w:rPr>
        <w:t>ím ustanovení požadovaných v nařízeních s dostatečným předstihem před vstupem příslušných ustanovení v platnost</w:t>
      </w:r>
      <w:r>
        <w:rPr>
          <w:rStyle w:val="FootnoteReference"/>
          <w:noProof/>
        </w:rPr>
        <w:footnoteReference w:id="25"/>
      </w:r>
      <w:r>
        <w:rPr>
          <w:noProof/>
        </w:rPr>
        <w:t>.</w:t>
      </w:r>
    </w:p>
    <w:p w:rsidR="00293D03" w:rsidRDefault="00D334F8">
      <w:pPr>
        <w:keepNext/>
        <w:spacing w:before="480" w:after="0" w:line="252" w:lineRule="auto"/>
        <w:rPr>
          <w:rFonts w:ascii="Times New Roman Bold" w:hAnsi="Times New Roman Bold"/>
          <w:smallCaps/>
          <w:noProof/>
          <w:sz w:val="28"/>
          <w:szCs w:val="28"/>
        </w:rPr>
      </w:pPr>
      <w:r>
        <w:rPr>
          <w:rFonts w:ascii="Times New Roman Bold" w:hAnsi="Times New Roman Bold"/>
          <w:smallCaps/>
          <w:noProof/>
          <w:sz w:val="28"/>
          <w:szCs w:val="28"/>
        </w:rPr>
        <w:t>III</w:t>
      </w:r>
      <w:r>
        <w:rPr>
          <w:rFonts w:ascii="Times New Roman Bold" w:hAnsi="Times New Roman Bold"/>
          <w:smallCaps/>
          <w:noProof/>
          <w:sz w:val="28"/>
          <w:szCs w:val="28"/>
        </w:rPr>
        <w:tab/>
        <w:t xml:space="preserve">Maximální využití preventivních mechanismů </w:t>
      </w:r>
    </w:p>
    <w:p w:rsidR="00293D03" w:rsidRDefault="00D334F8">
      <w:pPr>
        <w:spacing w:before="180" w:after="0" w:line="252" w:lineRule="auto"/>
        <w:rPr>
          <w:noProof/>
        </w:rPr>
      </w:pPr>
      <w:r>
        <w:rPr>
          <w:noProof/>
        </w:rPr>
        <w:t>Prevence rozporu vnitrostátních opatření s právními předpisy EU v členských státech pomůže zaj</w:t>
      </w:r>
      <w:r>
        <w:rPr>
          <w:noProof/>
        </w:rPr>
        <w:t>istit rovné podmínky pro občany a podniky na jednotném trhu a zabrání zdlouhavým řízením o nesplnění povinnosti. Například maximální využití stávajících oznamovacích nástrojů pro tato opatření podpoří soulad s pravidly EU.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 xml:space="preserve">OPATŘENÍ 9: Zlepšit posouzení </w:t>
      </w:r>
      <w:r>
        <w:rPr>
          <w:b/>
          <w:i/>
          <w:noProof/>
        </w:rPr>
        <w:t xml:space="preserve">ex </w:t>
      </w:r>
      <w:r>
        <w:rPr>
          <w:b/>
          <w:i/>
          <w:noProof/>
        </w:rPr>
        <w:t>ante</w:t>
      </w:r>
      <w:r>
        <w:rPr>
          <w:b/>
          <w:noProof/>
        </w:rPr>
        <w:t xml:space="preserve"> omezující právní úpravy podle směrnice o testu přiměřenosti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  <w:u w:val="single"/>
        </w:rPr>
      </w:pPr>
      <w:r>
        <w:rPr>
          <w:noProof/>
        </w:rPr>
        <w:t xml:space="preserve">S cílem předcházet vzniku nových omezení ve vnitrostátních předpisech poskytne Komise členským státům pomoc a pokyny a usnadní výměnu osvědčených postupů mezi nimi ohledně posouzení přiměřenosti </w:t>
      </w:r>
      <w:r>
        <w:rPr>
          <w:i/>
          <w:noProof/>
        </w:rPr>
        <w:t>ex ante</w:t>
      </w:r>
      <w:r>
        <w:rPr>
          <w:noProof/>
        </w:rPr>
        <w:t xml:space="preserve"> na základě směrnice o testu přiměřenosti</w:t>
      </w:r>
      <w:r>
        <w:rPr>
          <w:rStyle w:val="FootnoteReference"/>
          <w:noProof/>
        </w:rPr>
        <w:footnoteReference w:id="26"/>
      </w:r>
      <w:r>
        <w:rPr>
          <w:noProof/>
        </w:rPr>
        <w:t>, která uklá</w:t>
      </w:r>
      <w:r>
        <w:rPr>
          <w:noProof/>
        </w:rPr>
        <w:t xml:space="preserve">dá členským státům povinnost důkladně posoudit přiměřenost nových vnitrostátních profesních předpisů před jejich přijetím. 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 xml:space="preserve">OPATŘENÍ 10: Zefektivnění fungování směrnice o transparentnosti jednotného trhu 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V souladu se strategičtějším přístupem pro donucova</w:t>
      </w:r>
      <w:r>
        <w:rPr>
          <w:noProof/>
        </w:rPr>
        <w:t>cí opatření Komise</w:t>
      </w:r>
      <w:r>
        <w:rPr>
          <w:rStyle w:val="FootnoteReference"/>
          <w:noProof/>
        </w:rPr>
        <w:footnoteReference w:id="27"/>
      </w:r>
      <w:r>
        <w:rPr>
          <w:noProof/>
        </w:rPr>
        <w:t xml:space="preserve"> bude budoucí provádění směrnice o transparentnosti jednotného trhu</w:t>
      </w:r>
      <w:r>
        <w:rPr>
          <w:rStyle w:val="FootnoteReference"/>
          <w:noProof/>
        </w:rPr>
        <w:footnoteReference w:id="28"/>
      </w:r>
      <w:r>
        <w:rPr>
          <w:noProof/>
        </w:rPr>
        <w:t xml:space="preserve"> postaveno na čtyřech osách: i) členské státy oznámí všechny návrhy technických předpisů týkajících zboží a služeb informační společnosti; ii) Komise se bude zabývat vše</w:t>
      </w:r>
      <w:r>
        <w:rPr>
          <w:noProof/>
        </w:rPr>
        <w:t>mi oznámeními vzbuzujícími obavy ohledně jejich souladu s právem Unie; iii) při rozhodování o následných opatřeních se Komise zaměří zvláště na opatření, která mají největší dopad na jednotný trh; iv) Komise bude sledovat právní předpisy, které byly předmě</w:t>
      </w:r>
      <w:r>
        <w:rPr>
          <w:noProof/>
        </w:rPr>
        <w:t xml:space="preserve">tem reakce Komise v rámci směrnice a které mohou v případě, že nedojde ke vhodné úpravě, vést k řízení o nesplnění povinnosti. </w:t>
      </w:r>
    </w:p>
    <w:p w:rsidR="00293D03" w:rsidRDefault="00D334F8">
      <w:pPr>
        <w:pStyle w:val="Text3"/>
        <w:spacing w:before="120" w:after="0" w:line="252" w:lineRule="auto"/>
        <w:ind w:left="357"/>
        <w:rPr>
          <w:noProof/>
        </w:rPr>
      </w:pPr>
      <w:r>
        <w:rPr>
          <w:noProof/>
        </w:rPr>
        <w:t>Komise rovněž vyzve vnitrostátní orgány, aby reagovaly na oznámení učiněná jinými členskými státy, stanovily rámec pro pravideln</w:t>
      </w:r>
      <w:r>
        <w:rPr>
          <w:noProof/>
        </w:rPr>
        <w:t xml:space="preserve">é kontakty mezi vnitrostátními regulačními orgány a orgány odpovědnými za provádění směrnice o transparentnosti jednotného trhu a aby podporovaly sbližování vnitrostátních právních předpisů. Pokud se ukáže, že stávající úroveň harmonizace není dostatečná, </w:t>
      </w:r>
      <w:r>
        <w:rPr>
          <w:noProof/>
        </w:rPr>
        <w:t xml:space="preserve">Komise pečlivě posoudí, zda by nebylo vhodné přistoupit k větší harmonizaci na evropské úrovni. 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11: Předcházení vzniku nových překážek poskytování služeb na jednotném trhu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S cílem předejít vzniku neopodstatněných překážek na jednotném trhu služeb</w:t>
      </w:r>
      <w:r>
        <w:rPr>
          <w:noProof/>
        </w:rPr>
        <w:t xml:space="preserve"> vyzývá Komise Evropský parlament a Radu, aby urychleně přijaly legislativní návrh nové směrnice o postupu oznamování týkajícím se služeb</w:t>
      </w:r>
      <w:r>
        <w:rPr>
          <w:rStyle w:val="FootnoteReference"/>
          <w:noProof/>
        </w:rPr>
        <w:footnoteReference w:id="29"/>
      </w:r>
      <w:r>
        <w:rPr>
          <w:noProof/>
        </w:rPr>
        <w:t>. Do doby, než bude návrh přijat, přijme Komise opatření k zajištění toho, aby členské státy dodržovaly stávající ozna</w:t>
      </w:r>
      <w:r>
        <w:rPr>
          <w:noProof/>
        </w:rPr>
        <w:t>movací povinnost podle směrnice o službách s cílem identifikovat a odstraňovat případné nové regulační překážky.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12: Plné využití potenciálu mechanismu oznamování podle směrnice o elektronickém obchodu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Členské státy, které omezují svobodu poskytov</w:t>
      </w:r>
      <w:r>
        <w:rPr>
          <w:noProof/>
        </w:rPr>
        <w:t>ání přeshraničních služeb informační společnosti oprávněným a přiměřeným způsobem, sice musí oznamovat vnitrostátní opatření omezující tuto svobodu členskému státu, v němž je poskytovatel usazen, a Komisi, avšak potenciál tohoto mechanismu oznamování podle</w:t>
      </w:r>
      <w:r>
        <w:rPr>
          <w:noProof/>
        </w:rPr>
        <w:t xml:space="preserve"> směrnice o elektronickém obchodu</w:t>
      </w:r>
      <w:r>
        <w:rPr>
          <w:rStyle w:val="FootnoteReference"/>
          <w:noProof/>
        </w:rPr>
        <w:footnoteReference w:id="30"/>
      </w:r>
      <w:r>
        <w:rPr>
          <w:noProof/>
        </w:rPr>
        <w:t xml:space="preserve"> není stále využit naplno. Možná opatření ke zlepšení spolupráce mezi členskými státy jakož i nástroje v rámci mechanismu oznamování budou analyzovány v rámci přípravné činnosti na aktu o digitálních službách. </w:t>
      </w:r>
    </w:p>
    <w:p w:rsidR="00293D03" w:rsidRDefault="00D334F8">
      <w:pPr>
        <w:keepNext/>
        <w:spacing w:before="480" w:after="0" w:line="252" w:lineRule="auto"/>
        <w:rPr>
          <w:rFonts w:ascii="Times New Roman Bold" w:hAnsi="Times New Roman Bold"/>
          <w:smallCaps/>
          <w:noProof/>
          <w:kern w:val="28"/>
          <w:sz w:val="28"/>
          <w:szCs w:val="28"/>
        </w:rPr>
      </w:pPr>
      <w:r>
        <w:rPr>
          <w:rFonts w:ascii="Times New Roman Bold" w:hAnsi="Times New Roman Bold"/>
          <w:smallCaps/>
          <w:noProof/>
          <w:sz w:val="28"/>
          <w:szCs w:val="28"/>
        </w:rPr>
        <w:t>IV</w:t>
      </w:r>
      <w:r>
        <w:rPr>
          <w:rFonts w:ascii="Times New Roman Bold" w:hAnsi="Times New Roman Bold"/>
          <w:smallCaps/>
          <w:noProof/>
          <w:sz w:val="28"/>
          <w:szCs w:val="28"/>
        </w:rPr>
        <w:tab/>
        <w:t>Odhalová</w:t>
      </w:r>
      <w:r>
        <w:rPr>
          <w:rFonts w:ascii="Times New Roman Bold" w:hAnsi="Times New Roman Bold"/>
          <w:smallCaps/>
          <w:noProof/>
          <w:sz w:val="28"/>
          <w:szCs w:val="28"/>
        </w:rPr>
        <w:t>ní nesouladu na vnitřním trhu a na vnějších hranicích</w:t>
      </w:r>
    </w:p>
    <w:p w:rsidR="00293D03" w:rsidRDefault="00D334F8">
      <w:pPr>
        <w:spacing w:before="180" w:after="0" w:line="252" w:lineRule="auto"/>
        <w:rPr>
          <w:noProof/>
        </w:rPr>
      </w:pPr>
      <w:r>
        <w:rPr>
          <w:noProof/>
        </w:rPr>
        <w:t>Jakmile jsou vnitrostátní pravidla přijata a vstoupila v platnost, vyžaduje hladké fungování jednotného trhu, aby vnitrostátní orgány a Komise byly schopny odhalit nesoulad. Komise a orgány členských st</w:t>
      </w:r>
      <w:r>
        <w:rPr>
          <w:noProof/>
        </w:rPr>
        <w:t xml:space="preserve">átů musí mít za tímto účelem k dispozici nástroje ke zlepšení kapacity odhalování, vyšetřování a rychlého sdílení informací. 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13: Racionalizace informačních systémů v oblasti jednotného trhu a zřízení platformy pro elektronické prosazování pravide</w:t>
      </w:r>
      <w:r>
        <w:rPr>
          <w:b/>
          <w:noProof/>
        </w:rPr>
        <w:t>l (laboratoř elektronického prosazování)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Komise a členské státy používají ke sdílení informací o nezákonném a nevyhovujícím průmyslovém a spotřebním zboží několik informačních systémů. S cílem snížit roztříštěnost informačních systémů</w:t>
      </w:r>
      <w:r>
        <w:rPr>
          <w:rStyle w:val="FootnoteReference"/>
          <w:noProof/>
        </w:rPr>
        <w:footnoteReference w:id="31"/>
      </w:r>
      <w:r>
        <w:rPr>
          <w:noProof/>
        </w:rPr>
        <w:t xml:space="preserve"> používaných ke sdíle</w:t>
      </w:r>
      <w:r>
        <w:rPr>
          <w:noProof/>
        </w:rPr>
        <w:t xml:space="preserve">ní informací o nezákonném a nevyhovujícím průmyslovém a spotřebním zboží Komise: </w:t>
      </w:r>
    </w:p>
    <w:p w:rsidR="00293D03" w:rsidRDefault="00D334F8">
      <w:pPr>
        <w:pStyle w:val="Text2"/>
        <w:numPr>
          <w:ilvl w:val="1"/>
          <w:numId w:val="19"/>
        </w:numPr>
        <w:spacing w:before="120" w:after="0" w:line="252" w:lineRule="auto"/>
        <w:ind w:left="709"/>
        <w:rPr>
          <w:noProof/>
        </w:rPr>
      </w:pPr>
      <w:r>
        <w:rPr>
          <w:noProof/>
        </w:rPr>
        <w:t xml:space="preserve">zřídí pro orgány </w:t>
      </w:r>
      <w:r>
        <w:rPr>
          <w:b/>
          <w:noProof/>
        </w:rPr>
        <w:t>jednotné evropské informační místo</w:t>
      </w:r>
      <w:r>
        <w:rPr>
          <w:noProof/>
        </w:rPr>
        <w:t xml:space="preserve"> pro kontroly nepotravinářských výrobků, jehož prostřednictvím bude možno se připojit ke stávajícím systémům, jako je systém ICSMS a RAPEX a připravovaný jednotný celní portál, a mezi systémy bude docházet k cílené výměně údajů v souladu s platnými právním</w:t>
      </w:r>
      <w:r>
        <w:rPr>
          <w:noProof/>
        </w:rPr>
        <w:t>i předpisy,</w:t>
      </w:r>
    </w:p>
    <w:p w:rsidR="00293D03" w:rsidRDefault="00D334F8">
      <w:pPr>
        <w:pStyle w:val="Text2"/>
        <w:numPr>
          <w:ilvl w:val="1"/>
          <w:numId w:val="19"/>
        </w:numPr>
        <w:spacing w:before="120" w:after="0" w:line="252" w:lineRule="auto"/>
        <w:ind w:left="717"/>
        <w:rPr>
          <w:noProof/>
        </w:rPr>
      </w:pPr>
      <w:r>
        <w:rPr>
          <w:noProof/>
        </w:rPr>
        <w:t xml:space="preserve">spolu s členskými státy zajistí, aby se </w:t>
      </w:r>
      <w:r>
        <w:rPr>
          <w:b/>
          <w:noProof/>
        </w:rPr>
        <w:t>systém pro výměnu informací o vnitřním trhu (IMI)</w:t>
      </w:r>
      <w:r>
        <w:rPr>
          <w:noProof/>
        </w:rPr>
        <w:t xml:space="preserve"> stal výchozím nástrojem správní spolupráce na jednotném trhu s využitím dostupných údajů a informací a hodnocením toho, jak správní spolupráce funguje v n</w:t>
      </w:r>
      <w:r>
        <w:rPr>
          <w:noProof/>
        </w:rPr>
        <w:t xml:space="preserve">ěkterých oblastech jednotného trhu, </w:t>
      </w:r>
    </w:p>
    <w:p w:rsidR="00293D03" w:rsidRDefault="00D334F8">
      <w:pPr>
        <w:pStyle w:val="Text2"/>
        <w:numPr>
          <w:ilvl w:val="1"/>
          <w:numId w:val="19"/>
        </w:numPr>
        <w:spacing w:before="120" w:after="0" w:line="252" w:lineRule="auto"/>
        <w:rPr>
          <w:noProof/>
        </w:rPr>
      </w:pPr>
      <w:r>
        <w:rPr>
          <w:noProof/>
        </w:rPr>
        <w:t>vytvoří v rámci jednotné digitální brány a s využitím zkušeností získaných při snižování administrativní zátěže</w:t>
      </w:r>
      <w:r>
        <w:rPr>
          <w:rStyle w:val="FootnoteReference"/>
          <w:noProof/>
        </w:rPr>
        <w:footnoteReference w:id="32"/>
      </w:r>
      <w:r>
        <w:rPr>
          <w:b/>
          <w:noProof/>
        </w:rPr>
        <w:t xml:space="preserve"> nástroj pro řešení překážek na jednotném trhu</w:t>
      </w:r>
      <w:r>
        <w:rPr>
          <w:noProof/>
        </w:rPr>
        <w:t>, který umožní občanům a podnikům anonymně hlásit regulační p</w:t>
      </w:r>
      <w:r>
        <w:rPr>
          <w:noProof/>
        </w:rPr>
        <w:t>řekážky, s nimiž se setkali při výkonu svých práv na vnitřním trhu,</w:t>
      </w:r>
    </w:p>
    <w:p w:rsidR="00293D03" w:rsidRDefault="00D334F8">
      <w:pPr>
        <w:pStyle w:val="Text2"/>
        <w:numPr>
          <w:ilvl w:val="1"/>
          <w:numId w:val="19"/>
        </w:numPr>
        <w:spacing w:before="120" w:after="0" w:line="252" w:lineRule="auto"/>
        <w:ind w:left="717"/>
        <w:rPr>
          <w:noProof/>
        </w:rPr>
      </w:pPr>
      <w:r>
        <w:rPr>
          <w:noProof/>
        </w:rPr>
        <w:t>bude spolu s členskými státy plně využívat systém pro správu informací o úředních kontrolách (IMSOC) pro lepší prosazování právních předpisů EU v oblasti zemědělství a potravinářství (včet</w:t>
      </w:r>
      <w:r>
        <w:rPr>
          <w:noProof/>
        </w:rPr>
        <w:t xml:space="preserve">ně zdraví zvířat a rostlin). Systém IMSOC propojí a umožní výměnu informací mezi příslušnými stávajícími informačními systémy (iRASFF </w:t>
      </w:r>
      <w:r>
        <w:rPr>
          <w:rStyle w:val="FootnoteReference"/>
          <w:noProof/>
        </w:rPr>
        <w:footnoteReference w:id="33"/>
      </w:r>
      <w:r>
        <w:rPr>
          <w:noProof/>
        </w:rPr>
        <w:t xml:space="preserve">, ADIS-exADNS </w:t>
      </w:r>
      <w:r>
        <w:rPr>
          <w:rStyle w:val="FootnoteReference"/>
          <w:noProof/>
        </w:rPr>
        <w:footnoteReference w:id="34"/>
      </w:r>
      <w:r>
        <w:rPr>
          <w:noProof/>
        </w:rPr>
        <w:t xml:space="preserve">, EUROPHYT </w:t>
      </w:r>
      <w:r>
        <w:rPr>
          <w:rStyle w:val="FootnoteReference"/>
          <w:noProof/>
        </w:rPr>
        <w:footnoteReference w:id="35"/>
      </w:r>
      <w:r>
        <w:rPr>
          <w:noProof/>
        </w:rPr>
        <w:t>, TRACES</w:t>
      </w:r>
      <w:r>
        <w:rPr>
          <w:rStyle w:val="FootnoteReference"/>
          <w:noProof/>
        </w:rPr>
        <w:footnoteReference w:id="36"/>
      </w:r>
      <w:r>
        <w:rPr>
          <w:noProof/>
        </w:rPr>
        <w:t xml:space="preserve">), </w:t>
      </w:r>
    </w:p>
    <w:p w:rsidR="00293D03" w:rsidRDefault="00D334F8">
      <w:pPr>
        <w:pStyle w:val="Text2"/>
        <w:numPr>
          <w:ilvl w:val="1"/>
          <w:numId w:val="19"/>
        </w:numPr>
        <w:spacing w:before="120" w:after="0" w:line="252" w:lineRule="auto"/>
        <w:ind w:left="717"/>
        <w:rPr>
          <w:noProof/>
        </w:rPr>
      </w:pPr>
      <w:r>
        <w:rPr>
          <w:noProof/>
        </w:rPr>
        <w:t>prozkoumá, zda může být laboratoř financovaná v rámci programu pro jednotný trh n</w:t>
      </w:r>
      <w:r>
        <w:rPr>
          <w:noProof/>
        </w:rPr>
        <w:t>ebo programu Digitální Evropa pro testování a uplatňování pokročilých řešení IT začleněna do stávajících struktur, jako je síť pro spolupráci v oblasti ochrany spotřebitele, síť EU pro soulad výrobků s předpisy nebo Evropské středisko pro sledování porušov</w:t>
      </w:r>
      <w:r>
        <w:rPr>
          <w:noProof/>
        </w:rPr>
        <w:t>ání práv duševního vlastnictví, nebo být s nimi propojena.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14: Posílení boje proti padělaným a nelegálním výrobkům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Komise a Evropský úřad pro boj proti podvodům (OLAF) spolupracují s vnitrostátními orgány v členských státech a třetích zemích v rám</w:t>
      </w:r>
      <w:r>
        <w:rPr>
          <w:noProof/>
        </w:rPr>
        <w:t xml:space="preserve">ci vzájemné správní pomoci v případech nedovoleného dovozu/vývozu a přispívají k předcházení vstupu nezákonných výrobků na jednotný trh. </w:t>
      </w:r>
    </w:p>
    <w:p w:rsidR="00293D03" w:rsidRDefault="00D334F8">
      <w:pPr>
        <w:pStyle w:val="Text3"/>
        <w:spacing w:before="120" w:after="0" w:line="252" w:lineRule="auto"/>
        <w:ind w:left="357"/>
        <w:rPr>
          <w:noProof/>
        </w:rPr>
      </w:pPr>
      <w:r>
        <w:rPr>
          <w:noProof/>
        </w:rPr>
        <w:t>Nezákonné výrobky nejsou dnes do Unie pouze dováženy, ale jsou v ní také vyráběny nebo montovány z dovážených součástí</w:t>
      </w:r>
      <w:r>
        <w:rPr>
          <w:noProof/>
        </w:rPr>
        <w:t xml:space="preserve"> a následně umístěny na jednotném trhu, kde se s nimi také obchoduje. OLAF však v těchto případech nemůže zasahovat, protože jeho stávající mandát se nevztahuje na případy v rámci EU.</w:t>
      </w:r>
    </w:p>
    <w:p w:rsidR="00293D03" w:rsidRDefault="00D334F8">
      <w:pPr>
        <w:pStyle w:val="Text3"/>
        <w:spacing w:before="120" w:after="0" w:line="252" w:lineRule="auto"/>
        <w:ind w:left="357"/>
        <w:rPr>
          <w:noProof/>
        </w:rPr>
      </w:pPr>
      <w:r>
        <w:rPr>
          <w:noProof/>
        </w:rPr>
        <w:t>V zájmu lepšího prosazování práv duševního vlastnictví a posílení zákazů</w:t>
      </w:r>
      <w:r>
        <w:rPr>
          <w:noProof/>
        </w:rPr>
        <w:t xml:space="preserve"> nebo omezení uvádět nelegální nebo padělané zboží na jednotný trh by se Komise a členské státy mohly inspirovat pravidly pro vzájemnou správní pomoc v celních záležitostech a rovněž zvážit rozšíření mandátu úřadu OLAF.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 xml:space="preserve">OPATŘENÍ 15: Důraznější prosazování </w:t>
      </w:r>
      <w:r>
        <w:rPr>
          <w:b/>
          <w:noProof/>
        </w:rPr>
        <w:t>pravidel v zemědělsko-potravinovém řetězci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 xml:space="preserve">Bezpečné a udržitelné potraviny a jejich volný pohyb jsou zásadním aspektem vnitřního trhu. To významně přispívá ke zdraví a kvalitě života občanů a jejich sociálním a ekonomickým zájmům.  </w:t>
      </w:r>
    </w:p>
    <w:p w:rsidR="00293D03" w:rsidRDefault="00D334F8">
      <w:pPr>
        <w:pStyle w:val="Text3"/>
        <w:spacing w:before="120" w:after="0" w:line="252" w:lineRule="auto"/>
        <w:ind w:left="357"/>
        <w:rPr>
          <w:noProof/>
        </w:rPr>
      </w:pPr>
      <w:r>
        <w:rPr>
          <w:noProof/>
        </w:rPr>
        <w:t>Zatímco členské státy o</w:t>
      </w:r>
      <w:r>
        <w:rPr>
          <w:noProof/>
        </w:rPr>
        <w:t>dpovídají za kontrolu toho, zda provozovatelé dodržují právo Unie, provádí Komise každý rok přibližně 220 auditů na místě v členských státech a v zemích mimo EU s cílem ověřit, že kontrolní systémy jsou účinné a orgány plní své zákonné povinnosti. Komise z</w:t>
      </w:r>
      <w:r>
        <w:rPr>
          <w:noProof/>
        </w:rPr>
        <w:t xml:space="preserve">intenzivní prosazování práva Unie v zemědělsko-potravinovém řetězci, mimo jiné pomocí cílených auditů a jejich systematických následných opatření s cílem ověřit, že členské státy nedostatky řeší. </w:t>
      </w:r>
    </w:p>
    <w:p w:rsidR="00293D03" w:rsidRDefault="00D334F8">
      <w:pPr>
        <w:pStyle w:val="Text3"/>
        <w:spacing w:before="120" w:after="0" w:line="252" w:lineRule="auto"/>
        <w:ind w:left="357"/>
        <w:rPr>
          <w:noProof/>
        </w:rPr>
      </w:pPr>
      <w:r>
        <w:rPr>
          <w:noProof/>
        </w:rPr>
        <w:t>Komise bude i nadále podporovat členské státy prostřednictv</w:t>
      </w:r>
      <w:r>
        <w:rPr>
          <w:noProof/>
        </w:rPr>
        <w:t>ím programu „Zlepšení školení pro zvýšení bezpečnosti potravin“ pro zaměstnance veřejné správy s cílem zlepšit provádění pravidel EU.</w:t>
      </w:r>
    </w:p>
    <w:p w:rsidR="00293D03" w:rsidRDefault="00D334F8">
      <w:pPr>
        <w:pStyle w:val="Text3"/>
        <w:spacing w:before="120" w:after="0" w:line="252" w:lineRule="auto"/>
        <w:ind w:left="357"/>
        <w:rPr>
          <w:noProof/>
        </w:rPr>
      </w:pPr>
      <w:r>
        <w:rPr>
          <w:noProof/>
        </w:rPr>
        <w:t>Podvod v potravinářství může narušit důvěru spotřebitelů v potravinový systém EU a může mít dopad na fungování vnitřního t</w:t>
      </w:r>
      <w:r>
        <w:rPr>
          <w:noProof/>
        </w:rPr>
        <w:t>rhu. Komise proto v rámci své strategie „od zemědělce ke spotřebiteli“ zintenzivní úsilí EU v boji proti podvodům v oblasti potravin a krmiv.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16: Rozvoj systémů označování a sledovatelnosti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Sledovatelnost má pro prosazování pravidel zásadní význam</w:t>
      </w:r>
      <w:r>
        <w:rPr>
          <w:noProof/>
        </w:rPr>
        <w:t>. Systémy označování a sledovatelnosti mohou fungovat pouze tehdy, pokud informace přenášené v rámci dodavatelského řetězce výrobků umožní automatizované celní kontroly souladu. Komise ve spolupráci s členskými státy prozkoumá a podpoří používání digitální</w:t>
      </w:r>
      <w:r>
        <w:rPr>
          <w:noProof/>
        </w:rPr>
        <w:t>ch nástrojů s cílem umožnit cílenější kontroly na vnějších hranicích a v rámci EU. To zahrnuje rozvoj systémů označování a sledovatelnosti (jako jsou kódy QR, radiofrekvenční identifikace, technologie blockchain atd.), které budou zabezpečené a budou přená</w:t>
      </w:r>
      <w:r>
        <w:rPr>
          <w:noProof/>
        </w:rPr>
        <w:t>šet specifické informace související se souladem v rámci dodavatelského řetězce se zohledněním stávajících nástrojů, jako je Evropský registr výrobků s energetickým označením (EPREL). S finanční podporou pro vybavení pro celní kontroly získanou z Fondu pro</w:t>
      </w:r>
      <w:r>
        <w:rPr>
          <w:noProof/>
        </w:rPr>
        <w:t xml:space="preserve"> integrovanou správu hranic na období 2021–27 bude vytvořeno nové celní vybavení schopné číst a kontrolovat kódované informace. Záležitosti týkající se sledovatelnosti budou rovněž posouzeny během revize směrnice o obecné bezpečnosti výrobků.</w:t>
      </w:r>
    </w:p>
    <w:p w:rsidR="00293D03" w:rsidRDefault="00D334F8">
      <w:pPr>
        <w:pStyle w:val="Text3"/>
        <w:spacing w:before="120" w:after="0" w:line="252" w:lineRule="auto"/>
        <w:ind w:left="357"/>
        <w:rPr>
          <w:noProof/>
        </w:rPr>
      </w:pPr>
      <w:r>
        <w:rPr>
          <w:noProof/>
        </w:rPr>
        <w:t>Komise bude u</w:t>
      </w:r>
      <w:r>
        <w:rPr>
          <w:noProof/>
        </w:rPr>
        <w:t>silovat o digitální předkládání informací o souladu u průmyslových a spotřebitelských výrobků (tj. současného „EU prohlášení o shodě“) propuštěných do volného oběhu při proclení. Komise přitom rovněž posoudí dopad na malé a střední podniky a konkrétně na m</w:t>
      </w:r>
      <w:r>
        <w:rPr>
          <w:noProof/>
        </w:rPr>
        <w:t xml:space="preserve">ikropodniky s cílem určit nezbytná zmírňující opatření. </w:t>
      </w:r>
    </w:p>
    <w:p w:rsidR="00293D03" w:rsidRDefault="00D334F8">
      <w:pPr>
        <w:pStyle w:val="Text3"/>
        <w:spacing w:before="120" w:after="0" w:line="252" w:lineRule="auto"/>
        <w:ind w:left="357"/>
        <w:rPr>
          <w:noProof/>
        </w:rPr>
      </w:pPr>
      <w:r>
        <w:rPr>
          <w:noProof/>
        </w:rPr>
        <w:t>Kromě toho budou v rámci nového programu pro spotřebitele hrát klíčovou úlohu při posilování postavení spotřebitelů v kontextu ekologické a digitální transformace štítky a sledovatelnost. Komise zjis</w:t>
      </w:r>
      <w:r>
        <w:rPr>
          <w:noProof/>
        </w:rPr>
        <w:t>tí, jaké je nejlepší využití digitálních nástrojů s cílem spotřebitelům poskytnout nejspolehlivější informace, aby se při nakupování mohli rozhodovat na základě informací a důvěry, zejména u přeshraničních nákupů.</w:t>
      </w:r>
    </w:p>
    <w:p w:rsidR="00293D03" w:rsidRDefault="00293D03">
      <w:pPr>
        <w:pStyle w:val="Text3"/>
        <w:spacing w:before="120" w:after="0" w:line="252" w:lineRule="auto"/>
        <w:ind w:left="357"/>
        <w:rPr>
          <w:noProof/>
        </w:rPr>
      </w:pPr>
    </w:p>
    <w:p w:rsidR="00293D03" w:rsidRDefault="00D334F8">
      <w:pPr>
        <w:keepNext/>
        <w:spacing w:before="480" w:after="0" w:line="252" w:lineRule="auto"/>
        <w:rPr>
          <w:rFonts w:ascii="Times New Roman Bold" w:hAnsi="Times New Roman Bold"/>
          <w:smallCaps/>
          <w:noProof/>
          <w:kern w:val="28"/>
          <w:sz w:val="28"/>
          <w:szCs w:val="28"/>
        </w:rPr>
      </w:pPr>
      <w:r>
        <w:rPr>
          <w:rFonts w:ascii="Times New Roman Bold" w:hAnsi="Times New Roman Bold"/>
          <w:smallCaps/>
          <w:noProof/>
          <w:sz w:val="28"/>
          <w:szCs w:val="28"/>
        </w:rPr>
        <w:t>V</w:t>
      </w:r>
      <w:r>
        <w:rPr>
          <w:rFonts w:ascii="Times New Roman Bold" w:hAnsi="Times New Roman Bold"/>
          <w:smallCaps/>
          <w:noProof/>
          <w:sz w:val="28"/>
          <w:szCs w:val="28"/>
        </w:rPr>
        <w:tab/>
        <w:t>Důraznější prosazování pravidel v praxi</w:t>
      </w:r>
    </w:p>
    <w:p w:rsidR="00293D03" w:rsidRDefault="00D334F8">
      <w:pPr>
        <w:spacing w:before="180" w:after="0" w:line="252" w:lineRule="auto"/>
        <w:rPr>
          <w:noProof/>
        </w:rPr>
      </w:pPr>
      <w:r>
        <w:rPr>
          <w:noProof/>
        </w:rPr>
        <w:t>Navzdory veškerému úsilí o zavedení kultury souladu s pravidly jednotného trhu vyžadují regulační překážky vyplývající z jejich nedodržování účinné následné intervence. Rovněž v této fázi je spolupráce mezi orgány členských států a Komisí nanejvýš důležit</w:t>
      </w:r>
      <w:r>
        <w:rPr>
          <w:noProof/>
        </w:rPr>
        <w:t xml:space="preserve">á. 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 xml:space="preserve">OPATŘENÍ 17: Síť EU pro soulad výrobků s předpisy 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Spotřebitelé mají stále k dispozici mnoho výrobků, které nejsou v souladu s předpisy, často prostřednictvím on-line kanálů, což ohrožuje je i odborné koncové uživatele a narušuje hospodářskou soutěž. S</w:t>
      </w:r>
      <w:r>
        <w:rPr>
          <w:noProof/>
        </w:rPr>
        <w:t xml:space="preserve"> cílem posílit koordinaci mezi orgány dozoru nad trhem v odvětví nepotravinářských výrobků, zmíněnou v nařízení 2019/1020</w:t>
      </w:r>
      <w:r>
        <w:rPr>
          <w:noProof/>
          <w:vertAlign w:val="superscript"/>
        </w:rPr>
        <w:footnoteReference w:id="37"/>
      </w:r>
      <w:r>
        <w:rPr>
          <w:noProof/>
        </w:rPr>
        <w:t>, zřídí Komise od ledna 2021 ve spolupráci s členskými státy síť EU pro soulad výrobků s předpisy. Tato síť bude sestávat z ústředních</w:t>
      </w:r>
      <w:r>
        <w:rPr>
          <w:noProof/>
        </w:rPr>
        <w:t xml:space="preserve"> styčných úřadů nedávno vytvořených členskými státy, které mají zastupovat jejich orgány dozoru nad trhem. Komise bude kromě toho od července 2021 sledovat fungování mechanismu vzájemné pomoci zřízeného nařízením a určí oblasti, v nichž nebyla zamítnutí žá</w:t>
      </w:r>
      <w:r>
        <w:rPr>
          <w:noProof/>
        </w:rPr>
        <w:t>dostí členskými státy o informace o souladu a žádostí o donucovací opatření v případě nesouladu oprávněná.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18: Učinit SOLVIT výchozím nástrojem pro řešení sporů týkajících se jednotného trhu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Na právní oblasti, které by obvykle spadaly do mandátu s</w:t>
      </w:r>
      <w:r>
        <w:rPr>
          <w:noProof/>
        </w:rPr>
        <w:t>ítě SOLVIT</w:t>
      </w:r>
      <w:r>
        <w:rPr>
          <w:noProof/>
          <w:vertAlign w:val="superscript"/>
        </w:rPr>
        <w:footnoteReference w:id="38"/>
      </w:r>
      <w:r>
        <w:rPr>
          <w:noProof/>
        </w:rPr>
        <w:t>, se vztahují různé nástroje k řešení problémů, a prosazování předpisů je tak roztříštěné. Komise a členské státy zajistí, aby byla síť SOLVIT posílena a stala se výchozím nástrojem alternativního řešení sporů ve všech oblastech politiky jednotn</w:t>
      </w:r>
      <w:r>
        <w:rPr>
          <w:noProof/>
        </w:rPr>
        <w:t>ého trhu, které zahrnují rozhodnutí správního orgánu. Síť SOLVIT bude fungovat ve své stávající podobě nebo bude-li třeba, s uzpůsobeným modelem, aby vyhovovala požadavkům nových iniciativ. Komise a členské státy posílí vztahy mezi sítí SOLVIT a různými su</w:t>
      </w:r>
      <w:r>
        <w:rPr>
          <w:noProof/>
        </w:rPr>
        <w:t xml:space="preserve">bjekty a sítěmi na vnitrostátní úrovni i na úrovni EU. 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S touto koncepcí již pracuje Evropský orgán pro pracovní záležitosti (ELA)</w:t>
      </w:r>
      <w:r>
        <w:rPr>
          <w:rStyle w:val="FootnoteReference"/>
          <w:noProof/>
        </w:rPr>
        <w:footnoteReference w:id="39"/>
      </w:r>
      <w:r>
        <w:rPr>
          <w:noProof/>
        </w:rPr>
        <w:t>, který zahájil svou činnost v říjnu 2019 a bude plně funkční nejpozději v roce 2024.  Orgán ELA bude Komisi a členským států</w:t>
      </w:r>
      <w:r>
        <w:rPr>
          <w:noProof/>
        </w:rPr>
        <w:t>m nápomocen při zajišťování toho, aby byla pravidla EU v oblasti mobility pracovních sil a koordinace sociálního zabezpečení prosazována spravedlivým, jednoduchým a účinným způsobem. Pro občany a podniky tak bude snazší využívat výhod jednotného trhu. Orgá</w:t>
      </w:r>
      <w:r>
        <w:rPr>
          <w:noProof/>
        </w:rPr>
        <w:t>n poskytne řešení pro zlepšení přístupu občanů a zaměstnavatelů ke kvalitním informacím týkajícím se unijních a vnitrostátních právních předpisů v oblasti mobility pracovních sil.</w:t>
      </w:r>
    </w:p>
    <w:p w:rsidR="00293D03" w:rsidRDefault="00D334F8">
      <w:pPr>
        <w:keepNext/>
        <w:spacing w:before="480" w:after="0" w:line="252" w:lineRule="auto"/>
        <w:rPr>
          <w:rFonts w:ascii="Times New Roman Bold" w:hAnsi="Times New Roman Bold"/>
          <w:smallCaps/>
          <w:noProof/>
          <w:sz w:val="28"/>
          <w:szCs w:val="28"/>
        </w:rPr>
      </w:pPr>
      <w:r>
        <w:rPr>
          <w:rFonts w:ascii="Times New Roman Bold" w:hAnsi="Times New Roman Bold"/>
          <w:smallCaps/>
          <w:noProof/>
          <w:sz w:val="28"/>
          <w:szCs w:val="28"/>
        </w:rPr>
        <w:t>VI</w:t>
      </w:r>
      <w:r>
        <w:rPr>
          <w:rFonts w:ascii="Times New Roman Bold" w:hAnsi="Times New Roman Bold"/>
          <w:smallCaps/>
          <w:noProof/>
          <w:sz w:val="28"/>
          <w:szCs w:val="28"/>
        </w:rPr>
        <w:tab/>
        <w:t xml:space="preserve">Účinnější řešení případů porušování předpisů </w:t>
      </w:r>
    </w:p>
    <w:p w:rsidR="00293D03" w:rsidRDefault="00D334F8">
      <w:pPr>
        <w:spacing w:before="180" w:after="0" w:line="252" w:lineRule="auto"/>
        <w:rPr>
          <w:b/>
          <w:noProof/>
        </w:rPr>
      </w:pPr>
      <w:r>
        <w:rPr>
          <w:noProof/>
        </w:rPr>
        <w:t>V případě zjevného porušení</w:t>
      </w:r>
      <w:r>
        <w:rPr>
          <w:noProof/>
        </w:rPr>
        <w:t xml:space="preserve"> evropského práva bude Komise usilovat o dialog s členskými státy s cílem lépe porozumět daným problémům a nalézt řešení. Tam, kde dialog nepřinese výsledky, Komise bez váhání přijme důrazná a účinná donucovací opatření, kdykoli to bude nutné. Lepší organi</w:t>
      </w:r>
      <w:r>
        <w:rPr>
          <w:noProof/>
        </w:rPr>
        <w:t>zace práce a využívání všech dostupných administrativních nástrojů, jakož i intenzivnější spolupráce celý proces řešení případů porušování předpisů urychlí a zefektivní.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 xml:space="preserve">OPATŘENÍ 19: Lepší stanovení priorit v rámci donucovacích opatření 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V zájmu lepšího st</w:t>
      </w:r>
      <w:r>
        <w:rPr>
          <w:noProof/>
        </w:rPr>
        <w:t>anovení priorit donucovacích opatření, jak již bylo uvedeno v roce 2016</w:t>
      </w:r>
      <w:r>
        <w:rPr>
          <w:noProof/>
          <w:vertAlign w:val="superscript"/>
        </w:rPr>
        <w:footnoteReference w:id="40"/>
      </w:r>
      <w:r>
        <w:rPr>
          <w:noProof/>
        </w:rPr>
        <w:t>, se Komise zaměřuje na případy, které mají významný dopad na jednotný trh, a to na základě posouzení jejich hospodářských, právních a politických dopadů. Na základě tohoto přístupu př</w:t>
      </w:r>
      <w:r>
        <w:rPr>
          <w:noProof/>
        </w:rPr>
        <w:t xml:space="preserve">ijme Komise </w:t>
      </w:r>
      <w:r>
        <w:rPr>
          <w:b/>
          <w:noProof/>
        </w:rPr>
        <w:t>strategickou výroční zprávu o prosazování jednotného trhu</w:t>
      </w:r>
      <w:r>
        <w:rPr>
          <w:noProof/>
        </w:rPr>
        <w:t>, v níž určí konkrétní oblasti zájmu a priority pro prosazování pravidel a zohlední zjištění evropského semestru. Zároveň je velmi důležité, aby byla Komise zúčastněnými stranami upozorňo</w:t>
      </w:r>
      <w:r>
        <w:rPr>
          <w:noProof/>
        </w:rPr>
        <w:t xml:space="preserve">vána na případy porušení pravidel jednotného trhu a získala tak pro stanovování priorit celkový přehled. Za tímto účelem bude revidován systém pro předkládání stížností, aby byl lépe začleněn do systému SOLVIT. Komise bude monitorovat zprávy o síti SOLVIT </w:t>
      </w:r>
      <w:r>
        <w:rPr>
          <w:noProof/>
        </w:rPr>
        <w:t>s cílem identifikovat strukturální problémy potenciálního významu. Komise rovněž prozkoumá možnost rozšíření nástroje, který je v současnosti testován na platformě pro řešení sporů on-line, na další oblasti politiky v oblasti jednotného trhu, aby spotřebit</w:t>
      </w:r>
      <w:r>
        <w:rPr>
          <w:noProof/>
        </w:rPr>
        <w:t>elé mohli lépe posoudit své možnosti usilovat o nápravu.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20: Srozumitelnost a konzistentnost při vyřizování případů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  <w:szCs w:val="24"/>
        </w:rPr>
      </w:pPr>
      <w:r>
        <w:rPr>
          <w:rStyle w:val="s7"/>
          <w:noProof/>
        </w:rPr>
        <w:t xml:space="preserve">Důvěra v systém prosazování pravidel se odvíjí od toho, zda jsou stížnosti přezkoumávány včas a zda jsou případy porušení postihovány. </w:t>
      </w:r>
      <w:r>
        <w:rPr>
          <w:noProof/>
        </w:rPr>
        <w:t>Komise proto za tímto účelem dále zefektivní své postupy pro vyřizování případů. Předběžné posouzení stížností předloží d</w:t>
      </w:r>
      <w:r>
        <w:rPr>
          <w:noProof/>
        </w:rPr>
        <w:t>o dvou měsíců, aby bylo možné stěžovateli odpovědět. Tam, kde je k dispozici dostatek informací, by odpověď již měla zahrnovat jasné rozhodnutí ohledně toho, 1) zda stížnost bude či nebude dále řešena; 2) zda bude předána příslušným subjektům, jako je SOLV</w:t>
      </w:r>
      <w:r>
        <w:rPr>
          <w:noProof/>
        </w:rPr>
        <w:t xml:space="preserve">IT, k řešení; 3) zda bude </w:t>
      </w:r>
      <w:r>
        <w:rPr>
          <w:rStyle w:val="s7"/>
          <w:noProof/>
        </w:rPr>
        <w:t>mezi</w:t>
      </w:r>
      <w:r>
        <w:rPr>
          <w:noProof/>
        </w:rPr>
        <w:t xml:space="preserve"> Komisí a dotčeným členským státem zahájen dialog; nebo 4) zda bude okamžitě zahájeno řízení o nesplnění povinnosti.</w:t>
      </w:r>
    </w:p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 xml:space="preserve">OPATŘENÍ 21: Lepší využívání systému EU Pilot 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Systém EU Pilot je užitečným nástrojem pro získávání informací</w:t>
      </w:r>
      <w:r>
        <w:rPr>
          <w:noProof/>
        </w:rPr>
        <w:t xml:space="preserve"> ve fázi dialogu s členskými státy před zahájením řízení o nesplnění povinnosti. Aby byl systém lépe zacílen a strukturován jako rychlý a účinný nástroj podporující dialog s členskými státy orientovaný na řešení, hodlá Komise systém EU Pilot používat za ja</w:t>
      </w:r>
      <w:r>
        <w:rPr>
          <w:noProof/>
        </w:rPr>
        <w:t>sných podmínek a harmonogramů pro případy, kdy se zdá, že lze v krátké době dosáhnout rychlého řešení.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Komise: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>vypracuje jasná a objektivní kritéria pro určení toho, kdy by měl být systém EU Pilot použit,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>bude spolupracovat s členskými státy s cílem nalézt</w:t>
      </w:r>
      <w:r>
        <w:rPr>
          <w:noProof/>
        </w:rPr>
        <w:t xml:space="preserve"> pragmatická řešení k urychlení procesu a současně zachovat základní práva obou stran v rámci dialogu a náležitě využívat dostupné nejmodernější systémy,</w:t>
      </w:r>
    </w:p>
    <w:p w:rsidR="00293D03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r>
        <w:rPr>
          <w:noProof/>
        </w:rPr>
        <w:t>bude hledat flexibilnější způsoby komunikace za účelem řešení komplexních otázek,</w:t>
      </w:r>
    </w:p>
    <w:p w:rsidR="00293D03" w:rsidRPr="00D334F8" w:rsidRDefault="00D334F8">
      <w:pPr>
        <w:pStyle w:val="Text3"/>
        <w:numPr>
          <w:ilvl w:val="1"/>
          <w:numId w:val="19"/>
        </w:numPr>
        <w:spacing w:before="120" w:after="0" w:line="252" w:lineRule="auto"/>
        <w:ind w:left="714" w:hanging="357"/>
        <w:rPr>
          <w:noProof/>
        </w:rPr>
      </w:pPr>
      <w:bookmarkStart w:id="1" w:name="_GoBack"/>
      <w:r w:rsidRPr="00D334F8">
        <w:rPr>
          <w:noProof/>
        </w:rPr>
        <w:t xml:space="preserve">zachová rovnováhu </w:t>
      </w:r>
      <w:r w:rsidRPr="00D334F8">
        <w:rPr>
          <w:noProof/>
        </w:rPr>
        <w:t>vztahu důvěry mezi Komisí a členskými státy, bude sdílet informace o otázkách vyřešených prostřednictvím systému EU Pilot (v souhrnné podobě) s cílem šířit osvědčené postupy</w:t>
      </w:r>
      <w:r w:rsidRPr="00D334F8">
        <w:rPr>
          <w:rStyle w:val="FootnoteReference"/>
          <w:noProof/>
        </w:rPr>
        <w:footnoteReference w:id="41"/>
      </w:r>
      <w:r w:rsidRPr="00D334F8">
        <w:rPr>
          <w:noProof/>
        </w:rPr>
        <w:t>.</w:t>
      </w:r>
    </w:p>
    <w:bookmarkEnd w:id="1"/>
    <w:p w:rsidR="00293D03" w:rsidRDefault="00D334F8">
      <w:pPr>
        <w:pStyle w:val="Text3"/>
        <w:keepNext/>
        <w:numPr>
          <w:ilvl w:val="0"/>
          <w:numId w:val="19"/>
        </w:numPr>
        <w:spacing w:before="300" w:after="180" w:line="252" w:lineRule="auto"/>
        <w:ind w:left="357" w:hanging="357"/>
        <w:rPr>
          <w:b/>
          <w:noProof/>
          <w:szCs w:val="24"/>
        </w:rPr>
      </w:pPr>
      <w:r>
        <w:rPr>
          <w:b/>
          <w:noProof/>
        </w:rPr>
        <w:t>OPATŘENÍ 22: Systematické pravidelné schůzky o balíčku případů nesplnění povinno</w:t>
      </w:r>
      <w:r>
        <w:rPr>
          <w:b/>
          <w:noProof/>
        </w:rPr>
        <w:t xml:space="preserve">sti </w:t>
      </w:r>
    </w:p>
    <w:p w:rsidR="00293D03" w:rsidRDefault="00D334F8">
      <w:pPr>
        <w:pStyle w:val="Text3"/>
        <w:spacing w:before="180" w:after="0" w:line="252" w:lineRule="auto"/>
        <w:ind w:left="357"/>
        <w:rPr>
          <w:noProof/>
        </w:rPr>
      </w:pPr>
      <w:r>
        <w:rPr>
          <w:noProof/>
        </w:rPr>
        <w:t>Písemná komunikace v řízeních o nesplnění povinnosti (tj. základ následného možného soudního řízení) se ne vždy dostatečně zabývá veškerými dostupnými řešeními. Aby Komise tyto výměny doplnila o přímý kontakt, plánuje pořádat schůzky o balíčku případů</w:t>
      </w:r>
      <w:r>
        <w:rPr>
          <w:noProof/>
        </w:rPr>
        <w:t xml:space="preserve"> nesplnění povinnosti s jednotlivými členskými státy věnované konkrétním oblastem politiky. Ty mohou pomoci nalézt řešení v souladu s právem Unie, a měly by se proto konat pravidelně, kdykoli je to nutné. Budou-li se na ně strany důkladně připravovat, moho</w:t>
      </w:r>
      <w:r>
        <w:rPr>
          <w:noProof/>
        </w:rPr>
        <w:t>u tyto schůzky pomoci objasnit nedorozumění a využít odborných znalostí v EU a členských státech k hledání řešení. Schůzky o balíčku případů nesplnění povinnosti by mohly být kombinovány nebo organizovány společně s dalšími schůzkami s členskými státy (nap</w:t>
      </w:r>
      <w:r>
        <w:rPr>
          <w:noProof/>
        </w:rPr>
        <w:t xml:space="preserve">ř. dialogy o dodržování předpisů). </w:t>
      </w:r>
    </w:p>
    <w:p w:rsidR="00293D03" w:rsidRDefault="00D334F8">
      <w:pPr>
        <w:pStyle w:val="Text3"/>
        <w:spacing w:before="240" w:after="0" w:line="252" w:lineRule="auto"/>
        <w:ind w:left="357"/>
        <w:jc w:val="center"/>
        <w:rPr>
          <w:b/>
          <w:noProof/>
          <w:szCs w:val="24"/>
        </w:rPr>
      </w:pPr>
      <w:r>
        <w:rPr>
          <w:b/>
          <w:noProof/>
        </w:rPr>
        <w:t>***</w:t>
      </w:r>
    </w:p>
    <w:p w:rsidR="00293D03" w:rsidRDefault="00D334F8">
      <w:pPr>
        <w:spacing w:after="160" w:line="259" w:lineRule="auto"/>
        <w:jc w:val="left"/>
        <w:rPr>
          <w:rFonts w:ascii="Times New Roman Bold" w:hAnsi="Times New Roman Bold"/>
          <w:b/>
          <w:smallCaps/>
          <w:noProof/>
          <w:kern w:val="28"/>
          <w:sz w:val="28"/>
          <w:szCs w:val="28"/>
        </w:rPr>
      </w:pPr>
      <w:r>
        <w:rPr>
          <w:noProof/>
        </w:rPr>
        <w:br w:type="page"/>
      </w:r>
    </w:p>
    <w:p w:rsidR="00293D03" w:rsidRDefault="00D334F8">
      <w:pPr>
        <w:pStyle w:val="Title"/>
        <w:spacing w:before="240" w:after="180" w:line="252" w:lineRule="auto"/>
        <w:jc w:val="both"/>
        <w:rPr>
          <w:rFonts w:ascii="Times New Roman Bold" w:hAnsi="Times New Roman Bold"/>
          <w:smallCaps/>
          <w:noProof/>
          <w:sz w:val="28"/>
          <w:szCs w:val="28"/>
        </w:rPr>
      </w:pPr>
      <w:r>
        <w:rPr>
          <w:rFonts w:ascii="Times New Roman Bold" w:hAnsi="Times New Roman Bold"/>
          <w:smallCaps/>
          <w:noProof/>
          <w:sz w:val="28"/>
          <w:szCs w:val="28"/>
        </w:rPr>
        <w:t>ZÁVĚR</w:t>
      </w:r>
    </w:p>
    <w:p w:rsidR="00293D03" w:rsidRDefault="00D334F8">
      <w:pPr>
        <w:spacing w:before="180" w:after="0" w:line="252" w:lineRule="auto"/>
        <w:rPr>
          <w:noProof/>
        </w:rPr>
      </w:pPr>
      <w:r>
        <w:rPr>
          <w:noProof/>
        </w:rPr>
        <w:t>Podpora kultury dodržování předpisů vyžaduje pevný politický závazek k jednotnému trhu a účinnému uplatňování jeho pravidel. K tomu je zapotřebí politické odpovědnosti, transparentnosti a zavedení účinných sy</w:t>
      </w:r>
      <w:r>
        <w:rPr>
          <w:noProof/>
        </w:rPr>
        <w:t>stémů pro podporu a monitorování souladu.</w:t>
      </w:r>
    </w:p>
    <w:p w:rsidR="00293D03" w:rsidRDefault="00D334F8">
      <w:pPr>
        <w:spacing w:before="120" w:after="0" w:line="252" w:lineRule="auto"/>
        <w:rPr>
          <w:b/>
          <w:noProof/>
        </w:rPr>
      </w:pPr>
      <w:r>
        <w:rPr>
          <w:noProof/>
        </w:rPr>
        <w:t xml:space="preserve">Tento akční plán reaguje na výzvu členských států a iniciuje řešení stávajících výzev v oblasti provádění a prosazování, s nimiž se dnes potýkáme. Předkládaná opatření se zabývají řadou různých problémů týkajících </w:t>
      </w:r>
      <w:r>
        <w:rPr>
          <w:noProof/>
        </w:rPr>
        <w:t>se všech fází a oblastí možných problémů při provádění a činností v oblasti prosazování pravidel jak na úrovni EU, tak na vnitrostátní úrovni, a to na základě společného závazku na místní, regionální, celostátní a unijní úrovni. Díky těmto opatřením Komise</w:t>
      </w:r>
      <w:r>
        <w:rPr>
          <w:noProof/>
        </w:rPr>
        <w:t xml:space="preserve"> a členských států bude jednotný trh moci lépe stimulovat podniky a nabídnout spotřebitelům nejlepší možnost volby. Společně můžeme zajistit, aby jednotný trh fungoval pro všechny občany EU.</w:t>
      </w:r>
    </w:p>
    <w:sectPr w:rsidR="00293D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09" w:footer="709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10AD5D" w16cid:durableId="2200146A"/>
  <w16cid:commentId w16cid:paraId="45D78327" w16cid:durableId="2200146B"/>
  <w16cid:commentId w16cid:paraId="77CF5C1C" w16cid:durableId="2200146C"/>
  <w16cid:commentId w16cid:paraId="690DA26B" w16cid:durableId="2200146D"/>
  <w16cid:commentId w16cid:paraId="70B90832" w16cid:durableId="2200146E"/>
  <w16cid:commentId w16cid:paraId="057C4ADF" w16cid:durableId="2200146F"/>
  <w16cid:commentId w16cid:paraId="0C510549" w16cid:durableId="22001470"/>
  <w16cid:commentId w16cid:paraId="1B4484CF" w16cid:durableId="22001471"/>
  <w16cid:commentId w16cid:paraId="2EA7B106" w16cid:durableId="22001472"/>
  <w16cid:commentId w16cid:paraId="723EF304" w16cid:durableId="22001473"/>
  <w16cid:commentId w16cid:paraId="73FDD75D" w16cid:durableId="22001474"/>
  <w16cid:commentId w16cid:paraId="52458E48" w16cid:durableId="22001475"/>
  <w16cid:commentId w16cid:paraId="51704F93" w16cid:durableId="22001476"/>
  <w16cid:commentId w16cid:paraId="5CA99810" w16cid:durableId="22001477"/>
  <w16cid:commentId w16cid:paraId="713B7999" w16cid:durableId="22001478"/>
  <w16cid:commentId w16cid:paraId="11B4CFFB" w16cid:durableId="22001479"/>
  <w16cid:commentId w16cid:paraId="609B8B27" w16cid:durableId="2200147A"/>
  <w16cid:commentId w16cid:paraId="4A362F22" w16cid:durableId="2200147B"/>
  <w16cid:commentId w16cid:paraId="1BBB0EA2" w16cid:durableId="2200147C"/>
  <w16cid:commentId w16cid:paraId="722D2A2D" w16cid:durableId="2200147D"/>
  <w16cid:commentId w16cid:paraId="49B7EB92" w16cid:durableId="2200147E"/>
  <w16cid:commentId w16cid:paraId="2FD5172F" w16cid:durableId="2200147F"/>
  <w16cid:commentId w16cid:paraId="1CE72311" w16cid:durableId="22001480"/>
  <w16cid:commentId w16cid:paraId="6A391778" w16cid:durableId="22001481"/>
  <w16cid:commentId w16cid:paraId="2B463DB2" w16cid:durableId="22001482"/>
  <w16cid:commentId w16cid:paraId="40B9AD1B" w16cid:durableId="22001483"/>
  <w16cid:commentId w16cid:paraId="2E32BDAD" w16cid:durableId="22001484"/>
  <w16cid:commentId w16cid:paraId="6BA359A8" w16cid:durableId="22001485"/>
  <w16cid:commentId w16cid:paraId="74B36AA1" w16cid:durableId="22001486"/>
  <w16cid:commentId w16cid:paraId="220E9235" w16cid:durableId="22001487"/>
  <w16cid:commentId w16cid:paraId="73FDD6C5" w16cid:durableId="22001488"/>
  <w16cid:commentId w16cid:paraId="696F934C" w16cid:durableId="22001489"/>
  <w16cid:commentId w16cid:paraId="7872C6C3" w16cid:durableId="2200148A"/>
  <w16cid:commentId w16cid:paraId="66402637" w16cid:durableId="2200148B"/>
  <w16cid:commentId w16cid:paraId="46070417" w16cid:durableId="2200148C"/>
  <w16cid:commentId w16cid:paraId="1634C6B7" w16cid:durableId="2200148D"/>
  <w16cid:commentId w16cid:paraId="01B82497" w16cid:durableId="2200148E"/>
  <w16cid:commentId w16cid:paraId="10605A9F" w16cid:durableId="2200148F"/>
  <w16cid:commentId w16cid:paraId="5B814E38" w16cid:durableId="22001490"/>
  <w16cid:commentId w16cid:paraId="0AA29DA1" w16cid:durableId="22001491"/>
  <w16cid:commentId w16cid:paraId="1B85D074" w16cid:durableId="22001492"/>
  <w16cid:commentId w16cid:paraId="064C7D73" w16cid:durableId="220045B8"/>
  <w16cid:commentId w16cid:paraId="779AB6FF" w16cid:durableId="22001493"/>
  <w16cid:commentId w16cid:paraId="056B5212" w16cid:durableId="22001494"/>
  <w16cid:commentId w16cid:paraId="013832B7" w16cid:durableId="220014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03" w:rsidRDefault="00D334F8">
      <w:pPr>
        <w:spacing w:after="0"/>
      </w:pPr>
      <w:r>
        <w:separator/>
      </w:r>
    </w:p>
  </w:endnote>
  <w:endnote w:type="continuationSeparator" w:id="0">
    <w:p w:rsidR="00293D03" w:rsidRDefault="00D334F8">
      <w:pPr>
        <w:spacing w:after="0"/>
      </w:pPr>
      <w:r>
        <w:continuationSeparator/>
      </w:r>
    </w:p>
  </w:endnote>
  <w:endnote w:type="continuationNotice" w:id="1">
    <w:p w:rsidR="00293D03" w:rsidRDefault="00293D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03" w:rsidRDefault="00293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03" w:rsidRDefault="00D334F8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03" w:rsidRDefault="00293D03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03" w:rsidRDefault="00293D0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03" w:rsidRDefault="00D334F8">
    <w:pPr>
      <w:pStyle w:val="Footer"/>
      <w:jc w:val="center"/>
      <w:rPr>
        <w:sz w:val="24"/>
        <w:szCs w:val="24"/>
      </w:rPr>
    </w:pPr>
    <w:sdt>
      <w:sdtPr>
        <w:id w:val="-739869616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14</w:t>
        </w:r>
        <w:r>
          <w:rPr>
            <w:sz w:val="24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03" w:rsidRDefault="00293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03" w:rsidRDefault="00D334F8">
      <w:pPr>
        <w:spacing w:after="0"/>
      </w:pPr>
      <w:r>
        <w:separator/>
      </w:r>
    </w:p>
  </w:footnote>
  <w:footnote w:type="continuationSeparator" w:id="0">
    <w:p w:rsidR="00293D03" w:rsidRDefault="00D334F8">
      <w:pPr>
        <w:spacing w:after="0"/>
      </w:pPr>
      <w:r>
        <w:continuationSeparator/>
      </w:r>
    </w:p>
  </w:footnote>
  <w:footnote w:type="continuationNotice" w:id="1">
    <w:p w:rsidR="00293D03" w:rsidRDefault="00293D03">
      <w:pPr>
        <w:spacing w:after="0"/>
      </w:pPr>
    </w:p>
  </w:footnote>
  <w:footnote w:id="2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COM(2020) 102, </w:t>
      </w:r>
      <w:r>
        <w:t>10.3.2020.</w:t>
      </w:r>
    </w:p>
  </w:footnote>
  <w:footnote w:id="3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COM(2020) 93, 10.3.2020.</w:t>
      </w:r>
    </w:p>
  </w:footnote>
  <w:footnote w:id="4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ab/>
        <w:t>V závěrech Rady pro konkurenceschopnost ze dne 27. května 2019 byla tato žádost dále rozpracována, přičemž Komise byla požádána, aby zvýšila transparentnost a politickou odpovědnost za opatření týkající se provádění</w:t>
      </w:r>
      <w:r>
        <w:t xml:space="preserve"> a prosazování. Členské státy následně opakovaně zdůraznily význam prosazování a rovněž potřebu pevnějšího partnerství a lepší spolupráce s Komisí. To bylo rovněž zdůrazněno v dopise podepsaném všemi členskými státy a předloženém na zasedání Coreper II dne</w:t>
      </w:r>
      <w:r>
        <w:t xml:space="preserve"> 29. listopadu 2019.  </w:t>
      </w:r>
    </w:p>
  </w:footnote>
  <w:footnote w:id="5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ab/>
        <w:t xml:space="preserve">Højbjerre Brauer Schultz (2018), </w:t>
      </w:r>
      <w:r>
        <w:rPr>
          <w:i/>
        </w:rPr>
        <w:t>25 let evropského jednotného trhu</w:t>
      </w:r>
      <w:r>
        <w:t xml:space="preserve"> (25 years of the European Single Market), studie financovaná dánským úřadem pro obchod.</w:t>
      </w:r>
    </w:p>
  </w:footnote>
  <w:footnote w:id="6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Sdělení „Jednotný trh v měnícím se světě“, COM(2018) 772.</w:t>
      </w:r>
    </w:p>
  </w:footnote>
  <w:footnote w:id="7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Studie EP </w:t>
      </w:r>
      <w:r>
        <w:rPr>
          <w:i/>
          <w:iCs/>
        </w:rPr>
        <w:t>Ev</w:t>
      </w:r>
      <w:r>
        <w:rPr>
          <w:i/>
          <w:iCs/>
        </w:rPr>
        <w:t>ropská dividenda ve výši dva biliony eur: Přehled nákladů vyplývajících z neexistence společného evropského postupu, 2019–2024</w:t>
      </w:r>
      <w:r>
        <w:t>, s. 9–11 (Europe´s two trillion euro dividend: Mapping the Cost of Non-Europe 2019–2024) (</w:t>
      </w:r>
      <w:hyperlink r:id="rId1" w:history="1">
        <w:r>
          <w:rPr>
            <w:rStyle w:val="Hyperlink"/>
          </w:rPr>
          <w:t>https://www.europarl.europa.eu/thinktank/en/document.html?reference=EPRS_STU(2019)631745</w:t>
        </w:r>
        <w:r>
          <w:rPr>
            <w:rStyle w:val="Hyperlink"/>
            <w:rFonts w:ascii="Calibri" w:hAnsi="Calibri"/>
            <w:sz w:val="22"/>
          </w:rPr>
          <w:t>)</w:t>
        </w:r>
      </w:hyperlink>
      <w:r>
        <w:rPr>
          <w:highlight w:val="yellow"/>
        </w:rPr>
        <w:t xml:space="preserve"> </w:t>
      </w:r>
    </w:p>
  </w:footnote>
  <w:footnote w:id="8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COM(2020) 103 10.3.2020.</w:t>
      </w:r>
    </w:p>
  </w:footnote>
  <w:footnote w:id="9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Viz 5. bod odůvodnění směrnice Evropského parlamentu a Rady (EU) 20</w:t>
      </w:r>
      <w:r>
        <w:t>18/1808 ze dne 14. listopadu 2018, kterou se mění směrnice 2010/13/EU o koordinaci některých právních a správních předpisů členských států upravujících poskytování audiovizuálních mediálních služeb (směrnice o audiovizuálních mediálních službách) s ohledem</w:t>
      </w:r>
      <w:r>
        <w:t xml:space="preserve"> na měnící se situaci na trhu (Úř. věst. L 303, 28.11.2018, s. 69), a čl. 13 odst. 7 a článek 33a směrnice Evropského parlamentu a Rady 2010/13/EU o koordinaci některých právních a správních předpisů členských států upravujících poskytování audiovizuálních</w:t>
      </w:r>
      <w:r>
        <w:t xml:space="preserve"> mediálních služeb (směrnice o audiovizuálních mediálních službách) (Úř. věst. L 95, 15.4.2010, s. 1).</w:t>
      </w:r>
    </w:p>
  </w:footnote>
  <w:footnote w:id="10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Viz čl. 17 odst. 10 směrnice Evropského parlamentu a Rady (EU) 2019/790 ze dne 17. dubna 2019 o autorském právu a právech s ním souvisejících na jedno</w:t>
      </w:r>
      <w:r>
        <w:t xml:space="preserve">tném digitálním trhu a o změně směrnic 96/9/ES a 2001/29/ES (Úř. věst. L 130, 17.5.2019, s. 92).  </w:t>
      </w:r>
    </w:p>
  </w:footnote>
  <w:footnote w:id="11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ab/>
        <w:t xml:space="preserve">Příručka k provedení směrnice o službách: </w:t>
      </w:r>
      <w:hyperlink r:id="rId2" w:history="1">
        <w:r>
          <w:rPr>
            <w:rStyle w:val="Hyperlink"/>
          </w:rPr>
          <w:t>https://op.europa.eu/en/publication-detail/-/publication/a4987fe6-d74b-4f4f-8539-b80297d29715/language-cs</w:t>
        </w:r>
      </w:hyperlink>
    </w:p>
  </w:footnote>
  <w:footnote w:id="12">
    <w:p w:rsidR="00293D03" w:rsidRDefault="00D334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https://op.europa.eu/en/publication-detail/-/publication/a5396a42-cbc8-4cd9-8b12-b769140091cd/language-cs  </w:t>
      </w:r>
    </w:p>
  </w:footnote>
  <w:footnote w:id="13">
    <w:p w:rsidR="00293D03" w:rsidRDefault="00D334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Ustanovení 5. bodu odůvodně</w:t>
      </w:r>
      <w:r>
        <w:t xml:space="preserve">ní nařízení </w:t>
      </w:r>
      <w:r>
        <w:rPr>
          <w:rStyle w:val="st"/>
        </w:rPr>
        <w:t>Evropského parlamentu a Rady (EU) 2019/515 ze dne 19. března 2019</w:t>
      </w:r>
      <w:r>
        <w:t xml:space="preserve"> o vzájemném uznávání zboží uvedeného v souladu s právními předpisy na trh v jiném členském státě a o zrušení nařízení (ES) č. 764/2008 (Úř. věst. L 91, 29.3.2019, s. 1) uvádí, že</w:t>
      </w:r>
      <w:r>
        <w:t xml:space="preserve"> Komise by měla vypracovat nezávazné pokyny týkající se judikatury Soudního dvora Evropské unie o pojmu naléhavých důvodů veřejného zájmu a o tom, jak uplatňovat zásadu vzájemného uznávání.</w:t>
      </w:r>
    </w:p>
  </w:footnote>
  <w:footnote w:id="14">
    <w:p w:rsidR="00293D03" w:rsidRDefault="00D334F8">
      <w:pPr>
        <w:pStyle w:val="FootnoteText"/>
      </w:pPr>
      <w:r>
        <w:rPr>
          <w:rStyle w:val="FootnoteReference"/>
        </w:rPr>
        <w:footnoteRef/>
      </w:r>
      <w:r>
        <w:t xml:space="preserve">   Směrnice Rady 85/374/EHS ze dne 25. července 1985 o sbližování</w:t>
      </w:r>
      <w:r>
        <w:t xml:space="preserve"> právních a správních předpisů členských států týkajících se odpovědnosti za vadné výrobky (Úř. věst. L 210, 7.8.1985, s. 29).</w:t>
      </w:r>
    </w:p>
  </w:footnote>
  <w:footnote w:id="15">
    <w:p w:rsidR="00293D03" w:rsidRDefault="00D334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Nařízení Evropského parlamentu a Rady (EU) 2019/1020 ze dne 20. června 2019 o dozoru nad trhem a souladu výrobků s předpisy a </w:t>
      </w:r>
      <w:r>
        <w:t xml:space="preserve">o změně směrnice 2004/42/ES a nařízení (ES) č. 765/2008 a (EU) č. 305/2011 (Úř. věst. L 169, 25.6.2019, s. 1). Nařízení o dozoru nad trhem bylo přijato v roce 2019 a jeho cílem je zlepšit dozor nad trhem s výrobky v EU. </w:t>
      </w:r>
    </w:p>
  </w:footnote>
  <w:footnote w:id="16">
    <w:p w:rsidR="00293D03" w:rsidRDefault="00D334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Stávající „Modrá příručka“ k pro</w:t>
      </w:r>
      <w:r>
        <w:t xml:space="preserve">vádění pravidel EU pro výrobky, 2016:  oznámení Komise 2016/C 272/01. </w:t>
      </w:r>
    </w:p>
  </w:footnote>
  <w:footnote w:id="17">
    <w:p w:rsidR="00293D03" w:rsidRDefault="00D334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Sdělení Komise Evropskému parlamentu, Radě, Evropskému hospodářskému a sociálnímu výboru a Výboru regionů o doporučeních k reformám v oblasti regulace odborných služeb, COM(2016) 820</w:t>
      </w:r>
      <w:r>
        <w:t xml:space="preserve"> final.</w:t>
      </w:r>
    </w:p>
  </w:footnote>
  <w:footnote w:id="18">
    <w:p w:rsidR="00293D03" w:rsidRDefault="00D334F8">
      <w:pPr>
        <w:pStyle w:val="FootnoteText"/>
      </w:pPr>
      <w:r>
        <w:rPr>
          <w:rStyle w:val="FootnoteReference"/>
          <w:sz w:val="16"/>
          <w:szCs w:val="16"/>
        </w:rPr>
        <w:footnoteRef/>
      </w:r>
      <w:r>
        <w:rPr>
          <w:rStyle w:val="FootnoteReference"/>
        </w:rPr>
        <w:t xml:space="preserve"> </w:t>
      </w:r>
      <w:r>
        <w:tab/>
        <w:t>Směrnice Evropského parlamentu a Rady (EU) 2019/882 ze dne 17. dubna 2019 o požadavcích na přístupnost u výrobků a služeb (Úř. věst. L 151, 7.6.2019, s. 70).</w:t>
      </w:r>
    </w:p>
  </w:footnote>
  <w:footnote w:id="19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Nařízení Evropského parlamentu a Rady (EU) 2018/1724 ze dne 2. října 2018, kterým se</w:t>
      </w:r>
      <w:r>
        <w:t xml:space="preserve"> zřizuje jednotná digitální brána pro poskytování přístupu k informacím, postupům a k asistenčním službám a službám pro řešení problémů a kterým se mění nařízení (EU) č. 1024/2012 (Úř. věst. L 295, 21.11.2018, s. 1).</w:t>
      </w:r>
    </w:p>
  </w:footnote>
  <w:footnote w:id="20">
    <w:p w:rsidR="00293D03" w:rsidRDefault="00D334F8">
      <w:pPr>
        <w:pStyle w:val="FootnoteText"/>
        <w:tabs>
          <w:tab w:val="left" w:pos="734"/>
        </w:tabs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Nařízení Evropského parlamentu a Rad</w:t>
      </w:r>
      <w:r>
        <w:t>y (EU) 2019/515 ze dne 19. března 2019 o vzájemném uznávání zboží uvedeného v souladu s právními předpisy na trh v jiném členském státě a o zrušení nařízení (ES) č. 764/2008 (Úř. věst. L 91, 29.3.2019, s. 1) a nařízení Evropského parlamentu a Rady (EU) 201</w:t>
      </w:r>
      <w:r>
        <w:t>9/1020 ze dne 20. června 2019 o dozoru nad trhem a souladu výrobků s předpisy a o změně směrnice 2004/42/ES a nařízení (ES) č. 765/2008 a (EU) č. 305/2011 (Úř. věst. L 169, 25.6.2019, s. 1).</w:t>
      </w:r>
    </w:p>
  </w:footnote>
  <w:footnote w:id="21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Směrnice Evropského parlamentu a Rady 2001/95/ES ze dne 3. pro</w:t>
      </w:r>
      <w:r>
        <w:t>since 2001 o obecné bezpečnosti výrobků (Úř. věst. L 11, 15.1.2002, s. 4).</w:t>
      </w:r>
    </w:p>
  </w:footnote>
  <w:footnote w:id="22">
    <w:p w:rsidR="00293D03" w:rsidRDefault="00D334F8">
      <w:pPr>
        <w:pStyle w:val="FootnoteText"/>
      </w:pPr>
      <w:r>
        <w:rPr>
          <w:rStyle w:val="FootnoteReference"/>
        </w:rPr>
        <w:footnoteRef/>
      </w:r>
      <w:r>
        <w:t xml:space="preserve">   https://ec.europa.eu/regional_policy/sources/docgener/informat/2014/action_plan_pp.pdf.</w:t>
      </w:r>
    </w:p>
  </w:footnote>
  <w:footnote w:id="23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Na rozdíl od statických seznamů odrážejících shodu vnitrostátních právních předpisů s </w:t>
      </w:r>
      <w:r>
        <w:t>právními předpisy EU v době provedení ve vnitrostátním právu představují dynamické virtuální srovnávací tabulky digitální řešení umožňující trvalou aktualizaci stavu provádění, a to i po vstupu v platnost původních prováděcích právních předpisů. Zdrojem in</w:t>
      </w:r>
      <w:r>
        <w:t>formací pro tyto tabulky by mohly být oznamovací postupy, které by též mohly usnadnit jejich průběžnou aktualizaci.</w:t>
      </w:r>
    </w:p>
  </w:footnote>
  <w:footnote w:id="24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Rozsudek Soudního dvora ve věci Komise v. Belgie, C-543/17.</w:t>
      </w:r>
    </w:p>
  </w:footnote>
  <w:footnote w:id="25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ab/>
        <w:t>Jako příkladný projekt může sloužit probíhající provádění nařízení o jednot</w:t>
      </w:r>
      <w:r>
        <w:t>né digitální bráně.</w:t>
      </w:r>
    </w:p>
  </w:footnote>
  <w:footnote w:id="26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Směrnice Evropského parlamentu a Rady (EU) 2018/958 ze dne 28. června 2018 o testu přiměřenosti před přijetím nové právní úpravy povolání (Úř. věst. L 173, 9.7.2018, s. 25).</w:t>
      </w:r>
    </w:p>
  </w:footnote>
  <w:footnote w:id="27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Sdělení Komise – Právo EU: lepší výsledky díky lepšímu u</w:t>
      </w:r>
      <w:r>
        <w:t xml:space="preserve">platňování. C/2016/8600 (Úř. věst. C 18, 19.1.2017, s. 10). </w:t>
      </w:r>
    </w:p>
  </w:footnote>
  <w:footnote w:id="28">
    <w:p w:rsidR="00293D03" w:rsidRDefault="00D334F8">
      <w:pPr>
        <w:pStyle w:val="FootnoteText"/>
        <w:spacing w:before="80" w:after="0"/>
        <w:ind w:left="284" w:hanging="284"/>
        <w:rPr>
          <w:rFonts w:eastAsiaTheme="minorHAnsi" w:cstheme="minorBidi"/>
        </w:rPr>
      </w:pPr>
      <w:r>
        <w:rPr>
          <w:rFonts w:eastAsiaTheme="minorHAnsi" w:cstheme="minorBidi"/>
          <w:vertAlign w:val="superscript"/>
        </w:rPr>
        <w:footnoteRef/>
      </w:r>
      <w:r>
        <w:t xml:space="preserve"> </w:t>
      </w:r>
      <w:r>
        <w:tab/>
        <w:t>Směrnice Evropského parlamentu a Rady (EU) 2015/1535 ze dne 9. září 2015 o postupu při poskytování informací v oblasti technických předpisů a předpisů pro služby informační společnosti (Úř. vě</w:t>
      </w:r>
      <w:r>
        <w:t>st. L 241, 17.9.2015, s. 1).</w:t>
      </w:r>
    </w:p>
  </w:footnote>
  <w:footnote w:id="29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Návrh směrnice Evropského parlamentu a Rady o prosazování směrnice 2006/123/ES o službách na vnitřním trhu, kterou se stanoví postup oznamování pro povolovací režimy a požadavky týkající se služeb a kterou se mění směrnice 2</w:t>
      </w:r>
      <w:r>
        <w:t xml:space="preserve">006/123/ES a nařízení (EU) č. 1024/2012 o správní spolupráci prostřednictvím systému pro výměnu informací o vnitřním trhu, COM(2016) 821 final. </w:t>
      </w:r>
    </w:p>
  </w:footnote>
  <w:footnote w:id="30">
    <w:p w:rsidR="00293D03" w:rsidRDefault="00D334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Směrnice Evropského parlamentu a Rady 2000/31/ES ze dne 8. června 2000 o některých právních aspektech služeb</w:t>
      </w:r>
      <w:r>
        <w:t xml:space="preserve"> informační společnosti, zejména elektronického obchodu, na vnitřním trhu („směrnice o elektronickém obchodu“) (Úř. věst. L 178, 17.7.2000, s. 1).</w:t>
      </w:r>
    </w:p>
  </w:footnote>
  <w:footnote w:id="31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Jako je Informační a komunikační systém pro dozor nad trhem (ICSMS), systém rychlého varování pro nebezpeč</w:t>
      </w:r>
      <w:r>
        <w:t>né nepotravinářské výrobky (Safety Gate/RAPEX) nebo EPREL pro označování energetickými štítky.</w:t>
      </w:r>
    </w:p>
  </w:footnote>
  <w:footnote w:id="32">
    <w:p w:rsidR="00293D03" w:rsidRDefault="00D334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3" w:history="1">
        <w:r>
          <w:rPr>
            <w:rStyle w:val="Hyperlink"/>
          </w:rPr>
          <w:t>https://ec.europa.eu/info/law/better-regulation/lighten-load_cs</w:t>
        </w:r>
      </w:hyperlink>
    </w:p>
  </w:footnote>
  <w:footnote w:id="33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 Online plat</w:t>
      </w:r>
      <w:r>
        <w:t xml:space="preserve">forma pro systém včasné výměny informací pro potraviny a krmiva.  </w:t>
      </w:r>
    </w:p>
  </w:footnote>
  <w:footnote w:id="34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 Informační systém pro nákazy zvířat (ADIS)  – dříve systém hlášení nákaz zvířat (ADNS).</w:t>
      </w:r>
    </w:p>
  </w:footnote>
  <w:footnote w:id="35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Systém oznamování a včasného varování týkající se záchytů zásilek rostlin a rostlinných produktů</w:t>
      </w:r>
      <w:r>
        <w:t xml:space="preserve"> dovážených do EU nebo obchodovaných v EU z důvodu zdraví rostlin.</w:t>
      </w:r>
    </w:p>
  </w:footnote>
  <w:footnote w:id="36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 Obchodní řídicí a expertní systém – on-line nástroj řízení pro všechny hygienické požadavky na obchod uvnitř EU a dovoz zvířat, spermatu a embryí, potravin, krmiv a rostlin.</w:t>
      </w:r>
    </w:p>
  </w:footnote>
  <w:footnote w:id="37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Nařízení </w:t>
      </w:r>
      <w:r>
        <w:t>Evropského parlamentu a Rady (EU) 2019/1020 ze dne 20. června 2019 o dozoru nad trhem a souladu výrobků s předpisy a o změně směrnice 2004/42/ES a nařízení (ES) č. 765/2008 a (EU) č. 305/2011 (Úř. věst. L 169, 25.6.2019, s. 1).</w:t>
      </w:r>
    </w:p>
  </w:footnote>
  <w:footnote w:id="38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Síť SOLVIT se zabývá přes</w:t>
      </w:r>
      <w:r>
        <w:t xml:space="preserve">hraničními problémy způsobenými porušováním práva Unie orgány veřejné správy. </w:t>
      </w:r>
    </w:p>
  </w:footnote>
  <w:footnote w:id="39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Nařízení Evropského parlamentu a Rady (EU) 2019/1149 ze dne 20. června 2019, kterým se zřizuje Evropský orgán pro pracovní záležitosti, mění nařízení (ES) č. 883/2004, (EU) č</w:t>
      </w:r>
      <w:r>
        <w:t>. 492/2011 a (EU) 2016/589 a zrušuje rozhodnutí (EU) 2016/344 (Úř. věst. L 186, 11.7.2019, s. 21).</w:t>
      </w:r>
    </w:p>
  </w:footnote>
  <w:footnote w:id="40">
    <w:p w:rsidR="00293D03" w:rsidRDefault="00D334F8">
      <w:pPr>
        <w:pStyle w:val="FootnoteText"/>
        <w:spacing w:before="8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Sdělení Komise – Právo EU: lepší výsledky díky lepšímu uplatňování, C(2016) 8600.</w:t>
      </w:r>
    </w:p>
  </w:footnote>
  <w:footnote w:id="41">
    <w:p w:rsidR="00293D03" w:rsidRDefault="00D334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Zvláštní zpráva Účetního dvora č. 5/2016: Zajistila Komise účinné pro</w:t>
      </w:r>
      <w:r>
        <w:t>vádění směrnice o službách?, 14.3.2016.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03" w:rsidRDefault="00293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03" w:rsidRDefault="00293D03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03" w:rsidRDefault="00293D03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03" w:rsidRDefault="00293D0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03" w:rsidRDefault="00293D0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03" w:rsidRDefault="00293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127"/>
    <w:multiLevelType w:val="hybridMultilevel"/>
    <w:tmpl w:val="822C4C0A"/>
    <w:lvl w:ilvl="0" w:tplc="C37C1342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ind w:left="2177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897" w:hanging="180"/>
      </w:pPr>
    </w:lvl>
    <w:lvl w:ilvl="3" w:tplc="0C0A000D">
      <w:start w:val="1"/>
      <w:numFmt w:val="bullet"/>
      <w:lvlText w:val=""/>
      <w:lvlJc w:val="left"/>
      <w:pPr>
        <w:ind w:left="3617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4337" w:hanging="360"/>
      </w:pPr>
    </w:lvl>
    <w:lvl w:ilvl="5" w:tplc="0C0A001B" w:tentative="1">
      <w:start w:val="1"/>
      <w:numFmt w:val="lowerRoman"/>
      <w:lvlText w:val="%6."/>
      <w:lvlJc w:val="right"/>
      <w:pPr>
        <w:ind w:left="5057" w:hanging="180"/>
      </w:pPr>
    </w:lvl>
    <w:lvl w:ilvl="6" w:tplc="0C0A000F" w:tentative="1">
      <w:start w:val="1"/>
      <w:numFmt w:val="decimal"/>
      <w:lvlText w:val="%7."/>
      <w:lvlJc w:val="left"/>
      <w:pPr>
        <w:ind w:left="5777" w:hanging="360"/>
      </w:pPr>
    </w:lvl>
    <w:lvl w:ilvl="7" w:tplc="0C0A0019" w:tentative="1">
      <w:start w:val="1"/>
      <w:numFmt w:val="lowerLetter"/>
      <w:lvlText w:val="%8."/>
      <w:lvlJc w:val="left"/>
      <w:pPr>
        <w:ind w:left="6497" w:hanging="360"/>
      </w:pPr>
    </w:lvl>
    <w:lvl w:ilvl="8" w:tplc="0C0A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A2900F7"/>
    <w:multiLevelType w:val="multilevel"/>
    <w:tmpl w:val="B67070C4"/>
    <w:name w:val="ListDash4Numbering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  <w:lvl w:ilvl="1">
      <w:start w:val="1"/>
      <w:numFmt w:val="bullet"/>
      <w:pStyle w:val="ListDash4Level2"/>
      <w:lvlText w:val="–"/>
      <w:lvlJc w:val="left"/>
      <w:pPr>
        <w:tabs>
          <w:tab w:val="num" w:pos="3447"/>
        </w:tabs>
        <w:ind w:left="3447" w:hanging="284"/>
      </w:pPr>
      <w:rPr>
        <w:rFonts w:ascii="Times New Roman" w:hAnsi="Times New Roman"/>
      </w:rPr>
    </w:lvl>
    <w:lvl w:ilvl="2">
      <w:start w:val="1"/>
      <w:numFmt w:val="bullet"/>
      <w:pStyle w:val="ListDash4Level3"/>
      <w:lvlText w:val="–"/>
      <w:lvlJc w:val="left"/>
      <w:pPr>
        <w:tabs>
          <w:tab w:val="num" w:pos="3730"/>
        </w:tabs>
        <w:ind w:left="3730" w:hanging="283"/>
      </w:pPr>
      <w:rPr>
        <w:rFonts w:ascii="Times New Roman" w:hAnsi="Times New Roman"/>
      </w:rPr>
    </w:lvl>
    <w:lvl w:ilvl="3">
      <w:start w:val="1"/>
      <w:numFmt w:val="bullet"/>
      <w:pStyle w:val="ListDash4Level4"/>
      <w:lvlText w:val="–"/>
      <w:lvlJc w:val="left"/>
      <w:pPr>
        <w:tabs>
          <w:tab w:val="num" w:pos="4014"/>
        </w:tabs>
        <w:ind w:left="4014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A6F74D4"/>
    <w:multiLevelType w:val="hybridMultilevel"/>
    <w:tmpl w:val="63AC41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7332"/>
    <w:multiLevelType w:val="hybridMultilevel"/>
    <w:tmpl w:val="FA1452CA"/>
    <w:lvl w:ilvl="0" w:tplc="5C963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7115"/>
    <w:multiLevelType w:val="multilevel"/>
    <w:tmpl w:val="49E4091E"/>
    <w:name w:val="ListNumber3Numbering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4"/>
        </w:tabs>
        <w:ind w:left="3334" w:hanging="709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8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5" w15:restartNumberingAfterBreak="0">
    <w:nsid w:val="120B7201"/>
    <w:multiLevelType w:val="multilevel"/>
    <w:tmpl w:val="E2B261C4"/>
    <w:name w:val="ListNumberNumbering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6" w15:restartNumberingAfterBreak="0">
    <w:nsid w:val="1262685D"/>
    <w:multiLevelType w:val="multilevel"/>
    <w:tmpl w:val="099877AE"/>
    <w:name w:val="ListBullet4Numbering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  <w:lvl w:ilvl="1">
      <w:start w:val="1"/>
      <w:numFmt w:val="bullet"/>
      <w:pStyle w:val="ListBullet4Level2"/>
      <w:lvlText w:val=""/>
      <w:lvlJc w:val="left"/>
      <w:pPr>
        <w:tabs>
          <w:tab w:val="num" w:pos="3447"/>
        </w:tabs>
        <w:ind w:left="3447" w:hanging="284"/>
      </w:pPr>
      <w:rPr>
        <w:rFonts w:ascii="Symbol" w:hAnsi="Symbol"/>
      </w:rPr>
    </w:lvl>
    <w:lvl w:ilvl="2">
      <w:start w:val="1"/>
      <w:numFmt w:val="bullet"/>
      <w:pStyle w:val="ListBullet4Level3"/>
      <w:lvlText w:val=""/>
      <w:lvlJc w:val="left"/>
      <w:pPr>
        <w:tabs>
          <w:tab w:val="num" w:pos="3730"/>
        </w:tabs>
        <w:ind w:left="3730" w:hanging="283"/>
      </w:pPr>
      <w:rPr>
        <w:rFonts w:ascii="Symbol" w:hAnsi="Symbol"/>
      </w:rPr>
    </w:lvl>
    <w:lvl w:ilvl="3">
      <w:start w:val="1"/>
      <w:numFmt w:val="bullet"/>
      <w:pStyle w:val="ListBullet4Level4"/>
      <w:lvlText w:val=""/>
      <w:lvlJc w:val="left"/>
      <w:pPr>
        <w:tabs>
          <w:tab w:val="num" w:pos="4014"/>
        </w:tabs>
        <w:ind w:left="401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7" w15:restartNumberingAfterBreak="0">
    <w:nsid w:val="143D0A16"/>
    <w:multiLevelType w:val="multilevel"/>
    <w:tmpl w:val="5D4CB1F2"/>
    <w:name w:val="ListBullet3Numbering"/>
    <w:lvl w:ilvl="0">
      <w:start w:val="1"/>
      <w:numFmt w:val="bullet"/>
      <w:pStyle w:val="ListBullet3"/>
      <w:lvlText w:val=""/>
      <w:lvlJc w:val="left"/>
      <w:pPr>
        <w:tabs>
          <w:tab w:val="num" w:pos="2200"/>
        </w:tabs>
        <w:ind w:left="2200" w:hanging="284"/>
      </w:pPr>
      <w:rPr>
        <w:rFonts w:ascii="Symbol" w:hAnsi="Symbol"/>
      </w:rPr>
    </w:lvl>
    <w:lvl w:ilvl="1">
      <w:start w:val="1"/>
      <w:numFmt w:val="bullet"/>
      <w:pStyle w:val="ListBullet3Level2"/>
      <w:lvlText w:val=""/>
      <w:lvlJc w:val="left"/>
      <w:pPr>
        <w:tabs>
          <w:tab w:val="num" w:pos="2483"/>
        </w:tabs>
        <w:ind w:left="2483" w:hanging="283"/>
      </w:pPr>
      <w:rPr>
        <w:rFonts w:ascii="Symbol" w:hAnsi="Symbol"/>
      </w:rPr>
    </w:lvl>
    <w:lvl w:ilvl="2">
      <w:start w:val="1"/>
      <w:numFmt w:val="bullet"/>
      <w:pStyle w:val="ListBullet3Level3"/>
      <w:lvlText w:val=""/>
      <w:lvlJc w:val="left"/>
      <w:pPr>
        <w:tabs>
          <w:tab w:val="num" w:pos="2767"/>
        </w:tabs>
        <w:ind w:left="2767" w:hanging="284"/>
      </w:pPr>
      <w:rPr>
        <w:rFonts w:ascii="Symbol" w:hAnsi="Symbol"/>
      </w:rPr>
    </w:lvl>
    <w:lvl w:ilvl="3">
      <w:start w:val="1"/>
      <w:numFmt w:val="bullet"/>
      <w:pStyle w:val="ListBullet3Level4"/>
      <w:lvlText w:val=""/>
      <w:lvlJc w:val="left"/>
      <w:pPr>
        <w:tabs>
          <w:tab w:val="num" w:pos="3050"/>
        </w:tabs>
        <w:ind w:left="3050" w:hanging="283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16F72A27"/>
    <w:multiLevelType w:val="hybridMultilevel"/>
    <w:tmpl w:val="B232A4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F0AC5"/>
    <w:multiLevelType w:val="multilevel"/>
    <w:tmpl w:val="809A2E1C"/>
    <w:name w:val="ListNumber2Numbering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697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173173FC"/>
    <w:multiLevelType w:val="hybridMultilevel"/>
    <w:tmpl w:val="A06495A8"/>
    <w:lvl w:ilvl="0" w:tplc="3C700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77D9B"/>
    <w:multiLevelType w:val="hybridMultilevel"/>
    <w:tmpl w:val="1C707DF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EAB0BA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7B624F"/>
    <w:multiLevelType w:val="multilevel"/>
    <w:tmpl w:val="C4325784"/>
    <w:name w:val="ListDash2Numbering"/>
    <w:lvl w:ilvl="0">
      <w:start w:val="1"/>
      <w:numFmt w:val="bullet"/>
      <w:pStyle w:val="ListDash2"/>
      <w:lvlText w:val="–"/>
      <w:lvlJc w:val="left"/>
      <w:pPr>
        <w:tabs>
          <w:tab w:val="num" w:pos="1361"/>
        </w:tabs>
        <w:ind w:left="1361" w:hanging="284"/>
      </w:pPr>
      <w:rPr>
        <w:rFonts w:ascii="Times New Roman" w:hAnsi="Times New Roman"/>
      </w:rPr>
    </w:lvl>
    <w:lvl w:ilvl="1">
      <w:start w:val="1"/>
      <w:numFmt w:val="bullet"/>
      <w:pStyle w:val="ListDash2Level2"/>
      <w:lvlText w:val="–"/>
      <w:lvlJc w:val="left"/>
      <w:pPr>
        <w:tabs>
          <w:tab w:val="num" w:pos="1644"/>
        </w:tabs>
        <w:ind w:left="1644" w:hanging="283"/>
      </w:pPr>
      <w:rPr>
        <w:rFonts w:ascii="Times New Roman" w:hAnsi="Times New Roman"/>
      </w:rPr>
    </w:lvl>
    <w:lvl w:ilvl="2">
      <w:start w:val="1"/>
      <w:numFmt w:val="bullet"/>
      <w:pStyle w:val="ListDash2Level3"/>
      <w:lvlText w:val="–"/>
      <w:lvlJc w:val="left"/>
      <w:pPr>
        <w:tabs>
          <w:tab w:val="num" w:pos="1928"/>
        </w:tabs>
        <w:ind w:left="1928" w:hanging="284"/>
      </w:pPr>
      <w:rPr>
        <w:rFonts w:ascii="Times New Roman" w:hAnsi="Times New Roman"/>
      </w:rPr>
    </w:lvl>
    <w:lvl w:ilvl="3">
      <w:start w:val="1"/>
      <w:numFmt w:val="bullet"/>
      <w:pStyle w:val="ListDash2Level4"/>
      <w:lvlText w:val="–"/>
      <w:lvlJc w:val="left"/>
      <w:pPr>
        <w:tabs>
          <w:tab w:val="num" w:pos="2211"/>
        </w:tabs>
        <w:ind w:left="2211" w:hanging="283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3" w15:restartNumberingAfterBreak="0">
    <w:nsid w:val="2C08739E"/>
    <w:multiLevelType w:val="hybridMultilevel"/>
    <w:tmpl w:val="6E7AC7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DFDF8"/>
    <w:multiLevelType w:val="multilevel"/>
    <w:tmpl w:val="3E2A3AF6"/>
    <w:name w:val="ListBullet2Numbering"/>
    <w:lvl w:ilvl="0">
      <w:start w:val="1"/>
      <w:numFmt w:val="bullet"/>
      <w:pStyle w:val="ListBullet2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/>
      </w:rPr>
    </w:lvl>
    <w:lvl w:ilvl="1">
      <w:start w:val="1"/>
      <w:numFmt w:val="bullet"/>
      <w:pStyle w:val="ListBullet2Level2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/>
      </w:rPr>
    </w:lvl>
    <w:lvl w:ilvl="2">
      <w:start w:val="1"/>
      <w:numFmt w:val="bullet"/>
      <w:pStyle w:val="ListBullet2Level3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/>
      </w:rPr>
    </w:lvl>
    <w:lvl w:ilvl="3">
      <w:start w:val="1"/>
      <w:numFmt w:val="bullet"/>
      <w:pStyle w:val="ListBullet2Level4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5" w15:restartNumberingAfterBreak="0">
    <w:nsid w:val="2D293CE3"/>
    <w:multiLevelType w:val="multilevel"/>
    <w:tmpl w:val="3DC2A624"/>
    <w:name w:val="LegalNumParNumbering"/>
    <w:lvl w:ilvl="0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tabs>
          <w:tab w:val="num" w:pos="952"/>
        </w:tabs>
        <w:ind w:left="952" w:hanging="476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tabs>
          <w:tab w:val="num" w:pos="1429"/>
        </w:tabs>
        <w:ind w:left="1429" w:hanging="477"/>
      </w:pPr>
      <w:rPr>
        <w:rFonts w:hint="default"/>
      </w:r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6" w15:restartNumberingAfterBreak="0">
    <w:nsid w:val="36192464"/>
    <w:multiLevelType w:val="multilevel"/>
    <w:tmpl w:val="A80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6324F1E"/>
    <w:multiLevelType w:val="multilevel"/>
    <w:tmpl w:val="F874436A"/>
    <w:name w:val="ListDash3Numbering"/>
    <w:lvl w:ilvl="0">
      <w:start w:val="1"/>
      <w:numFmt w:val="bullet"/>
      <w:pStyle w:val="ListDash3"/>
      <w:lvlText w:val="–"/>
      <w:lvlJc w:val="left"/>
      <w:pPr>
        <w:tabs>
          <w:tab w:val="num" w:pos="2200"/>
        </w:tabs>
        <w:ind w:left="2200" w:hanging="284"/>
      </w:pPr>
      <w:rPr>
        <w:rFonts w:ascii="Times New Roman" w:hAnsi="Times New Roman"/>
      </w:rPr>
    </w:lvl>
    <w:lvl w:ilvl="1">
      <w:start w:val="1"/>
      <w:numFmt w:val="bullet"/>
      <w:pStyle w:val="ListDash3Level2"/>
      <w:lvlText w:val="–"/>
      <w:lvlJc w:val="left"/>
      <w:pPr>
        <w:tabs>
          <w:tab w:val="num" w:pos="2483"/>
        </w:tabs>
        <w:ind w:left="2483" w:hanging="283"/>
      </w:pPr>
      <w:rPr>
        <w:rFonts w:ascii="Times New Roman" w:hAnsi="Times New Roman"/>
      </w:rPr>
    </w:lvl>
    <w:lvl w:ilvl="2">
      <w:start w:val="1"/>
      <w:numFmt w:val="bullet"/>
      <w:pStyle w:val="ListDash3Level3"/>
      <w:lvlText w:val="–"/>
      <w:lvlJc w:val="left"/>
      <w:pPr>
        <w:tabs>
          <w:tab w:val="num" w:pos="2767"/>
        </w:tabs>
        <w:ind w:left="2767" w:hanging="284"/>
      </w:pPr>
      <w:rPr>
        <w:rFonts w:ascii="Times New Roman" w:hAnsi="Times New Roman"/>
      </w:rPr>
    </w:lvl>
    <w:lvl w:ilvl="3">
      <w:start w:val="1"/>
      <w:numFmt w:val="bullet"/>
      <w:pStyle w:val="ListDash3Level4"/>
      <w:lvlText w:val="–"/>
      <w:lvlJc w:val="left"/>
      <w:pPr>
        <w:tabs>
          <w:tab w:val="num" w:pos="3050"/>
        </w:tabs>
        <w:ind w:left="3050" w:hanging="283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8" w15:restartNumberingAfterBreak="0">
    <w:nsid w:val="37CB1E1C"/>
    <w:multiLevelType w:val="multilevel"/>
    <w:tmpl w:val="FE9E8B12"/>
    <w:name w:val="ListDash1Numbering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  <w:lvl w:ilvl="1">
      <w:start w:val="1"/>
      <w:numFmt w:val="bullet"/>
      <w:pStyle w:val="ListDash1Level2"/>
      <w:lvlText w:val="–"/>
      <w:lvlJc w:val="left"/>
      <w:pPr>
        <w:tabs>
          <w:tab w:val="num" w:pos="1049"/>
        </w:tabs>
        <w:ind w:left="1049" w:hanging="284"/>
      </w:pPr>
      <w:rPr>
        <w:rFonts w:ascii="Times New Roman" w:hAnsi="Times New Roman"/>
      </w:rPr>
    </w:lvl>
    <w:lvl w:ilvl="2">
      <w:start w:val="1"/>
      <w:numFmt w:val="bullet"/>
      <w:pStyle w:val="ListDash1Level3"/>
      <w:lvlText w:val="–"/>
      <w:lvlJc w:val="left"/>
      <w:pPr>
        <w:tabs>
          <w:tab w:val="num" w:pos="1332"/>
        </w:tabs>
        <w:ind w:left="1332" w:hanging="283"/>
      </w:pPr>
      <w:rPr>
        <w:rFonts w:ascii="Times New Roman" w:hAnsi="Times New Roman"/>
      </w:rPr>
    </w:lvl>
    <w:lvl w:ilvl="3">
      <w:start w:val="1"/>
      <w:numFmt w:val="bullet"/>
      <w:pStyle w:val="ListDash1Level4"/>
      <w:lvlText w:val="–"/>
      <w:lvlJc w:val="left"/>
      <w:pPr>
        <w:tabs>
          <w:tab w:val="num" w:pos="1616"/>
        </w:tabs>
        <w:ind w:left="1616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9" w15:restartNumberingAfterBreak="0">
    <w:nsid w:val="3A7730C4"/>
    <w:multiLevelType w:val="multilevel"/>
    <w:tmpl w:val="57BE715C"/>
    <w:name w:val="ListBullet1Numbering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  <w:lvl w:ilvl="1">
      <w:start w:val="1"/>
      <w:numFmt w:val="bullet"/>
      <w:pStyle w:val="ListBullet1Level2"/>
      <w:lvlText w:val=""/>
      <w:lvlJc w:val="left"/>
      <w:pPr>
        <w:tabs>
          <w:tab w:val="num" w:pos="1049"/>
        </w:tabs>
        <w:ind w:left="1049" w:hanging="284"/>
      </w:pPr>
      <w:rPr>
        <w:rFonts w:ascii="Symbol" w:hAnsi="Symbol"/>
      </w:rPr>
    </w:lvl>
    <w:lvl w:ilvl="2">
      <w:start w:val="1"/>
      <w:numFmt w:val="bullet"/>
      <w:pStyle w:val="ListBullet1Level3"/>
      <w:lvlText w:val=""/>
      <w:lvlJc w:val="left"/>
      <w:pPr>
        <w:tabs>
          <w:tab w:val="num" w:pos="1332"/>
        </w:tabs>
        <w:ind w:left="1332" w:hanging="283"/>
      </w:pPr>
      <w:rPr>
        <w:rFonts w:ascii="Symbol" w:hAnsi="Symbol"/>
      </w:rPr>
    </w:lvl>
    <w:lvl w:ilvl="3">
      <w:start w:val="1"/>
      <w:numFmt w:val="bullet"/>
      <w:pStyle w:val="ListBullet1Level4"/>
      <w:lvlText w:val=""/>
      <w:lvlJc w:val="left"/>
      <w:pPr>
        <w:tabs>
          <w:tab w:val="num" w:pos="1616"/>
        </w:tabs>
        <w:ind w:left="1616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0" w15:restartNumberingAfterBreak="0">
    <w:nsid w:val="3D4F46F8"/>
    <w:multiLevelType w:val="multilevel"/>
    <w:tmpl w:val="BBC4F17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2D793C"/>
    <w:multiLevelType w:val="hybridMultilevel"/>
    <w:tmpl w:val="9EAEED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E662A"/>
    <w:multiLevelType w:val="multilevel"/>
    <w:tmpl w:val="26084564"/>
    <w:name w:val="ListNumber1Numbering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3" w15:restartNumberingAfterBreak="0">
    <w:nsid w:val="42F572DA"/>
    <w:multiLevelType w:val="hybridMultilevel"/>
    <w:tmpl w:val="D76A9B5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5F58"/>
    <w:multiLevelType w:val="hybridMultilevel"/>
    <w:tmpl w:val="A5CC13C0"/>
    <w:lvl w:ilvl="0" w:tplc="4C9EB68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2714EC"/>
    <w:multiLevelType w:val="hybridMultilevel"/>
    <w:tmpl w:val="A60E0A6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B457D"/>
    <w:multiLevelType w:val="hybridMultilevel"/>
    <w:tmpl w:val="E7C0749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E1A982C"/>
    <w:multiLevelType w:val="multilevel"/>
    <w:tmpl w:val="23889F80"/>
    <w:name w:val="ListBulletNumbering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8" w15:restartNumberingAfterBreak="0">
    <w:nsid w:val="5072619B"/>
    <w:multiLevelType w:val="multilevel"/>
    <w:tmpl w:val="EAA8C486"/>
    <w:name w:val="ListDashNumbering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start w:val="1"/>
      <w:numFmt w:val="bullet"/>
      <w:pStyle w:val="ListDashLevel2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/>
      </w:rPr>
    </w:lvl>
    <w:lvl w:ilvl="2">
      <w:start w:val="1"/>
      <w:numFmt w:val="bullet"/>
      <w:pStyle w:val="ListDashLevel3"/>
      <w:lvlText w:val="–"/>
      <w:lvlJc w:val="left"/>
      <w:pPr>
        <w:tabs>
          <w:tab w:val="num" w:pos="850"/>
        </w:tabs>
        <w:ind w:left="850" w:hanging="283"/>
      </w:pPr>
      <w:rPr>
        <w:rFonts w:ascii="Times New Roman" w:hAnsi="Times New Roman"/>
      </w:rPr>
    </w:lvl>
    <w:lvl w:ilvl="3">
      <w:start w:val="1"/>
      <w:numFmt w:val="bullet"/>
      <w:pStyle w:val="ListDashLevel4"/>
      <w:lvlText w:val="–"/>
      <w:lvlJc w:val="left"/>
      <w:pPr>
        <w:tabs>
          <w:tab w:val="num" w:pos="1134"/>
        </w:tabs>
        <w:ind w:left="1134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9" w15:restartNumberingAfterBreak="0">
    <w:nsid w:val="509A66F8"/>
    <w:multiLevelType w:val="hybridMultilevel"/>
    <w:tmpl w:val="F890795E"/>
    <w:lvl w:ilvl="0" w:tplc="08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67502E4"/>
    <w:multiLevelType w:val="hybridMultilevel"/>
    <w:tmpl w:val="246E0A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929BC"/>
    <w:multiLevelType w:val="hybridMultilevel"/>
    <w:tmpl w:val="80EA12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169E8"/>
    <w:multiLevelType w:val="hybridMultilevel"/>
    <w:tmpl w:val="89A289F0"/>
    <w:lvl w:ilvl="0" w:tplc="15A0F66E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977472E"/>
    <w:multiLevelType w:val="multilevel"/>
    <w:tmpl w:val="00DC63C4"/>
    <w:name w:val="ListNumber4Numbering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4" w15:restartNumberingAfterBreak="0">
    <w:nsid w:val="6AD37E7D"/>
    <w:multiLevelType w:val="hybridMultilevel"/>
    <w:tmpl w:val="685C18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5097C"/>
    <w:multiLevelType w:val="hybridMultilevel"/>
    <w:tmpl w:val="396A00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23862"/>
    <w:multiLevelType w:val="hybridMultilevel"/>
    <w:tmpl w:val="97B47A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042B8"/>
    <w:multiLevelType w:val="hybridMultilevel"/>
    <w:tmpl w:val="A1466270"/>
    <w:lvl w:ilvl="0" w:tplc="3410C12E">
      <w:start w:val="1"/>
      <w:numFmt w:val="lowerRoman"/>
      <w:lvlText w:val="(%1)"/>
      <w:lvlJc w:val="left"/>
      <w:pPr>
        <w:ind w:left="1289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9" w:hanging="360"/>
      </w:pPr>
    </w:lvl>
    <w:lvl w:ilvl="2" w:tplc="080C001B" w:tentative="1">
      <w:start w:val="1"/>
      <w:numFmt w:val="lowerRoman"/>
      <w:lvlText w:val="%3."/>
      <w:lvlJc w:val="right"/>
      <w:pPr>
        <w:ind w:left="2369" w:hanging="180"/>
      </w:pPr>
    </w:lvl>
    <w:lvl w:ilvl="3" w:tplc="080C000F" w:tentative="1">
      <w:start w:val="1"/>
      <w:numFmt w:val="decimal"/>
      <w:lvlText w:val="%4."/>
      <w:lvlJc w:val="left"/>
      <w:pPr>
        <w:ind w:left="3089" w:hanging="360"/>
      </w:pPr>
    </w:lvl>
    <w:lvl w:ilvl="4" w:tplc="080C0019" w:tentative="1">
      <w:start w:val="1"/>
      <w:numFmt w:val="lowerLetter"/>
      <w:lvlText w:val="%5."/>
      <w:lvlJc w:val="left"/>
      <w:pPr>
        <w:ind w:left="3809" w:hanging="360"/>
      </w:pPr>
    </w:lvl>
    <w:lvl w:ilvl="5" w:tplc="080C001B" w:tentative="1">
      <w:start w:val="1"/>
      <w:numFmt w:val="lowerRoman"/>
      <w:lvlText w:val="%6."/>
      <w:lvlJc w:val="right"/>
      <w:pPr>
        <w:ind w:left="4529" w:hanging="180"/>
      </w:pPr>
    </w:lvl>
    <w:lvl w:ilvl="6" w:tplc="080C000F" w:tentative="1">
      <w:start w:val="1"/>
      <w:numFmt w:val="decimal"/>
      <w:lvlText w:val="%7."/>
      <w:lvlJc w:val="left"/>
      <w:pPr>
        <w:ind w:left="5249" w:hanging="360"/>
      </w:pPr>
    </w:lvl>
    <w:lvl w:ilvl="7" w:tplc="080C0019" w:tentative="1">
      <w:start w:val="1"/>
      <w:numFmt w:val="lowerLetter"/>
      <w:lvlText w:val="%8."/>
      <w:lvlJc w:val="left"/>
      <w:pPr>
        <w:ind w:left="5969" w:hanging="360"/>
      </w:pPr>
    </w:lvl>
    <w:lvl w:ilvl="8" w:tplc="080C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" w15:restartNumberingAfterBreak="0">
    <w:nsid w:val="7C65145E"/>
    <w:multiLevelType w:val="multilevel"/>
    <w:tmpl w:val="BB3ED602"/>
    <w:name w:val="EurolookHeading"/>
    <w:lvl w:ilvl="0">
      <w:start w:val="1"/>
      <w:numFmt w:val="decimal"/>
      <w:pStyle w:val="Heading1"/>
      <w:lvlText w:val="%1."/>
      <w:lvlJc w:val="left"/>
      <w:pPr>
        <w:tabs>
          <w:tab w:val="num" w:pos="482"/>
        </w:tabs>
        <w:ind w:left="482" w:hanging="48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85"/>
        </w:tabs>
        <w:ind w:left="885" w:hanging="601"/>
      </w:pPr>
      <w:rPr>
        <w:b/>
        <w:sz w:val="26"/>
        <w:szCs w:val="26"/>
        <w:lang w:val="en-US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32"/>
        </w:tabs>
        <w:ind w:left="1832" w:hanging="839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5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3838" w:hanging="958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3838" w:hanging="958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880"/>
        </w:tabs>
        <w:ind w:left="3838" w:hanging="95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2880"/>
        </w:tabs>
        <w:ind w:left="3838" w:hanging="958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2880"/>
        </w:tabs>
        <w:ind w:left="3838" w:hanging="958"/>
      </w:pPr>
    </w:lvl>
  </w:abstractNum>
  <w:abstractNum w:abstractNumId="39" w15:restartNumberingAfterBreak="0">
    <w:nsid w:val="7C651460"/>
    <w:multiLevelType w:val="singleLevel"/>
    <w:tmpl w:val="DCAA060D"/>
    <w:name w:val="AnnexNumbering"/>
    <w:lvl w:ilvl="0">
      <w:start w:val="1"/>
      <w:numFmt w:val="upperLetter"/>
      <w:pStyle w:val="AnnexTitle"/>
      <w:lvlText w:val="Annex %1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num w:numId="1">
    <w:abstractNumId w:val="39"/>
  </w:num>
  <w:num w:numId="2">
    <w:abstractNumId w:val="15"/>
  </w:num>
  <w:num w:numId="3">
    <w:abstractNumId w:val="38"/>
  </w:num>
  <w:num w:numId="4">
    <w:abstractNumId w:val="27"/>
  </w:num>
  <w:num w:numId="5">
    <w:abstractNumId w:val="19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22"/>
  </w:num>
  <w:num w:numId="11">
    <w:abstractNumId w:val="9"/>
  </w:num>
  <w:num w:numId="12">
    <w:abstractNumId w:val="4"/>
  </w:num>
  <w:num w:numId="13">
    <w:abstractNumId w:val="33"/>
  </w:num>
  <w:num w:numId="14">
    <w:abstractNumId w:val="28"/>
  </w:num>
  <w:num w:numId="15">
    <w:abstractNumId w:val="18"/>
  </w:num>
  <w:num w:numId="16">
    <w:abstractNumId w:val="12"/>
  </w:num>
  <w:num w:numId="17">
    <w:abstractNumId w:val="17"/>
  </w:num>
  <w:num w:numId="18">
    <w:abstractNumId w:val="1"/>
  </w:num>
  <w:num w:numId="19">
    <w:abstractNumId w:val="11"/>
  </w:num>
  <w:num w:numId="20">
    <w:abstractNumId w:val="32"/>
  </w:num>
  <w:num w:numId="21">
    <w:abstractNumId w:val="26"/>
  </w:num>
  <w:num w:numId="22">
    <w:abstractNumId w:val="29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8"/>
  </w:num>
  <w:num w:numId="27">
    <w:abstractNumId w:val="2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7"/>
  </w:num>
  <w:num w:numId="31">
    <w:abstractNumId w:val="35"/>
  </w:num>
  <w:num w:numId="32">
    <w:abstractNumId w:val="0"/>
  </w:num>
  <w:num w:numId="33">
    <w:abstractNumId w:val="34"/>
  </w:num>
  <w:num w:numId="34">
    <w:abstractNumId w:val="13"/>
  </w:num>
  <w:num w:numId="35">
    <w:abstractNumId w:val="21"/>
  </w:num>
  <w:num w:numId="36">
    <w:abstractNumId w:val="20"/>
  </w:num>
  <w:num w:numId="37">
    <w:abstractNumId w:val="31"/>
  </w:num>
  <w:num w:numId="38">
    <w:abstractNumId w:val="3"/>
  </w:num>
  <w:num w:numId="39">
    <w:abstractNumId w:val="10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0"/>
  </w:num>
  <w:num w:numId="44">
    <w:abstractNumId w:val="38"/>
  </w:num>
  <w:num w:numId="45">
    <w:abstractNumId w:val="38"/>
  </w:num>
  <w:num w:numId="46">
    <w:abstractNumId w:val="38"/>
  </w:num>
  <w:num w:numId="47">
    <w:abstractNumId w:val="38"/>
  </w:num>
  <w:num w:numId="48">
    <w:abstractNumId w:val="38"/>
  </w:num>
  <w:num w:numId="49">
    <w:abstractNumId w:val="38"/>
  </w:num>
  <w:num w:numId="50">
    <w:abstractNumId w:val="24"/>
  </w:num>
  <w:num w:numId="51">
    <w:abstractNumId w:val="38"/>
  </w:num>
  <w:num w:numId="52">
    <w:abstractNumId w:val="38"/>
  </w:num>
  <w:num w:numId="53">
    <w:abstractNumId w:val="38"/>
  </w:num>
  <w:num w:numId="54">
    <w:abstractNumId w:val="38"/>
  </w:num>
  <w:num w:numId="55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revisionView w:markup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3B379426-E56B-4E13-A812-D7061BA0CD61"/>
    <w:docVar w:name="LW_COVERPAGE_TYPE" w:val="1"/>
    <w:docVar w:name="LW_CROSSREFERENCE" w:val="&lt;UNUSED&gt;"/>
    <w:docVar w:name="LW_DocType" w:val="NORMAL"/>
    <w:docVar w:name="LW_EMISSION" w:val="10.3.2020"/>
    <w:docVar w:name="LW_EMISSION_ISODATE" w:val="2020-03-10"/>
    <w:docVar w:name="LW_EMISSION_LOCATION" w:val="BRX"/>
    <w:docVar w:name="LW_EMISSION_PREFIX" w:val="V Bruselu dne "/>
    <w:docVar w:name="LW_EMISSION_SUFFIX" w:val=" "/>
    <w:docVar w:name="LW_ID_DOCTYPE_NONLW" w:val="CP-014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9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Font=Calibri CE,Highlight=7&gt;Dlouhodobý ak\u269?ní plán pro lep\u353?í provád\u283?ní a prosazování pravidel jednotného trhu&lt;/FMT&gt;_x000b_"/>
    <w:docVar w:name="LW_TYPE.DOC.CP" w:val="SD\u282?LENÍ KOMISE EVROPSKÉMU PARLAMENTU, RAD\u282?, EVROPSKÉMU HOSPODÁ\u344?SKÉMU A SOCIÁLNÍMU VÝBORU A VÝBORU REGION\u366?"/>
    <w:docVar w:name="LW_TYPE.DOC.CP.USERTEXT" w:val="&lt;EMPTY&gt;"/>
  </w:docVars>
  <w:rsids>
    <w:rsidRoot w:val="00293D03"/>
    <w:rsid w:val="00293D03"/>
    <w:rsid w:val="00D3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0" w:qFormat="1"/>
    <w:lsdException w:name="heading 1" w:uiPriority="90" w:qFormat="1"/>
    <w:lsdException w:name="heading 2" w:semiHidden="1" w:uiPriority="90" w:unhideWhenUsed="1" w:qFormat="1"/>
    <w:lsdException w:name="heading 3" w:semiHidden="1" w:uiPriority="90" w:unhideWhenUsed="1" w:qFormat="1"/>
    <w:lsdException w:name="heading 4" w:semiHidden="1" w:uiPriority="9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0" w:unhideWhenUsed="1" w:qFormat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0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Text1"/>
    <w:link w:val="Heading1Char"/>
    <w:uiPriority w:val="90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uiPriority w:val="90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uiPriority w:val="90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uiPriority w:val="90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link w:val="Heading5Char"/>
    <w:semiHidden/>
    <w:pPr>
      <w:keepNext/>
      <w:numPr>
        <w:ilvl w:val="4"/>
        <w:numId w:val="3"/>
      </w:numPr>
      <w:outlineLvl w:val="4"/>
    </w:pPr>
  </w:style>
  <w:style w:type="paragraph" w:styleId="Heading6">
    <w:name w:val="heading 6"/>
    <w:basedOn w:val="Normal"/>
    <w:next w:val="Normal"/>
    <w:link w:val="Heading6Char"/>
    <w:semiHidden/>
    <w:pPr>
      <w:keepNext/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pPr>
      <w:keepNext/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pPr>
      <w:keepNext/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pPr>
      <w:keepNext/>
      <w:numPr>
        <w:ilvl w:val="8"/>
        <w:numId w:val="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0"/>
    <w:rPr>
      <w:rFonts w:ascii="Times New Roman" w:eastAsia="Times New Roman" w:hAnsi="Times New Roman" w:cs="Times New Roman"/>
      <w:b/>
      <w:smallCaps/>
      <w:sz w:val="24"/>
      <w:szCs w:val="20"/>
      <w:lang w:val="cs-CZ" w:eastAsia="en-GB"/>
    </w:rPr>
  </w:style>
  <w:style w:type="character" w:customStyle="1" w:styleId="Heading2Char">
    <w:name w:val="Heading 2 Char"/>
    <w:basedOn w:val="DefaultParagraphFont"/>
    <w:link w:val="Heading2"/>
    <w:uiPriority w:val="90"/>
    <w:rPr>
      <w:rFonts w:ascii="Times New Roman" w:eastAsia="Times New Roman" w:hAnsi="Times New Roman" w:cs="Times New Roman"/>
      <w:b/>
      <w:sz w:val="24"/>
      <w:szCs w:val="20"/>
      <w:lang w:val="cs-CZ" w:eastAsia="en-GB"/>
    </w:rPr>
  </w:style>
  <w:style w:type="character" w:customStyle="1" w:styleId="Heading3Char">
    <w:name w:val="Heading 3 Char"/>
    <w:basedOn w:val="DefaultParagraphFont"/>
    <w:link w:val="Heading3"/>
    <w:uiPriority w:val="90"/>
    <w:rPr>
      <w:rFonts w:ascii="Times New Roman" w:eastAsia="Times New Roman" w:hAnsi="Times New Roman" w:cs="Times New Roman"/>
      <w:i/>
      <w:sz w:val="24"/>
      <w:szCs w:val="20"/>
      <w:lang w:val="cs-CZ" w:eastAsia="en-GB"/>
    </w:rPr>
  </w:style>
  <w:style w:type="character" w:customStyle="1" w:styleId="Heading4Char">
    <w:name w:val="Heading 4 Char"/>
    <w:basedOn w:val="DefaultParagraphFont"/>
    <w:link w:val="Heading4"/>
    <w:uiPriority w:val="90"/>
    <w:rPr>
      <w:rFonts w:ascii="Times New Roman" w:eastAsia="Times New Roman" w:hAnsi="Times New Roman" w:cs="Times New Roman"/>
      <w:sz w:val="24"/>
      <w:szCs w:val="20"/>
      <w:lang w:val="cs-CZ" w:eastAsia="en-GB"/>
    </w:rPr>
  </w:style>
  <w:style w:type="character" w:customStyle="1" w:styleId="Heading5Char">
    <w:name w:val="Heading 5 Char"/>
    <w:basedOn w:val="DefaultParagraphFont"/>
    <w:link w:val="Heading5"/>
    <w:semiHidden/>
    <w:rPr>
      <w:rFonts w:ascii="Times New Roman" w:eastAsia="Times New Roman" w:hAnsi="Times New Roman" w:cs="Times New Roman"/>
      <w:sz w:val="24"/>
      <w:szCs w:val="20"/>
      <w:lang w:val="cs-CZ" w:eastAsia="en-GB"/>
    </w:rPr>
  </w:style>
  <w:style w:type="character" w:customStyle="1" w:styleId="Heading6Char">
    <w:name w:val="Heading 6 Char"/>
    <w:basedOn w:val="DefaultParagraphFont"/>
    <w:link w:val="Heading6"/>
    <w:semiHidden/>
    <w:rPr>
      <w:rFonts w:ascii="Times New Roman" w:eastAsia="Times New Roman" w:hAnsi="Times New Roman" w:cs="Times New Roman"/>
      <w:sz w:val="24"/>
      <w:szCs w:val="20"/>
      <w:lang w:val="cs-CZ" w:eastAsia="en-GB"/>
    </w:rPr>
  </w:style>
  <w:style w:type="character" w:customStyle="1" w:styleId="Heading7Char">
    <w:name w:val="Heading 7 Char"/>
    <w:basedOn w:val="DefaultParagraphFont"/>
    <w:link w:val="Heading7"/>
    <w:semiHidden/>
    <w:rPr>
      <w:rFonts w:ascii="Times New Roman" w:eastAsia="Times New Roman" w:hAnsi="Times New Roman" w:cs="Times New Roman"/>
      <w:sz w:val="24"/>
      <w:szCs w:val="20"/>
      <w:lang w:val="cs-CZ" w:eastAsia="en-GB"/>
    </w:rPr>
  </w:style>
  <w:style w:type="character" w:customStyle="1" w:styleId="Heading8Char">
    <w:name w:val="Heading 8 Char"/>
    <w:basedOn w:val="DefaultParagraphFont"/>
    <w:link w:val="Heading8"/>
    <w:semiHidden/>
    <w:rPr>
      <w:rFonts w:ascii="Times New Roman" w:eastAsia="Times New Roman" w:hAnsi="Times New Roman" w:cs="Times New Roman"/>
      <w:sz w:val="24"/>
      <w:szCs w:val="20"/>
      <w:lang w:val="cs-CZ" w:eastAsia="en-GB"/>
    </w:rPr>
  </w:style>
  <w:style w:type="character" w:customStyle="1" w:styleId="Heading9Char">
    <w:name w:val="Heading 9 Char"/>
    <w:basedOn w:val="DefaultParagraphFont"/>
    <w:link w:val="Heading9"/>
    <w:semiHidden/>
    <w:rPr>
      <w:rFonts w:ascii="Times New Roman" w:eastAsia="Times New Roman" w:hAnsi="Times New Roman" w:cs="Times New Roman"/>
      <w:sz w:val="24"/>
      <w:szCs w:val="20"/>
      <w:lang w:val="cs-CZ" w:eastAsia="en-GB"/>
    </w:rPr>
  </w:style>
  <w:style w:type="character" w:customStyle="1" w:styleId="CrossReference">
    <w:name w:val="Cross Reference"/>
    <w:basedOn w:val="DefaultParagraphFont"/>
    <w:uiPriority w:val="99"/>
    <w:rPr>
      <w:i/>
    </w:rPr>
  </w:style>
  <w:style w:type="character" w:customStyle="1" w:styleId="MarkingText">
    <w:name w:val="MarkingText"/>
    <w:semiHidden/>
    <w:rPr>
      <w:i/>
      <w:sz w:val="28"/>
    </w:rPr>
  </w:style>
  <w:style w:type="character" w:customStyle="1" w:styleId="MarkingLabel">
    <w:name w:val="MarkingLabel"/>
    <w:semiHidden/>
    <w:rPr>
      <w:b/>
      <w:caps/>
      <w:sz w:val="28"/>
    </w:rPr>
  </w:style>
  <w:style w:type="character" w:customStyle="1" w:styleId="BodyPlaceholderText">
    <w:name w:val="BodyPlaceholderText"/>
    <w:basedOn w:val="PlaceholderText"/>
    <w:uiPriority w:val="1"/>
    <w:semiHidden/>
    <w:rPr>
      <w:color w:val="3366CC"/>
    </w:rPr>
  </w:style>
  <w:style w:type="character" w:styleId="PlaceholderText">
    <w:name w:val="Placeholder Text"/>
    <w:basedOn w:val="DefaultParagraphFont"/>
    <w:uiPriority w:val="99"/>
    <w:semiHidden/>
    <w:rPr>
      <w:color w:val="288061"/>
    </w:rPr>
  </w:style>
  <w:style w:type="paragraph" w:customStyle="1" w:styleId="Copies">
    <w:name w:val="Copies"/>
    <w:basedOn w:val="Normal"/>
    <w:next w:val="Normal"/>
    <w:uiPriority w:val="99"/>
    <w:pPr>
      <w:tabs>
        <w:tab w:val="left" w:pos="5669"/>
      </w:tabs>
      <w:spacing w:before="480" w:after="0"/>
      <w:ind w:left="1984" w:hanging="1984"/>
      <w:jc w:val="left"/>
    </w:pPr>
  </w:style>
  <w:style w:type="paragraph" w:customStyle="1" w:styleId="Participants">
    <w:name w:val="Participants"/>
    <w:basedOn w:val="Normal"/>
    <w:next w:val="Copies"/>
    <w:uiPriority w:val="99"/>
    <w:pPr>
      <w:tabs>
        <w:tab w:val="left" w:pos="2551"/>
        <w:tab w:val="left" w:pos="2835"/>
        <w:tab w:val="left" w:pos="5669"/>
        <w:tab w:val="left" w:pos="6378"/>
        <w:tab w:val="left" w:pos="6803"/>
      </w:tabs>
      <w:spacing w:before="480" w:after="0"/>
      <w:ind w:left="1984" w:hanging="1984"/>
      <w:jc w:val="left"/>
    </w:pPr>
  </w:style>
  <w:style w:type="paragraph" w:customStyle="1" w:styleId="Enclosures">
    <w:name w:val="Enclosures"/>
    <w:basedOn w:val="Normal"/>
    <w:next w:val="Participants"/>
    <w:uiPriority w:val="99"/>
    <w:pPr>
      <w:keepNext/>
      <w:keepLines/>
      <w:tabs>
        <w:tab w:val="left" w:pos="5669"/>
      </w:tabs>
      <w:spacing w:before="480" w:after="0"/>
      <w:ind w:left="1984" w:hanging="1984"/>
      <w:jc w:val="left"/>
    </w:pPr>
  </w:style>
  <w:style w:type="paragraph" w:customStyle="1" w:styleId="DoubSign">
    <w:name w:val="DoubSign"/>
    <w:basedOn w:val="Normal"/>
    <w:next w:val="Contact"/>
    <w:pPr>
      <w:tabs>
        <w:tab w:val="left" w:pos="5102"/>
      </w:tabs>
      <w:spacing w:before="1200" w:after="0"/>
      <w:jc w:val="left"/>
    </w:pPr>
  </w:style>
  <w:style w:type="paragraph" w:customStyle="1" w:styleId="SignatureL">
    <w:name w:val="SignatureL"/>
    <w:basedOn w:val="Normal"/>
    <w:next w:val="Contact"/>
    <w:uiPriority w:val="99"/>
    <w:pPr>
      <w:tabs>
        <w:tab w:val="left" w:pos="5102"/>
      </w:tabs>
      <w:spacing w:before="1200" w:after="0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2"/>
      </w:tabs>
      <w:spacing w:before="1200" w:after="0"/>
      <w:ind w:left="5102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ascii="Times New Roman" w:eastAsia="Times New Roman" w:hAnsi="Times New Roman" w:cs="Times New Roman"/>
      <w:sz w:val="24"/>
      <w:szCs w:val="20"/>
      <w:lang w:val="cs-CZ" w:eastAsia="en-GB"/>
    </w:rPr>
  </w:style>
  <w:style w:type="paragraph" w:customStyle="1" w:styleId="ClosingL">
    <w:name w:val="ClosingL"/>
    <w:basedOn w:val="Normal"/>
    <w:next w:val="Signature"/>
    <w:pPr>
      <w:spacing w:before="240"/>
      <w:jc w:val="left"/>
    </w:pPr>
  </w:style>
  <w:style w:type="paragraph" w:styleId="Closing">
    <w:name w:val="Closing"/>
    <w:basedOn w:val="Normal"/>
    <w:next w:val="Signature"/>
    <w:link w:val="ClosingChar"/>
    <w:pPr>
      <w:tabs>
        <w:tab w:val="left" w:pos="5102"/>
      </w:tabs>
      <w:spacing w:before="240"/>
      <w:ind w:left="5102"/>
      <w:jc w:val="left"/>
    </w:p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cs-CZ" w:eastAsia="en-GB"/>
    </w:rPr>
  </w:style>
  <w:style w:type="paragraph" w:customStyle="1" w:styleId="YReferences">
    <w:name w:val="YReferences"/>
    <w:basedOn w:val="Normal"/>
    <w:next w:val="Normal"/>
    <w:uiPriority w:val="99"/>
    <w:pPr>
      <w:spacing w:after="480"/>
      <w:ind w:left="1531" w:hanging="1531"/>
    </w:pPr>
  </w:style>
  <w:style w:type="paragraph" w:customStyle="1" w:styleId="Subject">
    <w:name w:val="Subject"/>
    <w:basedOn w:val="Normal"/>
    <w:next w:val="Normal"/>
    <w:uiPriority w:val="99"/>
    <w:pPr>
      <w:spacing w:after="480"/>
      <w:ind w:left="1531" w:hanging="1531"/>
      <w:jc w:val="left"/>
    </w:pPr>
    <w:rPr>
      <w:b/>
    </w:rPr>
  </w:style>
  <w:style w:type="paragraph" w:customStyle="1" w:styleId="NoteColumn">
    <w:name w:val="NoteColumn"/>
    <w:basedOn w:val="Normal"/>
    <w:next w:val="Subject"/>
    <w:pPr>
      <w:tabs>
        <w:tab w:val="left" w:pos="850"/>
        <w:tab w:val="left" w:pos="1570"/>
        <w:tab w:val="left" w:pos="5102"/>
        <w:tab w:val="left" w:pos="5822"/>
      </w:tabs>
      <w:spacing w:after="720"/>
      <w:ind w:left="850"/>
      <w:jc w:val="left"/>
    </w:pPr>
    <w:rPr>
      <w:b/>
      <w:smallCaps/>
    </w:rPr>
  </w:style>
  <w:style w:type="paragraph" w:customStyle="1" w:styleId="NoteList">
    <w:name w:val="NoteList"/>
    <w:basedOn w:val="Normal"/>
    <w:next w:val="Subject"/>
    <w:pPr>
      <w:tabs>
        <w:tab w:val="left" w:pos="5822"/>
      </w:tabs>
      <w:spacing w:before="720" w:after="720"/>
      <w:ind w:left="5102" w:hanging="3118"/>
      <w:jc w:val="left"/>
    </w:pPr>
    <w:rPr>
      <w:b/>
      <w:smallCaps/>
    </w:rPr>
  </w:style>
  <w:style w:type="paragraph" w:customStyle="1" w:styleId="NoteHead">
    <w:name w:val="NoteHead"/>
    <w:basedOn w:val="Normal"/>
    <w:next w:val="Subject"/>
    <w:uiPriority w:val="99"/>
    <w:pPr>
      <w:spacing w:before="720" w:after="720"/>
      <w:jc w:val="center"/>
    </w:pPr>
    <w:rPr>
      <w:b/>
      <w:smallCaps/>
    </w:r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cs-CZ" w:eastAsia="en-GB"/>
    </w:rPr>
  </w:style>
  <w:style w:type="paragraph" w:customStyle="1" w:styleId="LegalNumPar3">
    <w:name w:val="LegalNumPar3"/>
    <w:basedOn w:val="Normal"/>
    <w:pPr>
      <w:numPr>
        <w:ilvl w:val="2"/>
        <w:numId w:val="2"/>
      </w:numPr>
      <w:spacing w:line="360" w:lineRule="auto"/>
      <w:jc w:val="left"/>
    </w:pPr>
  </w:style>
  <w:style w:type="paragraph" w:customStyle="1" w:styleId="LegalNumPar2">
    <w:name w:val="LegalNumPar2"/>
    <w:basedOn w:val="Normal"/>
    <w:pPr>
      <w:numPr>
        <w:ilvl w:val="1"/>
        <w:numId w:val="2"/>
      </w:numPr>
      <w:spacing w:line="360" w:lineRule="auto"/>
      <w:jc w:val="left"/>
    </w:pPr>
  </w:style>
  <w:style w:type="paragraph" w:customStyle="1" w:styleId="LegalNumPar">
    <w:name w:val="LegalNumPar"/>
    <w:basedOn w:val="Normal"/>
    <w:uiPriority w:val="90"/>
    <w:qFormat/>
    <w:pPr>
      <w:numPr>
        <w:numId w:val="2"/>
      </w:numPr>
      <w:spacing w:line="360" w:lineRule="auto"/>
      <w:jc w:val="left"/>
    </w:pPr>
  </w:style>
  <w:style w:type="paragraph" w:customStyle="1" w:styleId="Marking">
    <w:name w:val="Marking"/>
    <w:basedOn w:val="Normal"/>
    <w:pPr>
      <w:spacing w:line="276" w:lineRule="auto"/>
      <w:ind w:left="5102" w:right="-567"/>
      <w:contextualSpacing/>
      <w:jc w:val="left"/>
    </w:pPr>
    <w:rPr>
      <w:sz w:val="28"/>
    </w:rPr>
  </w:style>
  <w:style w:type="paragraph" w:customStyle="1" w:styleId="ListNumber4Level4">
    <w:name w:val="List Number 4 (Level 4)"/>
    <w:basedOn w:val="Text4"/>
    <w:semiHidden/>
    <w:unhideWhenUsed/>
    <w:pPr>
      <w:numPr>
        <w:ilvl w:val="3"/>
        <w:numId w:val="13"/>
      </w:numPr>
    </w:pPr>
  </w:style>
  <w:style w:type="paragraph" w:customStyle="1" w:styleId="ListNumber4Level3">
    <w:name w:val="List Number 4 (Level 3)"/>
    <w:basedOn w:val="Text4"/>
    <w:semiHidden/>
    <w:unhideWhenUsed/>
    <w:pPr>
      <w:numPr>
        <w:ilvl w:val="2"/>
        <w:numId w:val="13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3"/>
      </w:numPr>
    </w:pPr>
  </w:style>
  <w:style w:type="paragraph" w:styleId="ListNumber4">
    <w:name w:val="List Number 4"/>
    <w:basedOn w:val="Text4"/>
    <w:pPr>
      <w:numPr>
        <w:numId w:val="13"/>
      </w:numPr>
    </w:pPr>
  </w:style>
  <w:style w:type="paragraph" w:customStyle="1" w:styleId="ListNumber3Level4">
    <w:name w:val="List Number 3 (Level 4)"/>
    <w:basedOn w:val="Text3"/>
    <w:semiHidden/>
    <w:unhideWhenUsed/>
    <w:pPr>
      <w:numPr>
        <w:ilvl w:val="3"/>
        <w:numId w:val="12"/>
      </w:numPr>
    </w:pPr>
  </w:style>
  <w:style w:type="paragraph" w:customStyle="1" w:styleId="ListNumber3Level3">
    <w:name w:val="List Number 3 (Level 3)"/>
    <w:basedOn w:val="Text3"/>
    <w:semiHidden/>
    <w:unhideWhenUsed/>
    <w:pPr>
      <w:numPr>
        <w:ilvl w:val="2"/>
        <w:numId w:val="12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12"/>
      </w:numPr>
    </w:pPr>
  </w:style>
  <w:style w:type="paragraph" w:styleId="ListNumber3">
    <w:name w:val="List Number 3"/>
    <w:basedOn w:val="Text3"/>
    <w:pPr>
      <w:numPr>
        <w:numId w:val="12"/>
      </w:numPr>
    </w:pPr>
  </w:style>
  <w:style w:type="paragraph" w:customStyle="1" w:styleId="ListNumber2Level4">
    <w:name w:val="List Number 2 (Level 4)"/>
    <w:basedOn w:val="Text2"/>
    <w:semiHidden/>
    <w:unhideWhenUsed/>
    <w:pPr>
      <w:numPr>
        <w:ilvl w:val="3"/>
        <w:numId w:val="11"/>
      </w:numPr>
    </w:pPr>
  </w:style>
  <w:style w:type="paragraph" w:customStyle="1" w:styleId="ListNumber2Level3">
    <w:name w:val="List Number 2 (Level 3)"/>
    <w:basedOn w:val="Text2"/>
    <w:semiHidden/>
    <w:unhideWhenUsed/>
    <w:pPr>
      <w:numPr>
        <w:ilvl w:val="2"/>
        <w:numId w:val="11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1"/>
      </w:numPr>
    </w:pPr>
  </w:style>
  <w:style w:type="paragraph" w:styleId="ListNumber2">
    <w:name w:val="List Number 2"/>
    <w:basedOn w:val="Text2"/>
    <w:pPr>
      <w:numPr>
        <w:numId w:val="11"/>
      </w:numPr>
    </w:pPr>
  </w:style>
  <w:style w:type="paragraph" w:customStyle="1" w:styleId="ListNumber1Level4">
    <w:name w:val="List Number 1 (Level 4)"/>
    <w:basedOn w:val="Text1"/>
    <w:semiHidden/>
    <w:unhideWhenUsed/>
    <w:pPr>
      <w:numPr>
        <w:ilvl w:val="3"/>
        <w:numId w:val="10"/>
      </w:numPr>
    </w:pPr>
  </w:style>
  <w:style w:type="paragraph" w:customStyle="1" w:styleId="ListNumber1Level3">
    <w:name w:val="List Number 1 (Level 3)"/>
    <w:basedOn w:val="Text1"/>
    <w:semiHidden/>
    <w:unhideWhenUsed/>
    <w:pPr>
      <w:numPr>
        <w:ilvl w:val="2"/>
        <w:numId w:val="10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0"/>
      </w:numPr>
    </w:pPr>
  </w:style>
  <w:style w:type="paragraph" w:customStyle="1" w:styleId="ListNumber1">
    <w:name w:val="List Number 1"/>
    <w:basedOn w:val="Text1"/>
    <w:pPr>
      <w:numPr>
        <w:numId w:val="10"/>
      </w:numPr>
    </w:pPr>
  </w:style>
  <w:style w:type="paragraph" w:customStyle="1" w:styleId="ListNumberLevel4">
    <w:name w:val="List Number (Level 4)"/>
    <w:basedOn w:val="Normal"/>
    <w:semiHidden/>
    <w:unhideWhenUsed/>
    <w:pPr>
      <w:numPr>
        <w:ilvl w:val="3"/>
        <w:numId w:val="9"/>
      </w:numPr>
    </w:pPr>
  </w:style>
  <w:style w:type="paragraph" w:customStyle="1" w:styleId="ListNumberLevel3">
    <w:name w:val="List Number (Level 3)"/>
    <w:basedOn w:val="Normal"/>
    <w:semiHidden/>
    <w:unhideWhenUsed/>
    <w:pPr>
      <w:numPr>
        <w:ilvl w:val="2"/>
        <w:numId w:val="9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9"/>
      </w:numPr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customStyle="1" w:styleId="ListDash4Level4">
    <w:name w:val="List Dash 4 (Level 4)"/>
    <w:basedOn w:val="Text4"/>
    <w:semiHidden/>
    <w:unhideWhenUsed/>
    <w:pPr>
      <w:numPr>
        <w:ilvl w:val="3"/>
        <w:numId w:val="18"/>
      </w:numPr>
    </w:pPr>
  </w:style>
  <w:style w:type="paragraph" w:customStyle="1" w:styleId="ListDash4Level3">
    <w:name w:val="List Dash 4 (Level 3)"/>
    <w:basedOn w:val="Text4"/>
    <w:semiHidden/>
    <w:unhideWhenUsed/>
    <w:pPr>
      <w:numPr>
        <w:ilvl w:val="2"/>
        <w:numId w:val="18"/>
      </w:numPr>
    </w:pPr>
  </w:style>
  <w:style w:type="paragraph" w:customStyle="1" w:styleId="ListDash4Level2">
    <w:name w:val="List Dash 4 (Level 2)"/>
    <w:basedOn w:val="Text4"/>
    <w:pPr>
      <w:numPr>
        <w:ilvl w:val="1"/>
        <w:numId w:val="18"/>
      </w:numPr>
    </w:pPr>
  </w:style>
  <w:style w:type="paragraph" w:customStyle="1" w:styleId="ListDash4">
    <w:name w:val="List Dash 4"/>
    <w:basedOn w:val="Text4"/>
    <w:pPr>
      <w:numPr>
        <w:numId w:val="18"/>
      </w:numPr>
    </w:pPr>
  </w:style>
  <w:style w:type="paragraph" w:customStyle="1" w:styleId="ListDash3Level4">
    <w:name w:val="List Dash 3 (Level 4)"/>
    <w:basedOn w:val="Text3"/>
    <w:semiHidden/>
    <w:unhideWhenUsed/>
    <w:pPr>
      <w:numPr>
        <w:ilvl w:val="3"/>
        <w:numId w:val="17"/>
      </w:numPr>
    </w:pPr>
  </w:style>
  <w:style w:type="paragraph" w:customStyle="1" w:styleId="ListDash3Level3">
    <w:name w:val="List Dash 3 (Level 3)"/>
    <w:basedOn w:val="Text3"/>
    <w:semiHidden/>
    <w:unhideWhenUsed/>
    <w:pPr>
      <w:numPr>
        <w:ilvl w:val="2"/>
        <w:numId w:val="17"/>
      </w:numPr>
    </w:pPr>
  </w:style>
  <w:style w:type="paragraph" w:customStyle="1" w:styleId="ListDash3Level2">
    <w:name w:val="List Dash 3 (Level 2)"/>
    <w:basedOn w:val="Text3"/>
    <w:pPr>
      <w:numPr>
        <w:ilvl w:val="1"/>
        <w:numId w:val="17"/>
      </w:numPr>
    </w:pPr>
  </w:style>
  <w:style w:type="paragraph" w:customStyle="1" w:styleId="ListDash3">
    <w:name w:val="List Dash 3"/>
    <w:basedOn w:val="Text3"/>
    <w:pPr>
      <w:numPr>
        <w:numId w:val="17"/>
      </w:numPr>
    </w:pPr>
  </w:style>
  <w:style w:type="paragraph" w:customStyle="1" w:styleId="ListDash2Level4">
    <w:name w:val="List Dash 2 (Level 4)"/>
    <w:basedOn w:val="Text2"/>
    <w:semiHidden/>
    <w:unhideWhenUsed/>
    <w:pPr>
      <w:numPr>
        <w:ilvl w:val="3"/>
        <w:numId w:val="16"/>
      </w:numPr>
    </w:pPr>
  </w:style>
  <w:style w:type="paragraph" w:customStyle="1" w:styleId="ListDash2Level3">
    <w:name w:val="List Dash 2 (Level 3)"/>
    <w:basedOn w:val="Text2"/>
    <w:semiHidden/>
    <w:unhideWhenUsed/>
    <w:pPr>
      <w:numPr>
        <w:ilvl w:val="2"/>
        <w:numId w:val="16"/>
      </w:numPr>
    </w:pPr>
  </w:style>
  <w:style w:type="paragraph" w:customStyle="1" w:styleId="ListDash2Level2">
    <w:name w:val="List Dash 2 (Level 2)"/>
    <w:basedOn w:val="Text2"/>
    <w:pPr>
      <w:numPr>
        <w:ilvl w:val="1"/>
        <w:numId w:val="16"/>
      </w:numPr>
    </w:pPr>
  </w:style>
  <w:style w:type="paragraph" w:customStyle="1" w:styleId="ListDash2">
    <w:name w:val="List Dash 2"/>
    <w:basedOn w:val="Text2"/>
    <w:pPr>
      <w:numPr>
        <w:numId w:val="16"/>
      </w:numPr>
    </w:pPr>
  </w:style>
  <w:style w:type="paragraph" w:customStyle="1" w:styleId="ListDash1Level4">
    <w:name w:val="List Dash 1 (Level 4)"/>
    <w:basedOn w:val="Text1"/>
    <w:semiHidden/>
    <w:unhideWhenUsed/>
    <w:pPr>
      <w:numPr>
        <w:ilvl w:val="3"/>
        <w:numId w:val="15"/>
      </w:numPr>
    </w:pPr>
  </w:style>
  <w:style w:type="paragraph" w:customStyle="1" w:styleId="ListDash1Level3">
    <w:name w:val="List Dash 1 (Level 3)"/>
    <w:basedOn w:val="Text1"/>
    <w:semiHidden/>
    <w:unhideWhenUsed/>
    <w:pPr>
      <w:numPr>
        <w:ilvl w:val="2"/>
        <w:numId w:val="15"/>
      </w:numPr>
    </w:pPr>
  </w:style>
  <w:style w:type="paragraph" w:customStyle="1" w:styleId="ListDash1Level2">
    <w:name w:val="List Dash 1 (Level 2)"/>
    <w:basedOn w:val="Text1"/>
    <w:pPr>
      <w:numPr>
        <w:ilvl w:val="1"/>
        <w:numId w:val="15"/>
      </w:numPr>
    </w:pPr>
  </w:style>
  <w:style w:type="paragraph" w:customStyle="1" w:styleId="ListDash1">
    <w:name w:val="List Dash 1"/>
    <w:basedOn w:val="Text1"/>
    <w:pPr>
      <w:numPr>
        <w:numId w:val="15"/>
      </w:numPr>
    </w:pPr>
  </w:style>
  <w:style w:type="paragraph" w:customStyle="1" w:styleId="ListDashLevel4">
    <w:name w:val="List Dash (Level 4)"/>
    <w:basedOn w:val="Normal"/>
    <w:semiHidden/>
    <w:unhideWhenUsed/>
    <w:pPr>
      <w:numPr>
        <w:ilvl w:val="3"/>
        <w:numId w:val="14"/>
      </w:numPr>
    </w:pPr>
  </w:style>
  <w:style w:type="paragraph" w:customStyle="1" w:styleId="ListDashLevel3">
    <w:name w:val="List Dash (Level 3)"/>
    <w:basedOn w:val="Normal"/>
    <w:semiHidden/>
    <w:unhideWhenUsed/>
    <w:pPr>
      <w:numPr>
        <w:ilvl w:val="2"/>
        <w:numId w:val="14"/>
      </w:numPr>
    </w:pPr>
  </w:style>
  <w:style w:type="paragraph" w:customStyle="1" w:styleId="ListDashLevel2">
    <w:name w:val="List Dash (Level 2)"/>
    <w:basedOn w:val="Normal"/>
    <w:pPr>
      <w:numPr>
        <w:ilvl w:val="1"/>
        <w:numId w:val="14"/>
      </w:numPr>
    </w:pPr>
  </w:style>
  <w:style w:type="paragraph" w:customStyle="1" w:styleId="ListDash">
    <w:name w:val="List Dash"/>
    <w:basedOn w:val="Normal"/>
    <w:pPr>
      <w:numPr>
        <w:numId w:val="14"/>
      </w:numPr>
    </w:pPr>
  </w:style>
  <w:style w:type="paragraph" w:customStyle="1" w:styleId="ListBullet4Level4">
    <w:name w:val="List Bullet 4 (Level 4)"/>
    <w:basedOn w:val="Text4"/>
    <w:semiHidden/>
    <w:unhideWhenUsed/>
    <w:pPr>
      <w:numPr>
        <w:ilvl w:val="3"/>
        <w:numId w:val="8"/>
      </w:numPr>
    </w:pPr>
  </w:style>
  <w:style w:type="paragraph" w:customStyle="1" w:styleId="ListBullet4Level3">
    <w:name w:val="List Bullet 4 (Level 3)"/>
    <w:basedOn w:val="Text4"/>
    <w:semiHidden/>
    <w:unhideWhenUsed/>
    <w:pPr>
      <w:numPr>
        <w:ilvl w:val="2"/>
        <w:numId w:val="8"/>
      </w:numPr>
    </w:pPr>
  </w:style>
  <w:style w:type="paragraph" w:customStyle="1" w:styleId="ListBullet4Level2">
    <w:name w:val="List Bullet 4 (Level 2)"/>
    <w:basedOn w:val="Text4"/>
    <w:pPr>
      <w:numPr>
        <w:ilvl w:val="1"/>
        <w:numId w:val="8"/>
      </w:numPr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customStyle="1" w:styleId="ListBullet3Level4">
    <w:name w:val="List Bullet 3 (Level 4)"/>
    <w:basedOn w:val="Text3"/>
    <w:semiHidden/>
    <w:unhideWhenUsed/>
    <w:pPr>
      <w:numPr>
        <w:ilvl w:val="3"/>
        <w:numId w:val="7"/>
      </w:numPr>
    </w:pPr>
  </w:style>
  <w:style w:type="paragraph" w:customStyle="1" w:styleId="ListBullet3Level3">
    <w:name w:val="List Bullet 3 (Level 3)"/>
    <w:basedOn w:val="Text3"/>
    <w:semiHidden/>
    <w:unhideWhenUsed/>
    <w:pPr>
      <w:numPr>
        <w:ilvl w:val="2"/>
        <w:numId w:val="7"/>
      </w:numPr>
    </w:pPr>
  </w:style>
  <w:style w:type="paragraph" w:customStyle="1" w:styleId="ListBullet3Level2">
    <w:name w:val="List Bullet 3 (Level 2)"/>
    <w:basedOn w:val="Text3"/>
    <w:pPr>
      <w:numPr>
        <w:ilvl w:val="1"/>
        <w:numId w:val="7"/>
      </w:numPr>
    </w:pPr>
  </w:style>
  <w:style w:type="paragraph" w:styleId="ListBullet3">
    <w:name w:val="List Bullet 3"/>
    <w:basedOn w:val="Text3"/>
    <w:pPr>
      <w:numPr>
        <w:numId w:val="7"/>
      </w:numPr>
    </w:pPr>
  </w:style>
  <w:style w:type="paragraph" w:customStyle="1" w:styleId="ListBullet2Level4">
    <w:name w:val="List Bullet 2 (Level 4)"/>
    <w:basedOn w:val="Text2"/>
    <w:semiHidden/>
    <w:unhideWhenUsed/>
    <w:pPr>
      <w:numPr>
        <w:ilvl w:val="3"/>
        <w:numId w:val="6"/>
      </w:numPr>
    </w:pPr>
  </w:style>
  <w:style w:type="paragraph" w:customStyle="1" w:styleId="ListBullet2Level3">
    <w:name w:val="List Bullet 2 (Level 3)"/>
    <w:basedOn w:val="Text2"/>
    <w:semiHidden/>
    <w:unhideWhenUsed/>
    <w:pPr>
      <w:numPr>
        <w:ilvl w:val="2"/>
        <w:numId w:val="6"/>
      </w:numPr>
    </w:pPr>
  </w:style>
  <w:style w:type="paragraph" w:customStyle="1" w:styleId="ListBullet2Level2">
    <w:name w:val="List Bullet 2 (Level 2)"/>
    <w:basedOn w:val="Text2"/>
    <w:pPr>
      <w:numPr>
        <w:ilvl w:val="1"/>
        <w:numId w:val="6"/>
      </w:numPr>
    </w:pPr>
  </w:style>
  <w:style w:type="paragraph" w:styleId="ListBullet2">
    <w:name w:val="List Bullet 2"/>
    <w:basedOn w:val="Text2"/>
    <w:pPr>
      <w:numPr>
        <w:numId w:val="6"/>
      </w:numPr>
    </w:pPr>
  </w:style>
  <w:style w:type="paragraph" w:customStyle="1" w:styleId="ListBullet1Level4">
    <w:name w:val="List Bullet 1 (Level 4)"/>
    <w:basedOn w:val="Text1"/>
    <w:semiHidden/>
    <w:unhideWhenUsed/>
    <w:pPr>
      <w:numPr>
        <w:ilvl w:val="3"/>
        <w:numId w:val="5"/>
      </w:numPr>
    </w:pPr>
  </w:style>
  <w:style w:type="paragraph" w:customStyle="1" w:styleId="ListBullet1Level3">
    <w:name w:val="List Bullet 1 (Level 3)"/>
    <w:basedOn w:val="Text1"/>
    <w:semiHidden/>
    <w:unhideWhenUsed/>
    <w:pPr>
      <w:numPr>
        <w:ilvl w:val="2"/>
        <w:numId w:val="5"/>
      </w:numPr>
    </w:pPr>
  </w:style>
  <w:style w:type="paragraph" w:customStyle="1" w:styleId="ListBullet1Level2">
    <w:name w:val="List Bullet 1 (Level 2)"/>
    <w:basedOn w:val="Text1"/>
    <w:pPr>
      <w:numPr>
        <w:ilvl w:val="1"/>
        <w:numId w:val="5"/>
      </w:numPr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BulletLevel4">
    <w:name w:val="List Bullet (Level 4)"/>
    <w:basedOn w:val="Text1"/>
    <w:semiHidden/>
    <w:unhideWhenUsed/>
    <w:pPr>
      <w:numPr>
        <w:ilvl w:val="3"/>
        <w:numId w:val="4"/>
      </w:numPr>
    </w:pPr>
  </w:style>
  <w:style w:type="paragraph" w:customStyle="1" w:styleId="ListBulletLevel3">
    <w:name w:val="List Bullet (Level 3)"/>
    <w:basedOn w:val="Text1"/>
    <w:semiHidden/>
    <w:unhideWhenUsed/>
    <w:pPr>
      <w:numPr>
        <w:ilvl w:val="2"/>
        <w:numId w:val="4"/>
      </w:numPr>
    </w:pPr>
  </w:style>
  <w:style w:type="paragraph" w:customStyle="1" w:styleId="ListBulletLevel2">
    <w:name w:val="List Bullet (Level 2)"/>
    <w:basedOn w:val="Text1"/>
    <w:pPr>
      <w:numPr>
        <w:ilvl w:val="1"/>
        <w:numId w:val="4"/>
      </w:numPr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TOC9">
    <w:name w:val="toc 9"/>
    <w:basedOn w:val="Normal"/>
    <w:next w:val="Normal"/>
    <w:semiHidden/>
    <w:pPr>
      <w:tabs>
        <w:tab w:val="right" w:leader="dot" w:pos="8640"/>
      </w:tabs>
    </w:pPr>
  </w:style>
  <w:style w:type="paragraph" w:styleId="TOC8">
    <w:name w:val="toc 8"/>
    <w:basedOn w:val="Normal"/>
    <w:next w:val="Normal"/>
    <w:semiHidden/>
    <w:pPr>
      <w:tabs>
        <w:tab w:val="right" w:leader="dot" w:pos="8640"/>
      </w:tabs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</w:pPr>
  </w:style>
  <w:style w:type="paragraph" w:styleId="TOC6">
    <w:name w:val="toc 6"/>
    <w:basedOn w:val="Normal"/>
    <w:next w:val="Normal"/>
    <w:semiHidden/>
    <w:rPr>
      <w:caps/>
    </w:r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spacing w:before="240" w:after="120"/>
      <w:ind w:right="720"/>
    </w:pPr>
    <w:rPr>
      <w:caps/>
    </w:r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8640"/>
      </w:tabs>
      <w:spacing w:before="60" w:after="60"/>
      <w:ind w:left="2880" w:right="720" w:hanging="964"/>
    </w:pPr>
    <w:rPr>
      <w:noProof/>
    </w:r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8640"/>
      </w:tabs>
      <w:spacing w:before="60" w:after="60"/>
      <w:ind w:left="1077" w:right="720" w:hanging="595"/>
    </w:pPr>
    <w:rPr>
      <w:noProof/>
    </w:rPr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Heading">
    <w:name w:val="TOC Heading"/>
    <w:basedOn w:val="Normal"/>
    <w:next w:val="Normal"/>
    <w:semiHidden/>
    <w:pPr>
      <w:spacing w:before="240"/>
      <w:jc w:val="center"/>
    </w:pPr>
    <w:rPr>
      <w:rFonts w:ascii="Times New Roman Bold" w:hAnsi="Times New Roman Bold"/>
      <w:b/>
      <w:caps/>
    </w:rPr>
  </w:style>
  <w:style w:type="paragraph" w:customStyle="1" w:styleId="AnnexTitle">
    <w:name w:val="AnnexTitle"/>
    <w:basedOn w:val="Normal"/>
    <w:next w:val="Normal"/>
    <w:uiPriority w:val="90"/>
    <w:qFormat/>
    <w:pPr>
      <w:pageBreakBefore/>
      <w:numPr>
        <w:numId w:val="1"/>
      </w:numPr>
      <w:spacing w:after="480"/>
      <w:outlineLvl w:val="0"/>
    </w:pPr>
    <w:rPr>
      <w:b/>
      <w:sz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b/>
      <w:kern w:val="28"/>
      <w:sz w:val="48"/>
      <w:szCs w:val="20"/>
      <w:lang w:val="cs-CZ" w:eastAsia="en-GB"/>
    </w:rPr>
  </w:style>
  <w:style w:type="paragraph" w:customStyle="1" w:styleId="NumPar4">
    <w:name w:val="NumPar 4"/>
    <w:basedOn w:val="Heading4"/>
    <w:uiPriority w:val="90"/>
    <w:qFormat/>
    <w:pPr>
      <w:keepNext w:val="0"/>
      <w:outlineLvl w:val="9"/>
    </w:pPr>
  </w:style>
  <w:style w:type="paragraph" w:customStyle="1" w:styleId="NumPar3">
    <w:name w:val="NumPar 3"/>
    <w:basedOn w:val="Heading3"/>
    <w:uiPriority w:val="90"/>
    <w:qFormat/>
    <w:pPr>
      <w:keepNext w:val="0"/>
      <w:outlineLvl w:val="9"/>
    </w:pPr>
    <w:rPr>
      <w:i w:val="0"/>
    </w:rPr>
  </w:style>
  <w:style w:type="paragraph" w:customStyle="1" w:styleId="NumPar2">
    <w:name w:val="NumPar 2"/>
    <w:basedOn w:val="Heading2"/>
    <w:uiPriority w:val="90"/>
    <w:qFormat/>
    <w:pPr>
      <w:keepNext w:val="0"/>
      <w:outlineLvl w:val="9"/>
    </w:pPr>
    <w:rPr>
      <w:b w:val="0"/>
    </w:rPr>
  </w:style>
  <w:style w:type="paragraph" w:customStyle="1" w:styleId="NumPar1">
    <w:name w:val="NumPar 1"/>
    <w:basedOn w:val="Heading1"/>
    <w:uiPriority w:val="90"/>
    <w:qFormat/>
    <w:pPr>
      <w:keepNext w:val="0"/>
      <w:spacing w:before="0"/>
      <w:outlineLvl w:val="9"/>
    </w:pPr>
    <w:rPr>
      <w:b w:val="0"/>
      <w:smallCaps w:val="0"/>
    </w:rPr>
  </w:style>
  <w:style w:type="paragraph" w:styleId="MacroText">
    <w:name w:val="macro"/>
    <w:basedOn w:val="Normal"/>
    <w:link w:val="MacroTextChar"/>
    <w:uiPriority w:val="90"/>
    <w:qFormat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</w:pPr>
    <w:rPr>
      <w:rFonts w:ascii="Courier New" w:hAnsi="Courier New"/>
      <w:sz w:val="22"/>
    </w:rPr>
  </w:style>
  <w:style w:type="character" w:customStyle="1" w:styleId="MacroTextChar">
    <w:name w:val="Macro Text Char"/>
    <w:basedOn w:val="DefaultParagraphFont"/>
    <w:link w:val="MacroText"/>
    <w:uiPriority w:val="90"/>
    <w:rPr>
      <w:rFonts w:ascii="Courier New" w:eastAsia="Times New Roman" w:hAnsi="Courier New" w:cs="Times New Roman"/>
      <w:szCs w:val="20"/>
      <w:lang w:val="cs-CZ" w:eastAsia="en-GB"/>
    </w:rPr>
  </w:style>
  <w:style w:type="paragraph" w:styleId="FootnoteText">
    <w:name w:val="footnote text"/>
    <w:aliases w:val="Schriftart: 9 pt,Schriftart: 10 pt,Schriftart: 8 pt,WB-Fußnotentext,WB-Fußnotentext Char Char,WB-Fußnotentext Char,stile 1,Footnote1,Footnote2,Footnote3,Footnote4,Footnote5,Footnote6,Footnote7,Footnote8,Footnote9,Footnote10,fn,Plonk,o,f,C"/>
    <w:basedOn w:val="Normal"/>
    <w:link w:val="FootnoteTextChar"/>
    <w:uiPriority w:val="99"/>
    <w:qFormat/>
    <w:pPr>
      <w:spacing w:after="120"/>
      <w:ind w:left="357" w:hanging="357"/>
    </w:pPr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1,WB-Fußnotentext Char Char Char,WB-Fußnotentext Char Char1,stile 1 Char,Footnote1 Char,Footnote2 Char,Footnote3 Char,Footnote4 Char,Footnote5 Char"/>
    <w:basedOn w:val="DefaultParagraphFont"/>
    <w:link w:val="FootnoteText"/>
    <w:uiPriority w:val="99"/>
    <w:qFormat/>
    <w:rPr>
      <w:rFonts w:ascii="Times New Roman" w:eastAsia="Times New Roman" w:hAnsi="Times New Roman" w:cs="Times New Roman"/>
      <w:sz w:val="20"/>
      <w:szCs w:val="20"/>
      <w:lang w:val="cs-CZ" w:eastAsia="en-GB"/>
    </w:rPr>
  </w:style>
  <w:style w:type="paragraph" w:customStyle="1" w:styleId="FooterLine">
    <w:name w:val="Footer Line"/>
    <w:basedOn w:val="Footer"/>
    <w:next w:val="Footer"/>
    <w:uiPriority w:val="99"/>
    <w:pPr>
      <w:tabs>
        <w:tab w:val="right" w:pos="8646"/>
      </w:tabs>
      <w:spacing w:before="120"/>
      <w:ind w:right="0"/>
    </w:p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16"/>
      <w:szCs w:val="20"/>
      <w:lang w:val="cs-CZ" w:eastAsia="en-GB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Times New Roman" w:hAnsi="Times New Roman" w:cs="Times New Roman"/>
      <w:sz w:val="20"/>
      <w:szCs w:val="20"/>
      <w:lang w:val="cs-CZ" w:eastAsia="en-GB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Releasable">
    <w:name w:val="Releasable"/>
    <w:basedOn w:val="Normal"/>
    <w:pPr>
      <w:spacing w:after="0"/>
      <w:jc w:val="center"/>
    </w:pPr>
    <w:rPr>
      <w:b/>
      <w:caps/>
      <w:sz w:val="32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ferences">
    <w:name w:val="References"/>
    <w:basedOn w:val="Normal"/>
    <w:next w:val="Normal"/>
    <w:pPr>
      <w:ind w:left="5102" w:right="-567"/>
      <w:jc w:val="left"/>
    </w:pPr>
    <w:rPr>
      <w:sz w:val="20"/>
    </w:rPr>
  </w:style>
  <w:style w:type="paragraph" w:styleId="Date">
    <w:name w:val="Date"/>
    <w:basedOn w:val="Normal"/>
    <w:next w:val="References"/>
    <w:link w:val="DateChar"/>
    <w:pPr>
      <w:spacing w:after="0"/>
      <w:ind w:left="5102" w:right="-567"/>
      <w:jc w:val="left"/>
    </w:p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cs-CZ" w:eastAsia="en-GB"/>
    </w:rPr>
  </w:style>
  <w:style w:type="paragraph" w:customStyle="1" w:styleId="Contact">
    <w:name w:val="Contact"/>
    <w:basedOn w:val="Normal"/>
    <w:uiPriority w:val="99"/>
    <w:pPr>
      <w:spacing w:before="480" w:after="0"/>
      <w:ind w:left="567" w:hanging="567"/>
      <w:jc w:val="left"/>
    </w:pPr>
  </w:style>
  <w:style w:type="paragraph" w:styleId="Caption">
    <w:name w:val="caption"/>
    <w:basedOn w:val="Normal"/>
    <w:next w:val="Normal"/>
    <w:pPr>
      <w:spacing w:before="160"/>
    </w:pPr>
    <w:rPr>
      <w:i/>
      <w:sz w:val="22"/>
    </w:rPr>
  </w:style>
  <w:style w:type="paragraph" w:customStyle="1" w:styleId="ZDGName">
    <w:name w:val="Z_DGName"/>
    <w:basedOn w:val="Normal"/>
    <w:uiPriority w:val="99"/>
    <w:semiHidden/>
    <w:pPr>
      <w:widowControl w:val="0"/>
      <w:spacing w:after="0"/>
      <w:ind w:right="85"/>
      <w:jc w:val="left"/>
    </w:pPr>
    <w:rPr>
      <w:sz w:val="16"/>
    </w:rPr>
  </w:style>
  <w:style w:type="paragraph" w:customStyle="1" w:styleId="ZCom">
    <w:name w:val="Z_Com"/>
    <w:basedOn w:val="Normal"/>
    <w:next w:val="Normal"/>
    <w:uiPriority w:val="99"/>
    <w:semiHidden/>
    <w:pPr>
      <w:widowControl w:val="0"/>
      <w:spacing w:before="90" w:after="0"/>
      <w:ind w:right="85"/>
    </w:pPr>
  </w:style>
  <w:style w:type="paragraph" w:customStyle="1" w:styleId="ZFlag">
    <w:name w:val="Z_Flag"/>
    <w:basedOn w:val="Normal"/>
    <w:next w:val="Normal"/>
    <w:uiPriority w:val="99"/>
    <w:semiHidden/>
    <w:pPr>
      <w:widowControl w:val="0"/>
      <w:spacing w:after="0"/>
      <w:ind w:right="85"/>
    </w:pPr>
  </w:style>
  <w:style w:type="paragraph" w:customStyle="1" w:styleId="Text1">
    <w:name w:val="Text 1"/>
    <w:basedOn w:val="Normal"/>
    <w:uiPriority w:val="90"/>
    <w:qFormat/>
    <w:pPr>
      <w:ind w:left="482"/>
    </w:pPr>
  </w:style>
  <w:style w:type="paragraph" w:customStyle="1" w:styleId="Text2">
    <w:name w:val="Text 2"/>
    <w:basedOn w:val="Normal"/>
    <w:uiPriority w:val="90"/>
    <w:qFormat/>
    <w:pPr>
      <w:ind w:left="1077"/>
    </w:pPr>
  </w:style>
  <w:style w:type="paragraph" w:customStyle="1" w:styleId="Text3">
    <w:name w:val="Text 3"/>
    <w:basedOn w:val="Normal"/>
    <w:uiPriority w:val="90"/>
    <w:qFormat/>
    <w:pPr>
      <w:ind w:left="1916"/>
    </w:pPr>
  </w:style>
  <w:style w:type="paragraph" w:customStyle="1" w:styleId="Text4">
    <w:name w:val="Text 4"/>
    <w:basedOn w:val="Normal"/>
    <w:uiPriority w:val="90"/>
    <w:qFormat/>
    <w:pPr>
      <w:ind w:left="2880"/>
    </w:pPr>
  </w:style>
  <w:style w:type="paragraph" w:styleId="Header">
    <w:name w:val="header"/>
    <w:basedOn w:val="Normal"/>
    <w:link w:val="HeaderChar"/>
    <w:pPr>
      <w:tabs>
        <w:tab w:val="center" w:pos="4150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0"/>
      <w:lang w:val="cs-CZ" w:eastAsia="en-GB"/>
    </w:rPr>
  </w:style>
  <w:style w:type="table" w:customStyle="1" w:styleId="TableLetterhead">
    <w:name w:val="Table Letterhead"/>
    <w:basedOn w:val="TableNormal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CellMar>
        <w:left w:w="0" w:type="dxa"/>
        <w:bottom w:w="34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szCs w:val="24"/>
      <w:lang w:eastAsia="fr-FR"/>
    </w:rPr>
  </w:style>
  <w:style w:type="paragraph" w:styleId="ListParagraph">
    <w:name w:val="List Paragraph"/>
    <w:aliases w:val="Llista Nivell1,Lista de nivel 1,Lettre d'introduction,Table of contents numbered,Paragraphe de liste PBLH,BULLET 1,List Bulletized,List Paragraph Char Char,1st level - Bullet List Paragraph,Normal bullet 2,Bullet list,Listenabsatz1,L,Nad"/>
    <w:basedOn w:val="Normal"/>
    <w:link w:val="ListParagraphChar"/>
    <w:uiPriority w:val="34"/>
    <w:qFormat/>
    <w:pPr>
      <w:spacing w:after="0"/>
      <w:ind w:left="720"/>
      <w:contextualSpacing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200"/>
      <w:jc w:val="left"/>
    </w:pPr>
    <w:rPr>
      <w:rFonts w:asciiTheme="minorHAnsi" w:eastAsiaTheme="minorEastAsia" w:hAnsiTheme="minorHAnsi" w:cstheme="minorBidi"/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val="cs-CZ" w:eastAsia="ja-JP"/>
    </w:rPr>
  </w:style>
  <w:style w:type="character" w:customStyle="1" w:styleId="ListParagraphChar">
    <w:name w:val="List Paragraph Char"/>
    <w:aliases w:val="Llista Nivell1 Char,Lista de nivel 1 Char,Lettre d'introduction Char,Table of contents numbered Char,Paragraphe de liste PBLH Char,BULLET 1 Char,List Bulletized Char,List Paragraph Char Char Char,Normal bullet 2 Char,Bullet list Char"/>
    <w:link w:val="ListParagraph"/>
    <w:uiPriority w:val="34"/>
    <w:qFormat/>
    <w:locked/>
    <w:rPr>
      <w:sz w:val="24"/>
      <w:szCs w:val="24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Times New Roman" w:hAnsi="Segoe UI" w:cs="Segoe UI"/>
      <w:sz w:val="18"/>
      <w:szCs w:val="18"/>
      <w:lang w:val="cs-CZ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pPr>
      <w:spacing w:after="240"/>
      <w:jc w:val="both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val="cs-CZ" w:eastAsia="en-GB"/>
    </w:rPr>
  </w:style>
  <w:style w:type="character" w:styleId="FootnoteReference">
    <w:name w:val="footnote reference"/>
    <w:aliases w:val="Footnote,Footnote symbol,Footnote Reference Number,Char1,Ref,de nota al pie,Footnote reference number,Times 10 Point,Exposant 3 Point,EN Footnote Reference,note TESI,SUPERS,Nota,Footnote number,EN Footnote text,E...,16 Point,Fussnota"/>
    <w:basedOn w:val="DefaultParagraphFont"/>
    <w:link w:val="FootnotesymbolCarZchn"/>
    <w:uiPriority w:val="99"/>
    <w:unhideWhenUsed/>
    <w:qFormat/>
    <w:rPr>
      <w:vertAlign w:val="superscript"/>
    </w:rPr>
  </w:style>
  <w:style w:type="paragraph" w:styleId="Revision">
    <w:name w:val="Revision"/>
    <w:hidden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character" w:customStyle="1" w:styleId="s7">
    <w:name w:val="s7"/>
    <w:basedOn w:val="DefaultParagraphFont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kern w:val="28"/>
      <w:sz w:val="24"/>
      <w:szCs w:val="20"/>
      <w:lang w:val="cs-CZ" w:eastAsia="en-GB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kern w:val="28"/>
      <w:sz w:val="32"/>
      <w:szCs w:val="20"/>
      <w:lang w:val="cs-CZ"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kern w:val="28"/>
      <w:sz w:val="24"/>
      <w:szCs w:val="20"/>
      <w:lang w:val="cs-CZ" w:eastAsia="en-GB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kern w:val="28"/>
      <w:sz w:val="32"/>
      <w:szCs w:val="20"/>
      <w:lang w:val="cs-CZ" w:eastAsia="en-GB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="Times New Roman" w:hAnsi="Times New Roman" w:cs="Times New Roman"/>
      <w:b w:val="0"/>
      <w:kern w:val="28"/>
      <w:sz w:val="28"/>
      <w:szCs w:val="20"/>
      <w:lang w:val="cs-CZ" w:eastAsia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/>
    </w:pPr>
    <w:rPr>
      <w:rFonts w:eastAsiaTheme="minorHAnsi"/>
      <w:szCs w:val="22"/>
      <w:lang w:eastAsia="en-US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eastAsiaTheme="minorHAnsi"/>
      <w:sz w:val="28"/>
      <w:szCs w:val="22"/>
      <w:lang w:eastAsia="en-US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st">
    <w:name w:val="s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info/law/better-regulation/lighten-load_cs" TargetMode="External"/><Relationship Id="rId2" Type="http://schemas.openxmlformats.org/officeDocument/2006/relationships/hyperlink" Target="https://op.europa.eu/en/publication-detail/-/publication/a4987fe6-d74b-4f4f-8539-b80297d29715/language-cs" TargetMode="External"/><Relationship Id="rId1" Type="http://schemas.openxmlformats.org/officeDocument/2006/relationships/hyperlink" Target="https://www.europarl.europa.eu/thinktank/en/document.html?reference=EPRS_STU(2019)631745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3CF9-6D36-48FD-B254-1DEFF362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5272</Words>
  <Characters>32059</Characters>
  <Application>Microsoft Office Word</Application>
  <DocSecurity>0</DocSecurity>
  <Lines>525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2020-03-09T15:18:00Z</dcterms:created>
  <dcterms:modified xsi:type="dcterms:W3CDTF">2020-03-12T15:01:00Z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7.0, Build 20190717</vt:lpwstr>
  </property>
  <property fmtid="{D5CDD505-2E9C-101B-9397-08002B2CF9AE}" pid="4" name="DocStatus">
    <vt:lpwstr>Green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PTemplateID">
    <vt:lpwstr>CP-014</vt:lpwstr>
  </property>
</Properties>
</file>