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4510" w14:textId="25C86C5A" w:rsidR="00DB139D" w:rsidRPr="005D3200" w:rsidRDefault="00A646E8" w:rsidP="00A646E8">
      <w:pPr>
        <w:pStyle w:val="Pagedecouverture"/>
        <w:rPr>
          <w:noProof/>
        </w:rPr>
      </w:pPr>
      <w:r>
        <w:rPr>
          <w:noProof/>
        </w:rPr>
        <w:pict w14:anchorId="728C5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22060699-9747-4F6D-B49D-EDAAFCD6E27A" style="width:455.25pt;height:414pt">
            <v:imagedata r:id="rId11" o:title=""/>
          </v:shape>
        </w:pict>
      </w:r>
    </w:p>
    <w:p w14:paraId="27105C31" w14:textId="77777777" w:rsidR="00DB139D" w:rsidRPr="005D3200" w:rsidRDefault="00DB139D" w:rsidP="00DB139D">
      <w:pPr>
        <w:rPr>
          <w:noProof/>
        </w:rPr>
        <w:sectPr w:rsidR="00DB139D" w:rsidRPr="005D3200" w:rsidSect="00A646E8">
          <w:footerReference w:type="default" r:id="rId12"/>
          <w:pgSz w:w="11907" w:h="16839"/>
          <w:pgMar w:top="1134" w:right="1417" w:bottom="1134" w:left="1417" w:header="709" w:footer="709" w:gutter="0"/>
          <w:pgNumType w:start="0"/>
          <w:cols w:space="720"/>
          <w:docGrid w:linePitch="360"/>
        </w:sectPr>
      </w:pPr>
    </w:p>
    <w:p w14:paraId="39AD946D" w14:textId="77777777" w:rsidR="00DB139D" w:rsidRPr="005D3200" w:rsidRDefault="00DB139D" w:rsidP="00825B19">
      <w:pPr>
        <w:pStyle w:val="Exposdesmotifstitre"/>
        <w:rPr>
          <w:noProof/>
        </w:rPr>
      </w:pPr>
      <w:bookmarkStart w:id="0" w:name="_GoBack"/>
      <w:bookmarkEnd w:id="0"/>
      <w:r w:rsidRPr="005D3200">
        <w:rPr>
          <w:noProof/>
        </w:rPr>
        <w:lastRenderedPageBreak/>
        <w:t>DŮVODOVÁ ZPRÁVA</w:t>
      </w:r>
    </w:p>
    <w:p w14:paraId="5323DE28" w14:textId="77777777" w:rsidR="00D44D4F" w:rsidRPr="005D3200" w:rsidRDefault="00D44D4F" w:rsidP="001C5834">
      <w:pPr>
        <w:rPr>
          <w:noProof/>
        </w:rPr>
      </w:pPr>
    </w:p>
    <w:p w14:paraId="220E8617" w14:textId="77777777" w:rsidR="00A73103" w:rsidRPr="005D3200" w:rsidRDefault="00A73103" w:rsidP="00A73103">
      <w:pPr>
        <w:pStyle w:val="ManualHeading1"/>
        <w:rPr>
          <w:noProof/>
        </w:rPr>
      </w:pPr>
      <w:r w:rsidRPr="005D3200">
        <w:rPr>
          <w:noProof/>
        </w:rPr>
        <w:t>1.</w:t>
      </w:r>
      <w:r w:rsidRPr="005D3200">
        <w:rPr>
          <w:noProof/>
        </w:rPr>
        <w:tab/>
        <w:t>SOUVISLOSTI NÁVRHU</w:t>
      </w:r>
    </w:p>
    <w:p w14:paraId="223AE6DD" w14:textId="77777777" w:rsidR="00A73103" w:rsidRPr="005D3200" w:rsidRDefault="00A73103" w:rsidP="00A73103">
      <w:pPr>
        <w:pStyle w:val="ManualHeading2"/>
        <w:rPr>
          <w:rFonts w:eastAsia="Arial Unicode MS"/>
          <w:noProof/>
        </w:rPr>
      </w:pPr>
      <w:r w:rsidRPr="005D3200">
        <w:rPr>
          <w:noProof/>
          <w:color w:val="000000"/>
          <w:bdr w:val="none" w:sz="0" w:space="0" w:color="auto" w:frame="1"/>
        </w:rPr>
        <w:t>•</w:t>
      </w:r>
      <w:r w:rsidRPr="005D3200">
        <w:rPr>
          <w:noProof/>
        </w:rPr>
        <w:tab/>
        <w:t>Odůvodnění a cíle návrhu</w:t>
      </w:r>
    </w:p>
    <w:p w14:paraId="48B78334" w14:textId="77777777" w:rsidR="008503A4" w:rsidRPr="005D3200" w:rsidRDefault="008503A4" w:rsidP="008503A4">
      <w:pPr>
        <w:rPr>
          <w:noProof/>
        </w:rPr>
      </w:pPr>
      <w:r w:rsidRPr="005D3200">
        <w:rPr>
          <w:noProof/>
        </w:rPr>
        <w:t>Evropské normalizační organizace jsou soukromé organizace, které hrají v rámci evropského systému normalizace zvláštní úlohu. Jak je stanoveno v nařízení Evropského parlamentu a Rady (EU) č. 1025/2012 ze dne 25. října 2012</w:t>
      </w:r>
      <w:r w:rsidRPr="005D3200">
        <w:rPr>
          <w:rStyle w:val="FootnoteReference"/>
          <w:noProof/>
        </w:rPr>
        <w:footnoteReference w:id="2"/>
      </w:r>
      <w:r w:rsidRPr="005D3200">
        <w:rPr>
          <w:noProof/>
        </w:rPr>
        <w:t xml:space="preserve">, evropská normalizace je organizována dotčenými zúčastněnými stranami a v jejich prospěch na základě národních zastoupení (Evropský výbor pro normalizaci (CEN) a Evropský výbor pro normalizaci v elektrotechnice (CENELEC)) a přímé účasti členů (Evropský ústav pro telekomunikační normy (ETSI)). Pokud Komise požádá o normalizaci, jsou evropské normalizační organizace (podle definice v nařízení (EU) č. 1025/2012) jedinými subjekty, které mohou vydávat normy a produkty normalizace. Činí tak v souladu se zvláštními postupy stanovenými v článku 10 nařízení (EU) č. 1025/2012 (dále také „nařízení o normalizaci“). Nařízení o normalizaci rovněž stanoví, že Evropská unie může evropské normalizační organizace finančně podporovat. </w:t>
      </w:r>
    </w:p>
    <w:p w14:paraId="43313057" w14:textId="77777777" w:rsidR="008503A4" w:rsidRPr="005D3200" w:rsidRDefault="008503A4" w:rsidP="008503A4">
      <w:pPr>
        <w:rPr>
          <w:noProof/>
        </w:rPr>
      </w:pPr>
      <w:r w:rsidRPr="005D3200">
        <w:rPr>
          <w:noProof/>
        </w:rPr>
        <w:t xml:space="preserve">Evropské normalizační organizace jsou definovány v čl. 2 bodě 8 a příloze I nařízení o normalizaci. Existují tři evropské normalizační organizace: CEN, CENELEC a ETSI. Zastávají výlučnou roli při provádění normalizačních činností požadovaných Komisí na podporu legislativní činnosti a politik EU. </w:t>
      </w:r>
    </w:p>
    <w:p w14:paraId="51185A43" w14:textId="77777777" w:rsidR="00A73103" w:rsidRPr="005D3200" w:rsidRDefault="00A73103" w:rsidP="00A73103">
      <w:pPr>
        <w:rPr>
          <w:noProof/>
        </w:rPr>
      </w:pPr>
      <w:r w:rsidRPr="005D3200">
        <w:rPr>
          <w:noProof/>
        </w:rPr>
        <w:t xml:space="preserve">Je tomu především z historických důvodů. V 80. letech 20. století, kdy byly stávající evropské normalizační organizace zřízeny a byla stanovena jejich úloha při tvorbě norem, se systém většinově zaměřoval na zúčastněné strany z Evropské unie. </w:t>
      </w:r>
    </w:p>
    <w:p w14:paraId="2E4BA252" w14:textId="77777777" w:rsidR="008503A4" w:rsidRPr="005D3200" w:rsidRDefault="008503A4" w:rsidP="008503A4">
      <w:pPr>
        <w:rPr>
          <w:noProof/>
        </w:rPr>
      </w:pPr>
      <w:r w:rsidRPr="005D3200">
        <w:rPr>
          <w:noProof/>
        </w:rPr>
        <w:t>V současné době je situace odlišná a vnitřní správa, rozhodovací postupy a členská struktura evropských normalizačních organizací prošly řadou změn. Evropské normalizační organizace nyní spolupracují s širokou škálou zúčastněných stran, včetně třetích zemí, a umožňují jim podílet se nejen na technické práci, ale také na svém vnitřním procesu tvorby politik a rozhodování. Tato spolupráce je vítána, pokud se však evropské normalizační organizace mají zaměřit na podporu legislativní činnosti a politik EU, jsou zapotřebí záruky k zajištění řádného postupu a vyváženého zastoupení zájmů zúčastněných stran v souladu se strategickými prioritami a legislativními potřebami. To se týká zejména vnitřních rozhodnutí o tvorbě norem a produktů normalizace požadovaných Komisí na základě čl. 10 odst. 1 nařízení o normalizaci. Tato vnitřní rozhodnutí se mohou týkat otázek, jako jsou rozhodnutí o přijetí žádostí o normalizaci, o schválení nových položek pracovního programu a o přijetí, revizi nebo zrušení produktů evropské normalizace. V těchto případech, zejména pokud evropské normalizační organizace podporují uplatňování právních předpisů EU a tvoří normy, které mají zásadní význam pro širokou veřejnost a  podniky v EU, musí vnitřní správa evropských normalizačních organizací řádně zohlednit názory všech evropských zúčastněných stran (včetně malých a středních podniků a organizací občanské společnosti). Je to o to důležitější vzhledem k tomu, že některé evropské normalizační organizace jsou tvořeny převážně hospodářskými subjekty s hlasovacím právem, přičemž účast organizací občanské společnosti a veřejných orgánů je v některých případech omezená.</w:t>
      </w:r>
    </w:p>
    <w:p w14:paraId="269EDF6F" w14:textId="77777777" w:rsidR="008503A4" w:rsidRPr="005D3200" w:rsidRDefault="008503A4" w:rsidP="008503A4">
      <w:pPr>
        <w:rPr>
          <w:b/>
          <w:noProof/>
          <w:szCs w:val="20"/>
        </w:rPr>
      </w:pPr>
      <w:r w:rsidRPr="005D3200">
        <w:rPr>
          <w:noProof/>
        </w:rPr>
        <w:t xml:space="preserve">Je proto třeba více jasnosti, aby bylo zajištěno, že celý vnitřní rozhodovací proces při vydávání norem a produktů normalizace, požadovaných Komisí na základě čl. 10 odst. 1 nařízení o normalizaci, je v souladu s tím, co orgány EU očekávají od normotvorného subjektu, který je oficiálně uznán za evropskou normalizační organizaci. </w:t>
      </w:r>
    </w:p>
    <w:p w14:paraId="37EE6F47" w14:textId="77777777" w:rsidR="008503A4" w:rsidRPr="005D3200" w:rsidRDefault="008503A4" w:rsidP="008503A4">
      <w:pPr>
        <w:spacing w:before="0" w:after="240"/>
        <w:rPr>
          <w:rFonts w:eastAsia="Arial Unicode MS"/>
          <w:noProof/>
        </w:rPr>
      </w:pPr>
      <w:r w:rsidRPr="005D3200">
        <w:rPr>
          <w:noProof/>
        </w:rPr>
        <w:t>Požadování určitého zastoupení a rozhodovací pravomoci národních normalizačních orgánů, pokud jde o normy požadované Komisí, by zavedlo dostatečný systém brzd a protivah, aby byl zajištěn soulad s právními předpisy a politikami EU.</w:t>
      </w:r>
    </w:p>
    <w:p w14:paraId="512FDB59" w14:textId="77777777" w:rsidR="00A73103" w:rsidRPr="005D3200" w:rsidRDefault="00A73103" w:rsidP="00A73103">
      <w:pPr>
        <w:pStyle w:val="ManualHeading2"/>
        <w:rPr>
          <w:noProof/>
          <w:color w:val="000000"/>
          <w:bdr w:val="none" w:sz="0" w:space="0" w:color="auto" w:frame="1"/>
        </w:rPr>
      </w:pPr>
      <w:r w:rsidRPr="005D3200">
        <w:rPr>
          <w:noProof/>
          <w:color w:val="000000"/>
          <w:bdr w:val="none" w:sz="0" w:space="0" w:color="auto" w:frame="1"/>
        </w:rPr>
        <w:t>•</w:t>
      </w:r>
      <w:r w:rsidRPr="005D3200">
        <w:rPr>
          <w:noProof/>
        </w:rPr>
        <w:tab/>
        <w:t>Soulad s platnými předpisy v této oblasti politiky</w:t>
      </w:r>
    </w:p>
    <w:p w14:paraId="33FEB608" w14:textId="77777777" w:rsidR="008503A4" w:rsidRPr="005D3200" w:rsidRDefault="008503A4" w:rsidP="008503A4">
      <w:pPr>
        <w:rPr>
          <w:noProof/>
          <w:szCs w:val="24"/>
        </w:rPr>
      </w:pPr>
      <w:r w:rsidRPr="005D3200">
        <w:rPr>
          <w:noProof/>
        </w:rPr>
        <w:t xml:space="preserve">Komise oznámila, že navrhne změnu nařízení (EU) č. 1025/2012 ve své iniciativě Aktualizace </w:t>
      </w:r>
      <w:r w:rsidRPr="005D3200">
        <w:rPr>
          <w:i/>
          <w:iCs/>
          <w:noProof/>
        </w:rPr>
        <w:t>nové průmyslové</w:t>
      </w:r>
      <w:r w:rsidRPr="005D3200">
        <w:rPr>
          <w:noProof/>
        </w:rPr>
        <w:t xml:space="preserve"> strategie 2020 (COM(2021) 350)</w:t>
      </w:r>
      <w:r w:rsidRPr="005D3200">
        <w:rPr>
          <w:rStyle w:val="FootnoteReference"/>
          <w:noProof/>
          <w:szCs w:val="24"/>
        </w:rPr>
        <w:footnoteReference w:id="3"/>
      </w:r>
      <w:r w:rsidRPr="005D3200">
        <w:rPr>
          <w:noProof/>
        </w:rPr>
        <w:t xml:space="preserve"> spolu se strategií normalizace, která je předkládána společně s tímto</w:t>
      </w:r>
      <w:r w:rsidRPr="005D3200">
        <w:rPr>
          <w:rStyle w:val="Hyperlink"/>
          <w:noProof/>
          <w:szCs w:val="24"/>
          <w:u w:val="none"/>
        </w:rPr>
        <w:t xml:space="preserve"> </w:t>
      </w:r>
      <w:r w:rsidRPr="005D3200">
        <w:rPr>
          <w:noProof/>
        </w:rPr>
        <w:t>návrhem.</w:t>
      </w:r>
    </w:p>
    <w:p w14:paraId="4D9A1C6F" w14:textId="77777777" w:rsidR="00A73103" w:rsidRPr="005D3200" w:rsidRDefault="00A73103" w:rsidP="00A73103">
      <w:pPr>
        <w:pStyle w:val="ManualHeading2"/>
        <w:rPr>
          <w:rFonts w:eastAsia="Arial Unicode MS"/>
          <w:noProof/>
        </w:rPr>
      </w:pPr>
      <w:r w:rsidRPr="005D3200">
        <w:rPr>
          <w:noProof/>
          <w:color w:val="000000"/>
          <w:bdr w:val="none" w:sz="0" w:space="0" w:color="auto" w:frame="1"/>
        </w:rPr>
        <w:t>•</w:t>
      </w:r>
      <w:r w:rsidRPr="005D3200">
        <w:rPr>
          <w:noProof/>
        </w:rPr>
        <w:tab/>
        <w:t>Soulad s ostatními politikami Unie</w:t>
      </w:r>
    </w:p>
    <w:p w14:paraId="2C41ABC3" w14:textId="77777777" w:rsidR="00A73103" w:rsidRPr="005D3200" w:rsidRDefault="00A73103" w:rsidP="00A73103">
      <w:pPr>
        <w:spacing w:before="0" w:after="240"/>
        <w:rPr>
          <w:rFonts w:eastAsia="Arial Unicode MS"/>
          <w:noProof/>
        </w:rPr>
      </w:pPr>
      <w:r w:rsidRPr="005D3200">
        <w:rPr>
          <w:noProof/>
        </w:rPr>
        <w:t>Navrhovaná legislativní změna je v souladu s politickým významem norem, jak je zdůrazněno v jiných klíčových iniciativách Komise, jako je Formování digitální budoucnosti Evropy (COM(2020) 67</w:t>
      </w:r>
      <w:r w:rsidRPr="005D3200">
        <w:rPr>
          <w:rStyle w:val="FootnoteReference"/>
          <w:noProof/>
          <w:szCs w:val="24"/>
        </w:rPr>
        <w:footnoteReference w:id="4"/>
      </w:r>
      <w:r w:rsidRPr="005D3200">
        <w:rPr>
          <w:noProof/>
        </w:rPr>
        <w:t>), Global Gateway (JOIN(2021) 30</w:t>
      </w:r>
      <w:r w:rsidRPr="005D3200">
        <w:rPr>
          <w:rStyle w:val="FootnoteReference"/>
          <w:noProof/>
          <w:szCs w:val="24"/>
        </w:rPr>
        <w:footnoteReference w:id="5"/>
      </w:r>
      <w:r w:rsidRPr="005D3200">
        <w:rPr>
          <w:noProof/>
        </w:rPr>
        <w:t>) nebo prohlášení Rady, v němž Rada vítá „záměr Komise vypracovat strategii pro normalizaci s cílem posílit evropský systém normalizace a jeho řízení“ (závěry Rady ze dne 9. června 2020</w:t>
      </w:r>
      <w:r w:rsidRPr="005D3200">
        <w:rPr>
          <w:rStyle w:val="FootnoteReference"/>
          <w:noProof/>
          <w:szCs w:val="24"/>
        </w:rPr>
        <w:footnoteReference w:id="6"/>
      </w:r>
      <w:r w:rsidRPr="005D3200">
        <w:rPr>
          <w:noProof/>
        </w:rPr>
        <w:t>).</w:t>
      </w:r>
    </w:p>
    <w:p w14:paraId="6E671EB8" w14:textId="77777777" w:rsidR="00A73103" w:rsidRPr="005D3200" w:rsidRDefault="00A73103" w:rsidP="00A73103">
      <w:pPr>
        <w:pStyle w:val="ManualHeading1"/>
        <w:rPr>
          <w:noProof/>
        </w:rPr>
      </w:pPr>
      <w:r w:rsidRPr="005D3200">
        <w:rPr>
          <w:noProof/>
        </w:rPr>
        <w:t>2.</w:t>
      </w:r>
      <w:r w:rsidRPr="005D3200">
        <w:rPr>
          <w:noProof/>
        </w:rPr>
        <w:tab/>
        <w:t>PRÁVNÍ ZÁKLAD, SUBSIDIARITA A PROPORCIONALITA</w:t>
      </w:r>
    </w:p>
    <w:p w14:paraId="0512729B" w14:textId="77777777" w:rsidR="00A73103" w:rsidRPr="005D3200" w:rsidRDefault="00A73103" w:rsidP="00A73103">
      <w:pPr>
        <w:pStyle w:val="ManualHeading2"/>
        <w:rPr>
          <w:noProof/>
          <w:bdr w:val="none" w:sz="0" w:space="0" w:color="auto" w:frame="1"/>
        </w:rPr>
      </w:pPr>
      <w:r w:rsidRPr="005D3200">
        <w:rPr>
          <w:noProof/>
          <w:bdr w:val="none" w:sz="0" w:space="0" w:color="auto" w:frame="1"/>
        </w:rPr>
        <w:t>•</w:t>
      </w:r>
      <w:r w:rsidRPr="005D3200">
        <w:rPr>
          <w:noProof/>
        </w:rPr>
        <w:tab/>
      </w:r>
      <w:r w:rsidRPr="005D3200">
        <w:rPr>
          <w:noProof/>
          <w:bdr w:val="none" w:sz="0" w:space="0" w:color="auto" w:frame="1"/>
        </w:rPr>
        <w:t>Právní základ</w:t>
      </w:r>
    </w:p>
    <w:p w14:paraId="2FC35E3B" w14:textId="77777777" w:rsidR="00A73103" w:rsidRPr="005D3200" w:rsidRDefault="00A73103" w:rsidP="00A73103">
      <w:pPr>
        <w:spacing w:before="0" w:after="240"/>
        <w:rPr>
          <w:rFonts w:eastAsia="Arial Unicode MS"/>
          <w:noProof/>
        </w:rPr>
      </w:pPr>
      <w:r w:rsidRPr="005D3200">
        <w:rPr>
          <w:noProof/>
        </w:rPr>
        <w:t>Právním základem iniciativy je článek 114 Smlouvy o fungování Evropské unie.</w:t>
      </w:r>
    </w:p>
    <w:p w14:paraId="7502C091" w14:textId="77777777" w:rsidR="00A73103" w:rsidRPr="005D3200" w:rsidRDefault="00A73103" w:rsidP="00A73103">
      <w:pPr>
        <w:pStyle w:val="ManualHeading2"/>
        <w:rPr>
          <w:noProof/>
          <w:bdr w:val="none" w:sz="0" w:space="0" w:color="auto" w:frame="1"/>
        </w:rPr>
      </w:pPr>
      <w:r w:rsidRPr="005D3200">
        <w:rPr>
          <w:noProof/>
          <w:bdr w:val="none" w:sz="0" w:space="0" w:color="auto" w:frame="1"/>
        </w:rPr>
        <w:t>•</w:t>
      </w:r>
      <w:r w:rsidRPr="005D3200">
        <w:rPr>
          <w:noProof/>
        </w:rPr>
        <w:tab/>
      </w:r>
      <w:r w:rsidRPr="005D3200">
        <w:rPr>
          <w:noProof/>
          <w:bdr w:val="none" w:sz="0" w:space="0" w:color="auto" w:frame="1"/>
        </w:rPr>
        <w:t xml:space="preserve">Subsidiarita (u opatření, u nichž evropské normalizační organizace nemají výlučnou pravomoc) </w:t>
      </w:r>
    </w:p>
    <w:p w14:paraId="05A2714B" w14:textId="77777777" w:rsidR="008503A4" w:rsidRPr="005D3200" w:rsidRDefault="008503A4" w:rsidP="008503A4">
      <w:pPr>
        <w:spacing w:before="0" w:after="240"/>
        <w:rPr>
          <w:rFonts w:eastAsia="Arial Unicode MS"/>
          <w:noProof/>
        </w:rPr>
      </w:pPr>
      <w:r w:rsidRPr="005D3200">
        <w:rPr>
          <w:noProof/>
        </w:rPr>
        <w:t>Otázka subsidiarity zde nevyvstává. Tato iniciativa má změnit nařízení EU upravující evropský systém normalizace. Jejím cílem je konkrétně zajistit zásady řádné správy při tvorbě norem požadovaných Komisí podle čl. 10 odst. 1 nařízení o normalizaci. Tato iniciativa posílí úlohu národních zástupců (tj. národních normalizačních orgánů) v systému.</w:t>
      </w:r>
    </w:p>
    <w:p w14:paraId="43E0EC0A" w14:textId="77777777" w:rsidR="00DB139D" w:rsidRPr="005D3200" w:rsidRDefault="00DB139D" w:rsidP="00825B19">
      <w:pPr>
        <w:pStyle w:val="ManualHeading2"/>
        <w:rPr>
          <w:rFonts w:eastAsia="Arial Unicode MS"/>
          <w:noProof/>
          <w:u w:color="000000"/>
          <w:bdr w:val="nil"/>
        </w:rPr>
      </w:pPr>
      <w:r w:rsidRPr="005D3200">
        <w:rPr>
          <w:noProof/>
          <w:u w:color="000000"/>
          <w:bdr w:val="nil"/>
        </w:rPr>
        <w:t>•</w:t>
      </w:r>
      <w:r w:rsidRPr="005D3200">
        <w:rPr>
          <w:noProof/>
        </w:rPr>
        <w:tab/>
      </w:r>
      <w:r w:rsidRPr="005D3200">
        <w:rPr>
          <w:noProof/>
          <w:u w:color="000000"/>
          <w:bdr w:val="nil"/>
        </w:rPr>
        <w:t>Proporcionalita</w:t>
      </w:r>
    </w:p>
    <w:p w14:paraId="26CC1267" w14:textId="77777777" w:rsidR="001C5834" w:rsidRPr="005D3200" w:rsidRDefault="000170F1" w:rsidP="00825B19">
      <w:pPr>
        <w:pBdr>
          <w:top w:val="nil"/>
          <w:left w:val="nil"/>
          <w:bottom w:val="nil"/>
          <w:right w:val="nil"/>
          <w:between w:val="nil"/>
          <w:bar w:val="nil"/>
        </w:pBdr>
        <w:spacing w:before="0" w:after="240"/>
        <w:rPr>
          <w:noProof/>
        </w:rPr>
      </w:pPr>
      <w:r w:rsidRPr="005D3200">
        <w:rPr>
          <w:noProof/>
        </w:rPr>
        <w:t xml:space="preserve">Navrhovaná změna nařízení (EU) č. 1025/2012 je velmi omezená a zaměřuje se na práci evropských normalizačních organizací v návaznosti na žádost Komise. Tyto žádosti se řídí mandátem veřejné politiky, a proto je důležité zajistit zásady řádné správy v souladu s rozhodovacím procesem EU. Návrh je v souladu se zásadou proporcionality, neboť nepřekračuje rámec toho, co je nezbytné pro dosažení cílů spočívajících v zajištění, aby národní zastoupení / účast na tvorbě evropských norem a produktů normalizace na základě žádosti podle článku 10 nařízení (EU) č. 1025/2012 byly zaručeny ve všech fázích daného procesu. </w:t>
      </w:r>
    </w:p>
    <w:p w14:paraId="7DEAB9EE" w14:textId="77777777" w:rsidR="00DB139D" w:rsidRPr="005D3200" w:rsidRDefault="00DB139D" w:rsidP="00825B19">
      <w:pPr>
        <w:pStyle w:val="ManualHeading2"/>
        <w:rPr>
          <w:rFonts w:eastAsia="Arial Unicode MS"/>
          <w:noProof/>
          <w:u w:color="000000"/>
          <w:bdr w:val="nil"/>
        </w:rPr>
      </w:pPr>
      <w:r w:rsidRPr="005D3200">
        <w:rPr>
          <w:noProof/>
          <w:u w:color="000000"/>
          <w:bdr w:val="nil"/>
        </w:rPr>
        <w:t>•</w:t>
      </w:r>
      <w:r w:rsidRPr="005D3200">
        <w:rPr>
          <w:noProof/>
        </w:rPr>
        <w:tab/>
      </w:r>
      <w:r w:rsidRPr="005D3200">
        <w:rPr>
          <w:noProof/>
          <w:u w:color="000000"/>
          <w:bdr w:val="nil"/>
        </w:rPr>
        <w:t>Volba nástroje</w:t>
      </w:r>
    </w:p>
    <w:p w14:paraId="30EBC85D" w14:textId="77777777" w:rsidR="00DB139D" w:rsidRPr="005D3200" w:rsidRDefault="00DB139D" w:rsidP="00825B19">
      <w:pPr>
        <w:pBdr>
          <w:top w:val="nil"/>
          <w:left w:val="nil"/>
          <w:bottom w:val="nil"/>
          <w:right w:val="nil"/>
          <w:between w:val="nil"/>
          <w:bar w:val="nil"/>
        </w:pBdr>
        <w:spacing w:before="0" w:after="240"/>
        <w:rPr>
          <w:rFonts w:eastAsia="Arial Unicode MS"/>
          <w:noProof/>
        </w:rPr>
      </w:pPr>
      <w:r w:rsidRPr="005D3200">
        <w:rPr>
          <w:noProof/>
        </w:rPr>
        <w:t>Nařízení, kterým se mění nařízení.</w:t>
      </w:r>
    </w:p>
    <w:p w14:paraId="607256A6" w14:textId="77777777" w:rsidR="00DB139D" w:rsidRPr="005D3200" w:rsidRDefault="00DB139D" w:rsidP="00F4411E">
      <w:pPr>
        <w:pStyle w:val="ManualHeading1"/>
        <w:rPr>
          <w:noProof/>
        </w:rPr>
      </w:pPr>
      <w:r w:rsidRPr="005D3200">
        <w:rPr>
          <w:noProof/>
        </w:rPr>
        <w:t>3.</w:t>
      </w:r>
      <w:r w:rsidRPr="005D3200">
        <w:rPr>
          <w:noProof/>
        </w:rPr>
        <w:tab/>
        <w:t xml:space="preserve">VÝSLEDKY HODNOCENÍ </w:t>
      </w:r>
      <w:r w:rsidRPr="005D3200">
        <w:rPr>
          <w:i/>
          <w:iCs/>
          <w:noProof/>
        </w:rPr>
        <w:t>EX POST</w:t>
      </w:r>
      <w:r w:rsidRPr="005D3200">
        <w:rPr>
          <w:noProof/>
        </w:rPr>
        <w:t>, KONZULTACÍ SE ZÚČASTNĚNÝMI STRANAMI A POSOUZENÍ DOPADŮ</w:t>
      </w:r>
    </w:p>
    <w:p w14:paraId="1D73075B" w14:textId="77777777" w:rsidR="00A73103" w:rsidRPr="005D3200" w:rsidRDefault="00A73103" w:rsidP="00A73103">
      <w:pPr>
        <w:pStyle w:val="ManualHeading2"/>
        <w:rPr>
          <w:noProof/>
          <w:bdr w:val="none" w:sz="0" w:space="0" w:color="auto" w:frame="1"/>
        </w:rPr>
      </w:pPr>
      <w:r w:rsidRPr="005D3200">
        <w:rPr>
          <w:noProof/>
          <w:bdr w:val="none" w:sz="0" w:space="0" w:color="auto" w:frame="1"/>
        </w:rPr>
        <w:t>•</w:t>
      </w:r>
      <w:r w:rsidRPr="005D3200">
        <w:rPr>
          <w:noProof/>
        </w:rPr>
        <w:tab/>
      </w:r>
      <w:r w:rsidRPr="005D3200">
        <w:rPr>
          <w:noProof/>
          <w:bdr w:val="none" w:sz="0" w:space="0" w:color="auto" w:frame="1"/>
        </w:rPr>
        <w:t>Konzultace se zúčastněnými stranami</w:t>
      </w:r>
    </w:p>
    <w:p w14:paraId="60EDFADC" w14:textId="77777777" w:rsidR="00A73103" w:rsidRPr="005D3200" w:rsidRDefault="00A73103" w:rsidP="00A73103">
      <w:pPr>
        <w:rPr>
          <w:noProof/>
        </w:rPr>
      </w:pPr>
      <w:r w:rsidRPr="005D3200">
        <w:rPr>
          <w:noProof/>
        </w:rPr>
        <w:t>Komise v této věci provedla cílené konzultace se zúčastněnými stranami (zejména s evropskými normalizačními organizacemi, národními normalizačními orgány, členskými státy EU a zúčastněnými stranami z průmyslu a občanské společnosti). Tyto zúčastněné strany dostaly příležitost vyjádřit své názory a přispět k práci Komise.</w:t>
      </w:r>
    </w:p>
    <w:p w14:paraId="24BDAABB" w14:textId="77777777" w:rsidR="008503A4" w:rsidRPr="005D3200" w:rsidRDefault="008503A4" w:rsidP="008503A4">
      <w:pPr>
        <w:rPr>
          <w:noProof/>
        </w:rPr>
      </w:pPr>
      <w:r w:rsidRPr="005D3200">
        <w:rPr>
          <w:noProof/>
        </w:rPr>
        <w:t>Během konzultace o plánu pro strategii normalizace poskytly zúčastněné strany cennou zpětnou vazbu ohledně správy a transparentnosti evropského systému normalizace na portálu Komise pro zlepšování právní úpravy</w:t>
      </w:r>
      <w:r w:rsidRPr="005D3200">
        <w:rPr>
          <w:rStyle w:val="FootnoteReference"/>
          <w:noProof/>
        </w:rPr>
        <w:footnoteReference w:id="7"/>
      </w:r>
      <w:r w:rsidRPr="005D3200">
        <w:rPr>
          <w:noProof/>
        </w:rPr>
        <w:t>. Komise obdržela podobnou zpětnou vazbu prostřednictvím zpráv vydaných evropskými organizacemi zúčastněných stran podle čl. 24 odst. 2 nařízení o normalizaci.</w:t>
      </w:r>
    </w:p>
    <w:p w14:paraId="1B4B957D" w14:textId="77777777" w:rsidR="00DB139D" w:rsidRPr="005D3200" w:rsidRDefault="00DB139D" w:rsidP="00825B19">
      <w:pPr>
        <w:pStyle w:val="ManualHeading2"/>
        <w:rPr>
          <w:rFonts w:eastAsia="Arial Unicode MS"/>
          <w:noProof/>
          <w:u w:color="000000"/>
          <w:bdr w:val="nil"/>
        </w:rPr>
      </w:pPr>
      <w:r w:rsidRPr="005D3200">
        <w:rPr>
          <w:noProof/>
          <w:u w:color="000000"/>
          <w:bdr w:val="nil"/>
        </w:rPr>
        <w:t>•</w:t>
      </w:r>
      <w:r w:rsidRPr="005D3200">
        <w:rPr>
          <w:noProof/>
        </w:rPr>
        <w:tab/>
      </w:r>
      <w:r w:rsidRPr="005D3200">
        <w:rPr>
          <w:noProof/>
          <w:u w:color="000000"/>
          <w:bdr w:val="nil"/>
        </w:rPr>
        <w:t>Posouzení dopadů</w:t>
      </w:r>
    </w:p>
    <w:p w14:paraId="3DB28FD0" w14:textId="77777777" w:rsidR="008503A4" w:rsidRPr="005D3200" w:rsidRDefault="008503A4" w:rsidP="008503A4">
      <w:pPr>
        <w:pBdr>
          <w:top w:val="nil"/>
          <w:left w:val="nil"/>
          <w:bottom w:val="nil"/>
          <w:right w:val="nil"/>
          <w:between w:val="nil"/>
          <w:bar w:val="nil"/>
        </w:pBdr>
        <w:spacing w:before="0" w:after="240"/>
        <w:rPr>
          <w:noProof/>
        </w:rPr>
      </w:pPr>
      <w:r w:rsidRPr="005D3200">
        <w:rPr>
          <w:noProof/>
        </w:rPr>
        <w:t>Komise u této iniciativy posouzení dopadů neprovedla. Navrhovaná iniciativa se týká správních rozhodnutí v rámci evropských normalizačních organizací v návaznosti na žádost Komise na základě potřeby politik nebo právní potřeby. Tato správní rozhodnutí se týkají správy / správních rozhodnutí pro politiky Unie. Dopad těchto správních rozhodnutí je omezen na identifikovatelné zúčastněné strany. Proto posouzení dopadů a související veřejná konzultace nebyly zapotřebí, neboť změna by byla, respektive je co do rozsahu omezená, cílená a přináší technické změny stávajícího právního předpisu týkající se otázky správy.</w:t>
      </w:r>
    </w:p>
    <w:p w14:paraId="0643E945" w14:textId="77777777" w:rsidR="00DB139D" w:rsidRPr="005D3200" w:rsidRDefault="00DB139D" w:rsidP="00825B19">
      <w:pPr>
        <w:pStyle w:val="ManualHeading1"/>
        <w:rPr>
          <w:noProof/>
        </w:rPr>
      </w:pPr>
      <w:r w:rsidRPr="005D3200">
        <w:rPr>
          <w:noProof/>
        </w:rPr>
        <w:t>4.</w:t>
      </w:r>
      <w:r w:rsidRPr="005D3200">
        <w:rPr>
          <w:noProof/>
        </w:rPr>
        <w:tab/>
        <w:t>ROZPOČTOVÉ DŮSLEDKY</w:t>
      </w:r>
    </w:p>
    <w:p w14:paraId="7658B336" w14:textId="77777777" w:rsidR="00DB139D" w:rsidRPr="005D3200" w:rsidRDefault="00DB139D" w:rsidP="00825B19">
      <w:pPr>
        <w:pBdr>
          <w:top w:val="nil"/>
          <w:left w:val="nil"/>
          <w:bottom w:val="nil"/>
          <w:right w:val="nil"/>
          <w:between w:val="nil"/>
          <w:bar w:val="nil"/>
        </w:pBdr>
        <w:spacing w:before="0" w:after="240"/>
        <w:rPr>
          <w:rFonts w:eastAsia="Arial Unicode MS"/>
          <w:noProof/>
        </w:rPr>
      </w:pPr>
      <w:r w:rsidRPr="005D3200">
        <w:rPr>
          <w:noProof/>
        </w:rPr>
        <w:t>Návrh nemá rozpočtové důsledky pro orgány EU.</w:t>
      </w:r>
    </w:p>
    <w:p w14:paraId="43E012D5" w14:textId="77777777" w:rsidR="00DB139D" w:rsidRPr="005D3200" w:rsidRDefault="00DB139D" w:rsidP="00825B19">
      <w:pPr>
        <w:pStyle w:val="ManualHeading1"/>
        <w:rPr>
          <w:noProof/>
        </w:rPr>
      </w:pPr>
      <w:r w:rsidRPr="005D3200">
        <w:rPr>
          <w:noProof/>
        </w:rPr>
        <w:t>5.</w:t>
      </w:r>
      <w:r w:rsidRPr="005D3200">
        <w:rPr>
          <w:noProof/>
        </w:rPr>
        <w:tab/>
        <w:t>OSTATNÍ PRVKY</w:t>
      </w:r>
    </w:p>
    <w:p w14:paraId="063F44BB" w14:textId="77777777" w:rsidR="00DB139D" w:rsidRPr="005D3200" w:rsidRDefault="00DB139D" w:rsidP="00825B19">
      <w:pPr>
        <w:pStyle w:val="ManualHeading2"/>
        <w:rPr>
          <w:rFonts w:eastAsia="Arial Unicode MS"/>
          <w:noProof/>
          <w:u w:color="000000"/>
          <w:bdr w:val="nil"/>
        </w:rPr>
      </w:pPr>
      <w:r w:rsidRPr="005D3200">
        <w:rPr>
          <w:noProof/>
          <w:u w:color="000000"/>
          <w:bdr w:val="nil"/>
        </w:rPr>
        <w:t>•</w:t>
      </w:r>
      <w:r w:rsidRPr="005D3200">
        <w:rPr>
          <w:noProof/>
        </w:rPr>
        <w:tab/>
      </w:r>
      <w:r w:rsidRPr="005D3200">
        <w:rPr>
          <w:noProof/>
          <w:u w:color="000000"/>
          <w:bdr w:val="nil"/>
        </w:rPr>
        <w:t>Plány provádění a způsoby monitorování, hodnocení a podávání zpráv</w:t>
      </w:r>
    </w:p>
    <w:p w14:paraId="443C7B1F" w14:textId="77777777" w:rsidR="00A73103" w:rsidRPr="005D3200" w:rsidRDefault="00A73103" w:rsidP="00A73103">
      <w:pPr>
        <w:rPr>
          <w:noProof/>
        </w:rPr>
      </w:pPr>
      <w:r w:rsidRPr="005D3200">
        <w:rPr>
          <w:noProof/>
        </w:rPr>
        <w:t xml:space="preserve">Návrh má změnit pouze dva články. </w:t>
      </w:r>
    </w:p>
    <w:p w14:paraId="5F4C2F26" w14:textId="77777777" w:rsidR="00A73103" w:rsidRPr="005D3200" w:rsidRDefault="00A73103" w:rsidP="00A73103">
      <w:pPr>
        <w:rPr>
          <w:noProof/>
        </w:rPr>
      </w:pPr>
      <w:r w:rsidRPr="005D3200">
        <w:rPr>
          <w:noProof/>
        </w:rPr>
        <w:t>Aby mohly evropské normalizační organizace v případě potřeby přizpůsobit svůj vnitřní jednací řád, stanoví změna přechodné období v délce šesti měsíců před nabytím účinnosti nařízení.</w:t>
      </w:r>
    </w:p>
    <w:p w14:paraId="08B9AB4F" w14:textId="77777777" w:rsidR="00DB139D" w:rsidRPr="005D3200" w:rsidRDefault="008503A4" w:rsidP="00477B0E">
      <w:pPr>
        <w:spacing w:before="0" w:after="240"/>
        <w:rPr>
          <w:noProof/>
        </w:rPr>
        <w:sectPr w:rsidR="00DB139D" w:rsidRPr="005D3200" w:rsidSect="00A646E8">
          <w:footerReference w:type="default" r:id="rId13"/>
          <w:footerReference w:type="first" r:id="rId14"/>
          <w:pgSz w:w="11907" w:h="16839"/>
          <w:pgMar w:top="1134" w:right="1417" w:bottom="1134" w:left="1417" w:header="709" w:footer="709" w:gutter="0"/>
          <w:cols w:space="708"/>
          <w:docGrid w:linePitch="360"/>
        </w:sectPr>
      </w:pPr>
      <w:r w:rsidRPr="005D3200">
        <w:rPr>
          <w:noProof/>
        </w:rPr>
        <w:t>Komise bude evropským normalizačním organizacím nápomocna, aby jim pomohla změnit jejich vnitřní pravidla pro rozhodování o normách a produktech normalizace požadovaných Komisí podle čl. 10 odst. 1 nařízení o normalizaci.</w:t>
      </w:r>
      <w:r w:rsidRPr="005D3200">
        <w:rPr>
          <w:noProof/>
        </w:rPr>
        <w:tab/>
      </w:r>
    </w:p>
    <w:p w14:paraId="232BDB3B" w14:textId="58C37344" w:rsidR="00970E3E" w:rsidRPr="005D3200" w:rsidRDefault="005B1D88" w:rsidP="005B1D88">
      <w:pPr>
        <w:pStyle w:val="Rfrenceinterinstitutionnelle"/>
        <w:rPr>
          <w:noProof/>
        </w:rPr>
      </w:pPr>
      <w:r w:rsidRPr="005B1D88">
        <w:t>2022/0021 (COD)</w:t>
      </w:r>
    </w:p>
    <w:p w14:paraId="55EDBBC2" w14:textId="1370FD86" w:rsidR="00DB139D" w:rsidRPr="005D3200" w:rsidRDefault="005D3200" w:rsidP="005D3200">
      <w:pPr>
        <w:pStyle w:val="Statut"/>
        <w:rPr>
          <w:noProof/>
        </w:rPr>
      </w:pPr>
      <w:r w:rsidRPr="005D3200">
        <w:rPr>
          <w:noProof/>
        </w:rPr>
        <w:t>Návrh</w:t>
      </w:r>
    </w:p>
    <w:p w14:paraId="1C48D4F3" w14:textId="44874493" w:rsidR="00DB139D" w:rsidRPr="005D3200" w:rsidRDefault="005D3200" w:rsidP="005D3200">
      <w:pPr>
        <w:pStyle w:val="Typedudocument"/>
        <w:rPr>
          <w:noProof/>
        </w:rPr>
      </w:pPr>
      <w:r w:rsidRPr="005D3200">
        <w:rPr>
          <w:noProof/>
        </w:rPr>
        <w:t>NAŘÍZENÍ EVROPSKÉHO PARLAMENTU A RADY,</w:t>
      </w:r>
    </w:p>
    <w:p w14:paraId="311E2F17" w14:textId="0C36F5B3" w:rsidR="00DB139D" w:rsidRPr="005D3200" w:rsidRDefault="005D3200" w:rsidP="005D3200">
      <w:pPr>
        <w:pStyle w:val="Titreobjet"/>
        <w:rPr>
          <w:noProof/>
        </w:rPr>
      </w:pPr>
      <w:r w:rsidRPr="005D3200">
        <w:rPr>
          <w:noProof/>
        </w:rPr>
        <w:t>kterým se mění nařízení (EU) č. 1025/2012, pokud jde o rozhodnutí evropských normalizačních organizací týkající se evropských norem a produktů evropské normalizace</w:t>
      </w:r>
    </w:p>
    <w:p w14:paraId="6E0163C3" w14:textId="4A02C192" w:rsidR="00DB139D" w:rsidRPr="005D3200" w:rsidRDefault="005D3200" w:rsidP="005D3200">
      <w:pPr>
        <w:pStyle w:val="IntrtEEE"/>
        <w:rPr>
          <w:noProof/>
        </w:rPr>
      </w:pPr>
      <w:r w:rsidRPr="005D3200">
        <w:rPr>
          <w:noProof/>
        </w:rPr>
        <w:t>(Text s významem pro EHP)</w:t>
      </w:r>
    </w:p>
    <w:p w14:paraId="465D2AF2" w14:textId="77777777" w:rsidR="00DB139D" w:rsidRPr="005D3200" w:rsidRDefault="00DB139D" w:rsidP="00825B19">
      <w:pPr>
        <w:pStyle w:val="Institutionquiagit"/>
        <w:rPr>
          <w:noProof/>
        </w:rPr>
      </w:pPr>
      <w:r w:rsidRPr="005D3200">
        <w:rPr>
          <w:noProof/>
        </w:rPr>
        <w:t>EVROPSKÝ PARLAMENT A RADA EVROPSKÉ UNIE,</w:t>
      </w:r>
    </w:p>
    <w:p w14:paraId="7F457089" w14:textId="77777777" w:rsidR="00DB139D" w:rsidRPr="005D3200" w:rsidRDefault="00DB139D" w:rsidP="00825B19">
      <w:pPr>
        <w:rPr>
          <w:noProof/>
        </w:rPr>
      </w:pPr>
      <w:r w:rsidRPr="005D3200">
        <w:rPr>
          <w:noProof/>
        </w:rPr>
        <w:t>s ohledem na Smlouvu o fungování Evropské unie, a zejména na článek 114 této smlouvy,</w:t>
      </w:r>
    </w:p>
    <w:p w14:paraId="25FB23D1" w14:textId="77777777" w:rsidR="00DB139D" w:rsidRPr="005D3200" w:rsidRDefault="00DB139D" w:rsidP="00825B19">
      <w:pPr>
        <w:rPr>
          <w:noProof/>
        </w:rPr>
      </w:pPr>
      <w:r w:rsidRPr="005D3200">
        <w:rPr>
          <w:noProof/>
        </w:rPr>
        <w:t>s ohledem na návrh Evropské komise,</w:t>
      </w:r>
    </w:p>
    <w:p w14:paraId="2E99E012" w14:textId="77777777" w:rsidR="00DB139D" w:rsidRPr="005D3200" w:rsidRDefault="00DB139D" w:rsidP="00825B19">
      <w:pPr>
        <w:rPr>
          <w:noProof/>
        </w:rPr>
      </w:pPr>
      <w:r w:rsidRPr="005D3200">
        <w:rPr>
          <w:noProof/>
        </w:rPr>
        <w:t>po předložení návrhu legislativního aktu vnitrostátním parlamentům,</w:t>
      </w:r>
    </w:p>
    <w:p w14:paraId="6035CF87" w14:textId="77777777" w:rsidR="00DB139D" w:rsidRPr="005D3200" w:rsidRDefault="00DB139D" w:rsidP="00825B19">
      <w:pPr>
        <w:rPr>
          <w:noProof/>
        </w:rPr>
      </w:pPr>
      <w:r w:rsidRPr="005D3200">
        <w:rPr>
          <w:noProof/>
        </w:rPr>
        <w:t>s ohledem na stanovisko Evropského hospodářského a sociálního výboru</w:t>
      </w:r>
      <w:r w:rsidRPr="005D3200">
        <w:rPr>
          <w:rStyle w:val="FootnoteReference"/>
          <w:noProof/>
        </w:rPr>
        <w:footnoteReference w:id="8"/>
      </w:r>
      <w:r w:rsidRPr="005D3200">
        <w:rPr>
          <w:noProof/>
        </w:rPr>
        <w:t xml:space="preserve">, </w:t>
      </w:r>
    </w:p>
    <w:p w14:paraId="0B6768B4" w14:textId="77777777" w:rsidR="00DB139D" w:rsidRPr="005D3200" w:rsidRDefault="00DB139D" w:rsidP="00825B19">
      <w:pPr>
        <w:rPr>
          <w:noProof/>
        </w:rPr>
      </w:pPr>
      <w:r w:rsidRPr="005D3200">
        <w:rPr>
          <w:noProof/>
        </w:rPr>
        <w:t>v souladu s řádným legislativním postupem,</w:t>
      </w:r>
    </w:p>
    <w:p w14:paraId="4215036E" w14:textId="6BD75C87" w:rsidR="00D34432" w:rsidRPr="005D3200" w:rsidRDefault="00DB139D" w:rsidP="001534E5">
      <w:pPr>
        <w:rPr>
          <w:noProof/>
        </w:rPr>
      </w:pPr>
      <w:r w:rsidRPr="005D3200">
        <w:rPr>
          <w:noProof/>
        </w:rPr>
        <w:t>vzhledem k těmto důvodům:</w:t>
      </w:r>
    </w:p>
    <w:p w14:paraId="3B316BD4" w14:textId="5A28F79E" w:rsidR="00DF5A8F" w:rsidRPr="005D3200" w:rsidRDefault="00204B91" w:rsidP="00204B91">
      <w:pPr>
        <w:pStyle w:val="ManualConsidrant"/>
        <w:rPr>
          <w:noProof/>
        </w:rPr>
      </w:pPr>
      <w:r w:rsidRPr="00204B91">
        <w:t>(1)</w:t>
      </w:r>
      <w:r w:rsidRPr="00204B91">
        <w:tab/>
      </w:r>
      <w:r w:rsidR="001C6095" w:rsidRPr="005D3200">
        <w:rPr>
          <w:noProof/>
        </w:rPr>
        <w:t>Nařízení Evropského parlamentu a Rady (EU) č. 1025/2012</w:t>
      </w:r>
      <w:r w:rsidR="001C6095" w:rsidRPr="005D3200">
        <w:rPr>
          <w:rStyle w:val="FootnoteReference"/>
          <w:noProof/>
        </w:rPr>
        <w:footnoteReference w:id="9"/>
      </w:r>
      <w:r w:rsidR="001C6095" w:rsidRPr="005D3200">
        <w:rPr>
          <w:noProof/>
        </w:rPr>
        <w:t xml:space="preserve"> stanoví pravidla, pokud jde o stanovení evropských norem a produktů evropské normalizace pro výrobky a pro služby na podporu legislativní činnosti a politik Unie. </w:t>
      </w:r>
    </w:p>
    <w:p w14:paraId="720267D3" w14:textId="634B487E" w:rsidR="00D34432" w:rsidRPr="005D3200" w:rsidRDefault="00204B91" w:rsidP="00204B91">
      <w:pPr>
        <w:pStyle w:val="ManualConsidrant"/>
        <w:rPr>
          <w:noProof/>
        </w:rPr>
      </w:pPr>
      <w:r w:rsidRPr="00204B91">
        <w:t>(2)</w:t>
      </w:r>
      <w:r w:rsidRPr="00204B91">
        <w:tab/>
      </w:r>
      <w:r w:rsidR="00817786" w:rsidRPr="005D3200">
        <w:rPr>
          <w:noProof/>
        </w:rPr>
        <w:t>V souladu s článkem 10 nařízení (EU) č. 1025/2012 může Komise požádat jednu nebo více evropských normalizačních organizací, aby vypracovaly návrh evropské normy nebo produktu evropské normalizace.</w:t>
      </w:r>
    </w:p>
    <w:p w14:paraId="6155F240" w14:textId="14A6EFD4" w:rsidR="00694935" w:rsidRPr="005D3200" w:rsidRDefault="00204B91" w:rsidP="00204B91">
      <w:pPr>
        <w:pStyle w:val="ManualConsidrant"/>
        <w:rPr>
          <w:noProof/>
        </w:rPr>
      </w:pPr>
      <w:r w:rsidRPr="00204B91">
        <w:t>(3)</w:t>
      </w:r>
      <w:r w:rsidRPr="00204B91">
        <w:tab/>
      </w:r>
      <w:r w:rsidR="00694935" w:rsidRPr="005D3200">
        <w:rPr>
          <w:noProof/>
        </w:rPr>
        <w:t>Evropské normy a produkty evropské normalizace hrají důležitou úlohu pro vnitřní trh. Harmonizované normy lze například použít k založení předpokladu, že výrobky, které mají být uvedeny na trh, jsou ve shodě se základními požadavky, jež jsou pro tyto výrobky stanoveny v příslušných harmonizačních právních předpisech Unie, když jsou v souladu s harmonizovanými normami.</w:t>
      </w:r>
    </w:p>
    <w:p w14:paraId="393B70F8" w14:textId="663B8695" w:rsidR="00694935" w:rsidRPr="005D3200" w:rsidRDefault="00204B91" w:rsidP="00204B91">
      <w:pPr>
        <w:pStyle w:val="ManualConsidrant"/>
        <w:rPr>
          <w:noProof/>
        </w:rPr>
      </w:pPr>
      <w:r w:rsidRPr="00204B91">
        <w:t>(4)</w:t>
      </w:r>
      <w:r w:rsidRPr="00204B91">
        <w:tab/>
      </w:r>
      <w:r w:rsidR="00C61A34" w:rsidRPr="005D3200">
        <w:rPr>
          <w:noProof/>
        </w:rPr>
        <w:t>V posledních letech se praxe evropských normalizačních organizací, pokud jde o jejich vnitřní správu a rozhodovací postupy, změnila. V důsledku toho evropské normalizační organizace prohloubily svou spolupráci s mezinárodními a evropskými zúčastněnými stranami. Tato spolupráce je vítána, neboť přispívá k transparentnímu, otevřenému, nestrannému a konsensuálnímu procesu normalizace. Pokud však evropské normalizační organizace vyřizují žádosti o normalizaci na podporu legislativní činnosti a politik Unie, může neomezená účast jakékoli zúčastněné strany na jejich vnitřním rozhodování vést k rozhodnutím, která ne zcela zohledňují zájmy, cíle politik a hodnoty Unie, jakož i veřejné zájmy obecně.</w:t>
      </w:r>
    </w:p>
    <w:p w14:paraId="3869AD44" w14:textId="5FC36661" w:rsidR="008113CE" w:rsidRPr="005D3200" w:rsidRDefault="00204B91" w:rsidP="00204B91">
      <w:pPr>
        <w:pStyle w:val="ManualConsidrant"/>
        <w:rPr>
          <w:noProof/>
        </w:rPr>
      </w:pPr>
      <w:r w:rsidRPr="00204B91">
        <w:t>(5)</w:t>
      </w:r>
      <w:r w:rsidRPr="00204B91">
        <w:tab/>
      </w:r>
      <w:r w:rsidR="009D3145" w:rsidRPr="005D3200">
        <w:rPr>
          <w:noProof/>
        </w:rPr>
        <w:t>Národní normalizační orgány hrají v systému normalizace zásadní úlohu, a to jak na úrovni Unie, v souladu s nařízením (EU) č. 1025/2012, tak i na úrovni členských států. Národní normalizační orgány mají proto nejlepší předpoklady k zajištění toho, aby zájmy, cíle politik a hodnoty Unie, jakož i veřejné zájmy obecně byly v evropských normalizačních organizacích řádně zohledněny. Je proto nezbytné posílit jejich úlohu v rozhodovacích orgánech evropských normalizačních organizací, pokud tyto orgány přijímají rozhodnutí týkající se evropských norem a produktů evropské normalizace požadovaných Komisí podle čl. 10 odst. 1 nařízení (EU) č. 1025/2012.</w:t>
      </w:r>
    </w:p>
    <w:p w14:paraId="4928D501" w14:textId="023253BF" w:rsidR="00834E7C" w:rsidRPr="005D3200" w:rsidRDefault="00204B91" w:rsidP="00204B91">
      <w:pPr>
        <w:pStyle w:val="ManualConsidrant"/>
        <w:rPr>
          <w:noProof/>
        </w:rPr>
      </w:pPr>
      <w:r w:rsidRPr="00204B91">
        <w:t>(6)</w:t>
      </w:r>
      <w:r w:rsidRPr="00204B91">
        <w:tab/>
      </w:r>
      <w:r w:rsidR="008113CE" w:rsidRPr="005D3200">
        <w:rPr>
          <w:noProof/>
        </w:rPr>
        <w:t>Rozhodovací orgány evropských normalizačních organizací jsou otevřeny účasti nejen národních normalizačních orgánů, ale mimo jiné i národních normalizačních organizací přistupujících zemí, kandidátských zemí a potenciálních kandidátů členství v Unii. Aby se zabránilo vyloučení těchto organizací z účasti na práci dotčených rozhodovacích orgánů, je nezbytné pouze stanovit, aby rozhodnutí těchto orgánů týkající se evropských norem a produktů evropské normalizace požadovaných podle čl. 10 odst. 1 nařízení (EU) č. 1025/2012  přijímali výhradně zástupci národních normalizačních orgánů, aniž by se na práci rozhodovacích orgánů evropských normalizačních organizací ukládaly jakékoli jiné požadavky.</w:t>
      </w:r>
    </w:p>
    <w:p w14:paraId="3E807642" w14:textId="5C63F81D" w:rsidR="00A1491E" w:rsidRPr="005D3200" w:rsidRDefault="00204B91" w:rsidP="00204B91">
      <w:pPr>
        <w:pStyle w:val="ManualConsidrant"/>
        <w:rPr>
          <w:noProof/>
        </w:rPr>
      </w:pPr>
      <w:r w:rsidRPr="00204B91">
        <w:t>(7)</w:t>
      </w:r>
      <w:r w:rsidRPr="00204B91">
        <w:tab/>
      </w:r>
      <w:r w:rsidR="009B1499" w:rsidRPr="005D3200">
        <w:rPr>
          <w:noProof/>
        </w:rPr>
        <w:t>Má-li být požadavek na to, aby rozhodnutí rozhodovacích orgánů evropských normalizačních organizací týkající se evropských norem a produktů evropské normalizace požadovaných Komisí podle čl. 10 odst. 1 nařízení (EU) č. 1025/2012 přijímali výhradně zástupci národních normalizačních orgánů, účinný, je nezbytné stanovit, že Komise může takové žádosti podávat pouze evropské normalizační organizaci, která uvedený požadavek dodržuje.</w:t>
      </w:r>
    </w:p>
    <w:p w14:paraId="61459538" w14:textId="2F5EA16F" w:rsidR="002E69BD" w:rsidRPr="005D3200" w:rsidRDefault="00204B91" w:rsidP="00204B91">
      <w:pPr>
        <w:pStyle w:val="ManualConsidrant"/>
        <w:rPr>
          <w:noProof/>
        </w:rPr>
      </w:pPr>
      <w:r w:rsidRPr="00204B91">
        <w:t>(8)</w:t>
      </w:r>
      <w:r w:rsidRPr="00204B91">
        <w:tab/>
      </w:r>
      <w:r w:rsidR="002E69BD" w:rsidRPr="005D3200">
        <w:rPr>
          <w:noProof/>
        </w:rPr>
        <w:t>Nařízení (EU) č. 1025/2012 by proto mělo být odpovídajícím způsobem změněno.</w:t>
      </w:r>
    </w:p>
    <w:p w14:paraId="073FCA99" w14:textId="4CBAA527" w:rsidR="00BF1DE8" w:rsidRPr="005D3200" w:rsidRDefault="00204B91" w:rsidP="00204B91">
      <w:pPr>
        <w:pStyle w:val="ManualConsidrant"/>
        <w:rPr>
          <w:noProof/>
        </w:rPr>
      </w:pPr>
      <w:r w:rsidRPr="00204B91">
        <w:t>(9)</w:t>
      </w:r>
      <w:r w:rsidRPr="00204B91">
        <w:tab/>
      </w:r>
      <w:r w:rsidR="00C61A34" w:rsidRPr="005D3200">
        <w:rPr>
          <w:noProof/>
        </w:rPr>
        <w:t>Aby mohly evropské normalizační organizace v případě potřeby přizpůsobit svůj vnitřní jednací řád požadavkům tohoto nařízení, měla by být jeho použitelnost odložena,</w:t>
      </w:r>
    </w:p>
    <w:p w14:paraId="354BFCD7" w14:textId="77777777" w:rsidR="00DB139D" w:rsidRPr="005D3200" w:rsidRDefault="00DB139D" w:rsidP="00825B19">
      <w:pPr>
        <w:pStyle w:val="Formuledadoption"/>
        <w:rPr>
          <w:noProof/>
        </w:rPr>
      </w:pPr>
      <w:r w:rsidRPr="005D3200">
        <w:rPr>
          <w:noProof/>
        </w:rPr>
        <w:t>PŘIJALY TOTO NAŘÍZENÍ:</w:t>
      </w:r>
    </w:p>
    <w:p w14:paraId="3F2F92DB" w14:textId="77777777" w:rsidR="00DB139D" w:rsidRPr="005D3200" w:rsidRDefault="00DB139D" w:rsidP="00825B19">
      <w:pPr>
        <w:pStyle w:val="Titrearticle"/>
        <w:rPr>
          <w:noProof/>
        </w:rPr>
      </w:pPr>
      <w:r w:rsidRPr="005D3200">
        <w:rPr>
          <w:noProof/>
        </w:rPr>
        <w:t>Článek 1</w:t>
      </w:r>
    </w:p>
    <w:p w14:paraId="1F21B1BA" w14:textId="77777777" w:rsidR="00834E7C" w:rsidRPr="005D3200" w:rsidRDefault="00834E7C" w:rsidP="00834E7C">
      <w:pPr>
        <w:rPr>
          <w:noProof/>
        </w:rPr>
      </w:pPr>
      <w:r w:rsidRPr="005D3200">
        <w:rPr>
          <w:noProof/>
        </w:rPr>
        <w:t>Článek 10 nařízení (EU) č. 1025/2012 se mění takto:</w:t>
      </w:r>
    </w:p>
    <w:p w14:paraId="6AAC0210" w14:textId="77777777" w:rsidR="00834E7C" w:rsidRPr="005D3200" w:rsidRDefault="00003C6A" w:rsidP="00003C6A">
      <w:pPr>
        <w:ind w:firstLine="360"/>
        <w:rPr>
          <w:noProof/>
        </w:rPr>
      </w:pPr>
      <w:r w:rsidRPr="005D3200">
        <w:rPr>
          <w:noProof/>
        </w:rPr>
        <w:t>1) v odstavci 1 se první věta nahrazuje tímto:</w:t>
      </w:r>
    </w:p>
    <w:p w14:paraId="63D80351" w14:textId="77777777" w:rsidR="00103923" w:rsidRPr="005D3200" w:rsidRDefault="00834E7C" w:rsidP="00FE1C7A">
      <w:pPr>
        <w:ind w:left="360"/>
        <w:rPr>
          <w:noProof/>
        </w:rPr>
      </w:pPr>
      <w:r w:rsidRPr="005D3200">
        <w:rPr>
          <w:noProof/>
        </w:rPr>
        <w:t>„Komise může v rámci kompetencí stanovených ve Smlouvách požádat jednu nebo více evropských normalizačních organizací, aby v dané lhůtě vypracovaly návrh evropské normy nebo produktu evropské normalizace, jestliže dotčená evropská normalizační organizace dodržuje ustanovení odstavce 2a.“;</w:t>
      </w:r>
    </w:p>
    <w:p w14:paraId="71041CA7" w14:textId="77777777" w:rsidR="00834E7C" w:rsidRPr="005D3200" w:rsidRDefault="009E2996" w:rsidP="00D633E1">
      <w:pPr>
        <w:ind w:left="360"/>
        <w:rPr>
          <w:noProof/>
        </w:rPr>
      </w:pPr>
      <w:r w:rsidRPr="005D3200">
        <w:rPr>
          <w:noProof/>
        </w:rPr>
        <w:t>2)</w:t>
      </w:r>
      <w:r w:rsidRPr="005D3200">
        <w:rPr>
          <w:noProof/>
        </w:rPr>
        <w:tab/>
        <w:t>vkládá se nový odstavec 2a, který zní:</w:t>
      </w:r>
    </w:p>
    <w:p w14:paraId="45CC37E4" w14:textId="77777777" w:rsidR="00834E7C" w:rsidRPr="005D3200" w:rsidRDefault="00834E7C" w:rsidP="00834E7C">
      <w:pPr>
        <w:ind w:left="360"/>
        <w:rPr>
          <w:noProof/>
        </w:rPr>
      </w:pPr>
      <w:r w:rsidRPr="005D3200">
        <w:rPr>
          <w:noProof/>
        </w:rPr>
        <w:t>„2a.</w:t>
      </w:r>
      <w:r w:rsidRPr="005D3200">
        <w:rPr>
          <w:noProof/>
        </w:rPr>
        <w:tab/>
        <w:t xml:space="preserve">Každá evropská normalizační organizace zajistí, aby následující rozhodnutí týkající se evropských norem a produktů evropské normalizace uvedených v odstavci 1 přijímali výhradně zástupci národních normalizačních orgánů v rámci příslušného rozhodovacího orgánu dané organizace: </w:t>
      </w:r>
    </w:p>
    <w:p w14:paraId="4688FE2B" w14:textId="77777777" w:rsidR="00834E7C" w:rsidRPr="005D3200" w:rsidRDefault="00834E7C" w:rsidP="00834E7C">
      <w:pPr>
        <w:ind w:left="720"/>
        <w:rPr>
          <w:noProof/>
        </w:rPr>
      </w:pPr>
      <w:r w:rsidRPr="005D3200">
        <w:rPr>
          <w:noProof/>
        </w:rPr>
        <w:t>a) rozhodnutí o přijetí, zamítnutí a vyřízení žádostí o normalizaci;</w:t>
      </w:r>
    </w:p>
    <w:p w14:paraId="108B9762" w14:textId="77777777" w:rsidR="00834E7C" w:rsidRPr="005D3200" w:rsidRDefault="00834E7C" w:rsidP="00834E7C">
      <w:pPr>
        <w:ind w:left="720"/>
        <w:rPr>
          <w:noProof/>
        </w:rPr>
      </w:pPr>
      <w:r w:rsidRPr="005D3200">
        <w:rPr>
          <w:noProof/>
        </w:rPr>
        <w:t xml:space="preserve">b) rozhodnutí o schválení nových položek pracovního programu; </w:t>
      </w:r>
    </w:p>
    <w:p w14:paraId="563B4352" w14:textId="77777777" w:rsidR="00DB139D" w:rsidRPr="005D3200" w:rsidRDefault="00834E7C" w:rsidP="00F03CB0">
      <w:pPr>
        <w:ind w:left="720"/>
        <w:rPr>
          <w:noProof/>
        </w:rPr>
      </w:pPr>
      <w:r w:rsidRPr="005D3200">
        <w:rPr>
          <w:noProof/>
        </w:rPr>
        <w:t>c) rozhodnutí o přijetí, revizi a zrušení evropských norem nebo produktů evropské normalizace.“</w:t>
      </w:r>
    </w:p>
    <w:p w14:paraId="3A928DE3" w14:textId="77777777" w:rsidR="00103923" w:rsidRPr="005D3200" w:rsidRDefault="00103923" w:rsidP="00090DBE">
      <w:pPr>
        <w:rPr>
          <w:noProof/>
        </w:rPr>
      </w:pPr>
    </w:p>
    <w:p w14:paraId="235A02ED" w14:textId="77777777" w:rsidR="00DB139D" w:rsidRPr="005D3200" w:rsidRDefault="00DB139D" w:rsidP="00825B19">
      <w:pPr>
        <w:pStyle w:val="Titrearticle"/>
        <w:rPr>
          <w:noProof/>
        </w:rPr>
      </w:pPr>
      <w:r w:rsidRPr="005D3200">
        <w:rPr>
          <w:noProof/>
        </w:rPr>
        <w:t>Článek 2</w:t>
      </w:r>
    </w:p>
    <w:p w14:paraId="4F2F002F" w14:textId="77777777" w:rsidR="00DB139D" w:rsidRPr="005D3200" w:rsidRDefault="00DB139D" w:rsidP="00825B19">
      <w:pPr>
        <w:rPr>
          <w:noProof/>
        </w:rPr>
      </w:pPr>
      <w:r w:rsidRPr="005D3200">
        <w:rPr>
          <w:noProof/>
        </w:rPr>
        <w:t xml:space="preserve">Toto nařízení vstupuje v platnost dvacátým dnem po vyhlášení v </w:t>
      </w:r>
      <w:r w:rsidRPr="005D3200">
        <w:rPr>
          <w:i/>
          <w:iCs/>
          <w:noProof/>
        </w:rPr>
        <w:t>Úředním věstníku Evropské unie</w:t>
      </w:r>
      <w:r w:rsidRPr="005D3200">
        <w:rPr>
          <w:noProof/>
        </w:rPr>
        <w:t>.</w:t>
      </w:r>
    </w:p>
    <w:p w14:paraId="5926ECDB" w14:textId="77777777" w:rsidR="00D215E9" w:rsidRPr="005D3200" w:rsidRDefault="00D215E9" w:rsidP="00D215E9">
      <w:pPr>
        <w:rPr>
          <w:noProof/>
          <w:color w:val="00B050"/>
        </w:rPr>
      </w:pPr>
      <w:r w:rsidRPr="005D3200">
        <w:rPr>
          <w:noProof/>
        </w:rPr>
        <w:t>Použije se ode dne... [</w:t>
      </w:r>
      <w:r w:rsidRPr="005D3200">
        <w:rPr>
          <w:i/>
          <w:iCs/>
          <w:noProof/>
        </w:rPr>
        <w:t>Úřad pro publikace:</w:t>
      </w:r>
      <w:r w:rsidRPr="005D3200">
        <w:rPr>
          <w:i/>
          <w:noProof/>
        </w:rPr>
        <w:t xml:space="preserve"> </w:t>
      </w:r>
      <w:r w:rsidRPr="005D3200">
        <w:rPr>
          <w:i/>
          <w:iCs/>
          <w:noProof/>
        </w:rPr>
        <w:t>vložte datum 6 měsíců ode dne vstupu tohoto nařízení v platnost</w:t>
      </w:r>
      <w:r w:rsidRPr="005D3200">
        <w:rPr>
          <w:noProof/>
        </w:rPr>
        <w:t>].</w:t>
      </w:r>
    </w:p>
    <w:p w14:paraId="455968F9" w14:textId="77777777" w:rsidR="00DB139D" w:rsidRPr="005D3200" w:rsidRDefault="00DB139D" w:rsidP="00825B19">
      <w:pPr>
        <w:pStyle w:val="Applicationdirecte"/>
        <w:rPr>
          <w:noProof/>
        </w:rPr>
      </w:pPr>
      <w:r w:rsidRPr="005D3200">
        <w:rPr>
          <w:noProof/>
        </w:rPr>
        <w:t>Toto nařízení je závazné v celém rozsahu a přímo použitelné ve všech členských státech.</w:t>
      </w:r>
    </w:p>
    <w:p w14:paraId="121CE304" w14:textId="10588099" w:rsidR="00DB139D" w:rsidRPr="005D3200" w:rsidRDefault="00C40E92" w:rsidP="00F11DF4">
      <w:pPr>
        <w:pStyle w:val="Fait"/>
        <w:rPr>
          <w:noProof/>
        </w:rPr>
      </w:pPr>
      <w:r w:rsidRPr="00C40E92">
        <w:t>V Bruselu dne</w:t>
      </w:r>
    </w:p>
    <w:p w14:paraId="793DB9A9" w14:textId="77777777" w:rsidR="00DB139D" w:rsidRPr="005D3200" w:rsidRDefault="00DB139D" w:rsidP="00F11DF4">
      <w:pPr>
        <w:pStyle w:val="Institutionquisigne"/>
        <w:rPr>
          <w:noProof/>
        </w:rPr>
      </w:pPr>
      <w:r w:rsidRPr="005D3200">
        <w:rPr>
          <w:noProof/>
        </w:rPr>
        <w:t>Za Evropský parlament</w:t>
      </w:r>
      <w:r w:rsidRPr="005D3200">
        <w:rPr>
          <w:noProof/>
        </w:rPr>
        <w:tab/>
        <w:t>Za Radu</w:t>
      </w:r>
    </w:p>
    <w:p w14:paraId="500884DA" w14:textId="77777777" w:rsidR="00DB139D" w:rsidRPr="005D3200" w:rsidRDefault="00DB139D" w:rsidP="00DB139D">
      <w:pPr>
        <w:pStyle w:val="Personnequisigne"/>
        <w:rPr>
          <w:noProof/>
        </w:rPr>
      </w:pPr>
      <w:r w:rsidRPr="005D3200">
        <w:rPr>
          <w:noProof/>
        </w:rPr>
        <w:t>předseda/předsedkyně</w:t>
      </w:r>
      <w:r w:rsidRPr="005D3200">
        <w:rPr>
          <w:noProof/>
        </w:rPr>
        <w:tab/>
        <w:t>předseda/předsedkyně</w:t>
      </w:r>
    </w:p>
    <w:sectPr w:rsidR="00DB139D" w:rsidRPr="005D3200" w:rsidSect="00A646E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BA60" w14:textId="77777777" w:rsidR="00BC26F1" w:rsidRDefault="00BC26F1" w:rsidP="00DB139D">
      <w:pPr>
        <w:spacing w:before="0" w:after="0"/>
      </w:pPr>
      <w:r>
        <w:separator/>
      </w:r>
    </w:p>
  </w:endnote>
  <w:endnote w:type="continuationSeparator" w:id="0">
    <w:p w14:paraId="229A6D90" w14:textId="77777777" w:rsidR="00BC26F1" w:rsidRDefault="00BC26F1" w:rsidP="00DB139D">
      <w:pPr>
        <w:spacing w:before="0" w:after="0"/>
      </w:pPr>
      <w:r>
        <w:continuationSeparator/>
      </w:r>
    </w:p>
  </w:endnote>
  <w:endnote w:type="continuationNotice" w:id="1">
    <w:p w14:paraId="79CB1E98" w14:textId="77777777" w:rsidR="00B12290" w:rsidRDefault="00B122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B9FAD" w14:textId="53BD50EA" w:rsidR="00825B19" w:rsidRPr="00A646E8" w:rsidRDefault="00A646E8" w:rsidP="00A646E8">
    <w:pPr>
      <w:pStyle w:val="Footer"/>
      <w:rPr>
        <w:rFonts w:ascii="Arial" w:hAnsi="Arial" w:cs="Arial"/>
        <w:b/>
        <w:sz w:val="48"/>
      </w:rPr>
    </w:pPr>
    <w:r w:rsidRPr="00A646E8">
      <w:rPr>
        <w:rFonts w:ascii="Arial" w:hAnsi="Arial" w:cs="Arial"/>
        <w:b/>
        <w:sz w:val="48"/>
      </w:rPr>
      <w:t>CS</w:t>
    </w:r>
    <w:r w:rsidRPr="00A646E8">
      <w:rPr>
        <w:rFonts w:ascii="Arial" w:hAnsi="Arial" w:cs="Arial"/>
        <w:b/>
        <w:sz w:val="48"/>
      </w:rPr>
      <w:tab/>
    </w:r>
    <w:r w:rsidRPr="00A646E8">
      <w:rPr>
        <w:rFonts w:ascii="Arial" w:hAnsi="Arial" w:cs="Arial"/>
        <w:b/>
        <w:sz w:val="48"/>
      </w:rPr>
      <w:tab/>
    </w:r>
    <w:r w:rsidRPr="00A646E8">
      <w:tab/>
    </w:r>
    <w:r w:rsidRPr="00A646E8">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9F410" w14:textId="5CD5994B" w:rsidR="00A646E8" w:rsidRPr="00A646E8" w:rsidRDefault="00A646E8" w:rsidP="00A646E8">
    <w:pPr>
      <w:pStyle w:val="Footer"/>
      <w:rPr>
        <w:rFonts w:ascii="Arial" w:hAnsi="Arial" w:cs="Arial"/>
        <w:b/>
        <w:sz w:val="48"/>
      </w:rPr>
    </w:pPr>
    <w:r w:rsidRPr="00A646E8">
      <w:rPr>
        <w:rFonts w:ascii="Arial" w:hAnsi="Arial" w:cs="Arial"/>
        <w:b/>
        <w:sz w:val="48"/>
      </w:rPr>
      <w:t>CS</w:t>
    </w:r>
    <w:r w:rsidRPr="00A646E8">
      <w:rPr>
        <w:rFonts w:ascii="Arial" w:hAnsi="Arial" w:cs="Arial"/>
        <w:b/>
        <w:sz w:val="48"/>
      </w:rPr>
      <w:tab/>
    </w:r>
    <w:r>
      <w:fldChar w:fldCharType="begin"/>
    </w:r>
    <w:r>
      <w:instrText xml:space="preserve"> PAGE  \* MERGEFORMAT </w:instrText>
    </w:r>
    <w:r>
      <w:fldChar w:fldCharType="separate"/>
    </w:r>
    <w:r w:rsidR="00F11DF4">
      <w:rPr>
        <w:noProof/>
      </w:rPr>
      <w:t>6</w:t>
    </w:r>
    <w:r>
      <w:fldChar w:fldCharType="end"/>
    </w:r>
    <w:r>
      <w:tab/>
    </w:r>
    <w:r w:rsidRPr="00A646E8">
      <w:tab/>
    </w:r>
    <w:r w:rsidRPr="00A646E8">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6713" w14:textId="77777777" w:rsidR="00A646E8" w:rsidRPr="00A646E8" w:rsidRDefault="00A646E8" w:rsidP="00A64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1731" w14:textId="77777777" w:rsidR="00BC26F1" w:rsidRDefault="00BC26F1" w:rsidP="00DB139D">
      <w:pPr>
        <w:spacing w:before="0" w:after="0"/>
      </w:pPr>
      <w:r>
        <w:separator/>
      </w:r>
    </w:p>
  </w:footnote>
  <w:footnote w:type="continuationSeparator" w:id="0">
    <w:p w14:paraId="30DE6BBA" w14:textId="77777777" w:rsidR="00BC26F1" w:rsidRDefault="00BC26F1" w:rsidP="00DB139D">
      <w:pPr>
        <w:spacing w:before="0" w:after="0"/>
      </w:pPr>
      <w:r>
        <w:continuationSeparator/>
      </w:r>
    </w:p>
  </w:footnote>
  <w:footnote w:type="continuationNotice" w:id="1">
    <w:p w14:paraId="7FC44852" w14:textId="77777777" w:rsidR="00B12290" w:rsidRDefault="00B12290">
      <w:pPr>
        <w:spacing w:before="0" w:after="0"/>
      </w:pPr>
    </w:p>
  </w:footnote>
  <w:footnote w:id="2">
    <w:p w14:paraId="6827D34C" w14:textId="2F86F978" w:rsidR="008503A4" w:rsidRDefault="008503A4" w:rsidP="008503A4">
      <w:pPr>
        <w:pStyle w:val="FootnoteText"/>
      </w:pPr>
      <w:r>
        <w:rPr>
          <w:rStyle w:val="FootnoteReference"/>
        </w:rPr>
        <w:footnoteRef/>
      </w:r>
      <w:r>
        <w:tab/>
        <w:t>Nařízení Evropského parlamentu a Rady (EU) č. 1025/2012 ze dne 25. října 2012 o evropské normalizaci, změně směrnic Rady 89/686/EHS a 93/15/EHS a směrnic Evropského parlamentu a Rady 94/9/ES, 94/25/ES, 95/16/ES, 97/23/ES, 98/34/ES, 2004/22/ES, 2007/23/ES, 2009/23/ES a 2009/105/ES, a kterým se ruší rozhodnutí Rady 87/95/EHS a rozhodnutí Evropského parlamentu a Rady č. 1673/2006/ES (Úř. věst. L 316, 14.11.2012, s. 12).</w:t>
      </w:r>
    </w:p>
  </w:footnote>
  <w:footnote w:id="3">
    <w:p w14:paraId="5AE2002C" w14:textId="44AF4DAA" w:rsidR="008503A4" w:rsidRDefault="008503A4" w:rsidP="008503A4">
      <w:pPr>
        <w:pStyle w:val="FootnoteText"/>
      </w:pPr>
      <w:r>
        <w:rPr>
          <w:rStyle w:val="FootnoteReference"/>
        </w:rPr>
        <w:footnoteRef/>
      </w:r>
      <w:r>
        <w:tab/>
        <w:t>https://eur-lex.europa.eu/legal-content/CS/TXT/?uri=COM:2021:350:FIN</w:t>
      </w:r>
    </w:p>
  </w:footnote>
  <w:footnote w:id="4">
    <w:p w14:paraId="2B2D719A" w14:textId="72D612A9" w:rsidR="00A73103" w:rsidRDefault="00A73103" w:rsidP="00A73103">
      <w:pPr>
        <w:pStyle w:val="FootnoteText"/>
      </w:pPr>
      <w:r>
        <w:rPr>
          <w:rStyle w:val="FootnoteReference"/>
        </w:rPr>
        <w:footnoteRef/>
      </w:r>
      <w:r>
        <w:tab/>
        <w:t>https://eur-lex.europa.eu/legal-content/cs/TXT/?uri=CELEX:52020DC0067</w:t>
      </w:r>
    </w:p>
  </w:footnote>
  <w:footnote w:id="5">
    <w:p w14:paraId="096BDDB7" w14:textId="487B8DE3" w:rsidR="00A73103" w:rsidRDefault="00A73103" w:rsidP="00A73103">
      <w:pPr>
        <w:pStyle w:val="FootnoteText"/>
      </w:pPr>
      <w:r>
        <w:rPr>
          <w:rStyle w:val="FootnoteReference"/>
        </w:rPr>
        <w:footnoteRef/>
      </w:r>
      <w:r>
        <w:tab/>
        <w:t>https://eur-lex.europa.eu/legal-content/CS/TXT/?uri=JOIN%3A2021%3A30%3AFIN</w:t>
      </w:r>
    </w:p>
  </w:footnote>
  <w:footnote w:id="6">
    <w:p w14:paraId="0A2574E0" w14:textId="4836D46B" w:rsidR="00A73103" w:rsidRDefault="00A73103" w:rsidP="00A73103">
      <w:pPr>
        <w:pStyle w:val="FootnoteText"/>
      </w:pPr>
      <w:r>
        <w:rPr>
          <w:rStyle w:val="FootnoteReference"/>
        </w:rPr>
        <w:footnoteRef/>
      </w:r>
      <w:r>
        <w:tab/>
        <w:t>https://eur-lex.europa.eu/legal-content/CS/TXT/?uri=CELEX%3A52020XG0616%2801%29</w:t>
      </w:r>
    </w:p>
  </w:footnote>
  <w:footnote w:id="7">
    <w:p w14:paraId="5A015C1D" w14:textId="038369E1" w:rsidR="008503A4" w:rsidRDefault="008503A4" w:rsidP="008503A4">
      <w:pPr>
        <w:pStyle w:val="FootnoteText"/>
      </w:pPr>
      <w:r>
        <w:rPr>
          <w:rStyle w:val="FootnoteReference"/>
        </w:rPr>
        <w:footnoteRef/>
      </w:r>
      <w:r>
        <w:tab/>
        <w:t>https://ec.europa.eu/info/law/better-regulation/have-your-say/initiatives/13099-Standardisation-strategy_cs</w:t>
      </w:r>
    </w:p>
  </w:footnote>
  <w:footnote w:id="8">
    <w:p w14:paraId="01379ADB" w14:textId="77777777" w:rsidR="00825B19" w:rsidRDefault="00825B19" w:rsidP="00825B19">
      <w:pPr>
        <w:pStyle w:val="FootnoteText"/>
      </w:pPr>
      <w:r>
        <w:rPr>
          <w:rStyle w:val="FootnoteReference"/>
        </w:rPr>
        <w:footnoteRef/>
      </w:r>
      <w:r>
        <w:tab/>
        <w:t>Úř. věst. C …, …, s. ….</w:t>
      </w:r>
    </w:p>
  </w:footnote>
  <w:footnote w:id="9">
    <w:p w14:paraId="4D3C80A0" w14:textId="77777777" w:rsidR="00825B19" w:rsidRDefault="00825B19" w:rsidP="001C6095">
      <w:pPr>
        <w:pStyle w:val="FootnoteText"/>
      </w:pPr>
      <w:r>
        <w:rPr>
          <w:rStyle w:val="FootnoteReference"/>
        </w:rPr>
        <w:footnoteRef/>
      </w:r>
      <w:r>
        <w:tab/>
        <w:t>Nařízení Evropského parlamentu a Rady (EU) č. 1025/2012 ze dne 25. října 2012 o evropské normalizaci, změně směrnic Rady 89/686/EHS a 93/15/EHS a směrnic Evropského parlamentu a Rady 94/9/ES, 94/25/ES, 95/16/ES, 97/23/ES, 98/34/ES, 2004/22/ES, 2007/23/ES, 2009/23/ES a 2009/105/ES, a kterým se ruší rozhodnutí Rady 87/95/EHS a rozhodnutí Evropského parlamentu a Rady č. 1673/2006/ES (Úř. věst. L 316, 14.11.2012, s.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00018B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684474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28240A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1DA73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000B35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688B2A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E6D9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D142D2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 w:numId="38">
    <w:abstractNumId w:val="20"/>
  </w:num>
  <w:num w:numId="39">
    <w:abstractNumId w:val="20"/>
  </w:num>
  <w:num w:numId="40">
    <w:abstractNumId w:val="20"/>
  </w:num>
  <w:num w:numId="41">
    <w:abstractNumId w:val="14"/>
  </w:num>
  <w:num w:numId="42">
    <w:abstractNumId w:val="9"/>
  </w:num>
  <w:num w:numId="43">
    <w:abstractNumId w:val="9"/>
  </w:num>
  <w:num w:numId="4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10 09:47: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22060699-9747-4F6D-B49D-EDAAFCD6E27A"/>
    <w:docVar w:name="LW_COVERPAGE_TYPE" w:val="1"/>
    <w:docVar w:name="LW_CROSSREFERENCE" w:val="&lt;UNUSED&gt;"/>
    <w:docVar w:name="LW_DocType" w:val="COM"/>
    <w:docVar w:name="LW_EMISSION" w:val="2.2.2022"/>
    <w:docVar w:name="LW_EMISSION_ISODATE" w:val="2022-02-02"/>
    <w:docVar w:name="LW_EMISSION_LOCATION" w:val="BRX"/>
    <w:docVar w:name="LW_EMISSION_PREFIX" w:val="V Bruselu dn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s významem pro EHP)"/>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COD"/>
    <w:docVar w:name="LW_REF.II.NEW.CP_NUMBER" w:val="0021"/>
    <w:docVar w:name="LW_REF.II.NEW.CP_YEAR" w:val="2022"/>
    <w:docVar w:name="LW_REF.INST.NEW" w:val="COM"/>
    <w:docVar w:name="LW_REF.INST.NEW_ADOPTED" w:val="final"/>
    <w:docVar w:name="LW_REF.INST.NEW_TEXT" w:val="(2022)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erým se mění nařízení (EU) č. 1025/2012, pokud jde o rozhodnutí evropských normalizačních organizací týkající se evropských norem a produktů evropské normalizace"/>
    <w:docVar w:name="LW_TYPE.DOC.CP" w:val="NAŘÍZENÍ EVROPSKÉHO PARLAMENTU A RADY,"/>
    <w:docVar w:name="LwApiVersions" w:val="LW4CoDe 1.23.2.0; LW 8.0, Build 20211117"/>
  </w:docVars>
  <w:rsids>
    <w:rsidRoot w:val="00DB139D"/>
    <w:rsid w:val="00001474"/>
    <w:rsid w:val="00003C6A"/>
    <w:rsid w:val="0000669E"/>
    <w:rsid w:val="000170F1"/>
    <w:rsid w:val="00034A7E"/>
    <w:rsid w:val="0003702E"/>
    <w:rsid w:val="0005003A"/>
    <w:rsid w:val="000572A9"/>
    <w:rsid w:val="00065A6B"/>
    <w:rsid w:val="00090DBE"/>
    <w:rsid w:val="00091B05"/>
    <w:rsid w:val="000A0220"/>
    <w:rsid w:val="000A2035"/>
    <w:rsid w:val="000A49DB"/>
    <w:rsid w:val="000A516B"/>
    <w:rsid w:val="000A7517"/>
    <w:rsid w:val="000B2D59"/>
    <w:rsid w:val="000B5AD5"/>
    <w:rsid w:val="000B5F45"/>
    <w:rsid w:val="000C0DC7"/>
    <w:rsid w:val="000C1040"/>
    <w:rsid w:val="000C2F08"/>
    <w:rsid w:val="000C4EBC"/>
    <w:rsid w:val="000E198E"/>
    <w:rsid w:val="000E32A6"/>
    <w:rsid w:val="000E40A8"/>
    <w:rsid w:val="000F2582"/>
    <w:rsid w:val="001008CD"/>
    <w:rsid w:val="00100D1B"/>
    <w:rsid w:val="00102C6D"/>
    <w:rsid w:val="00103923"/>
    <w:rsid w:val="00105D5E"/>
    <w:rsid w:val="001125AB"/>
    <w:rsid w:val="00117A36"/>
    <w:rsid w:val="00140F93"/>
    <w:rsid w:val="001534E5"/>
    <w:rsid w:val="0016022A"/>
    <w:rsid w:val="00160DB9"/>
    <w:rsid w:val="0016530A"/>
    <w:rsid w:val="00190AF9"/>
    <w:rsid w:val="001B498B"/>
    <w:rsid w:val="001C2816"/>
    <w:rsid w:val="001C5434"/>
    <w:rsid w:val="001C5834"/>
    <w:rsid w:val="001C6095"/>
    <w:rsid w:val="001E7A85"/>
    <w:rsid w:val="001F0B26"/>
    <w:rsid w:val="00204B91"/>
    <w:rsid w:val="00210B10"/>
    <w:rsid w:val="00224013"/>
    <w:rsid w:val="002326A6"/>
    <w:rsid w:val="00232E98"/>
    <w:rsid w:val="00233AE4"/>
    <w:rsid w:val="002409DD"/>
    <w:rsid w:val="00241283"/>
    <w:rsid w:val="00242075"/>
    <w:rsid w:val="00256F47"/>
    <w:rsid w:val="0027515B"/>
    <w:rsid w:val="00277E9D"/>
    <w:rsid w:val="00296B8D"/>
    <w:rsid w:val="002A350D"/>
    <w:rsid w:val="002B1BD2"/>
    <w:rsid w:val="002B6B36"/>
    <w:rsid w:val="002C3E81"/>
    <w:rsid w:val="002C530A"/>
    <w:rsid w:val="002C6985"/>
    <w:rsid w:val="002E69BD"/>
    <w:rsid w:val="002F2029"/>
    <w:rsid w:val="003106B5"/>
    <w:rsid w:val="00311649"/>
    <w:rsid w:val="0031625C"/>
    <w:rsid w:val="003235A7"/>
    <w:rsid w:val="00323E57"/>
    <w:rsid w:val="003257DE"/>
    <w:rsid w:val="00351880"/>
    <w:rsid w:val="00363011"/>
    <w:rsid w:val="003659F0"/>
    <w:rsid w:val="003669D2"/>
    <w:rsid w:val="00371166"/>
    <w:rsid w:val="0037269B"/>
    <w:rsid w:val="003738F0"/>
    <w:rsid w:val="0038446D"/>
    <w:rsid w:val="00396EAF"/>
    <w:rsid w:val="003A185C"/>
    <w:rsid w:val="003B68A9"/>
    <w:rsid w:val="003C361A"/>
    <w:rsid w:val="003D6127"/>
    <w:rsid w:val="003E54F4"/>
    <w:rsid w:val="003F007A"/>
    <w:rsid w:val="003F6BE1"/>
    <w:rsid w:val="003F7899"/>
    <w:rsid w:val="004020D8"/>
    <w:rsid w:val="004057B6"/>
    <w:rsid w:val="00411B5C"/>
    <w:rsid w:val="004139D1"/>
    <w:rsid w:val="00414D58"/>
    <w:rsid w:val="00416B70"/>
    <w:rsid w:val="004215B3"/>
    <w:rsid w:val="00433DF1"/>
    <w:rsid w:val="00435BD8"/>
    <w:rsid w:val="00442C16"/>
    <w:rsid w:val="004471D1"/>
    <w:rsid w:val="0045168A"/>
    <w:rsid w:val="00456F54"/>
    <w:rsid w:val="00470A6F"/>
    <w:rsid w:val="00474EF0"/>
    <w:rsid w:val="00477B0E"/>
    <w:rsid w:val="004976A1"/>
    <w:rsid w:val="004A3113"/>
    <w:rsid w:val="004A5BF0"/>
    <w:rsid w:val="004B6D4E"/>
    <w:rsid w:val="004D2CD9"/>
    <w:rsid w:val="004D3A65"/>
    <w:rsid w:val="004F02AE"/>
    <w:rsid w:val="005023CC"/>
    <w:rsid w:val="0050247D"/>
    <w:rsid w:val="00510128"/>
    <w:rsid w:val="00523548"/>
    <w:rsid w:val="00572E21"/>
    <w:rsid w:val="00574C30"/>
    <w:rsid w:val="005943A7"/>
    <w:rsid w:val="005A0BCD"/>
    <w:rsid w:val="005B1D88"/>
    <w:rsid w:val="005B6004"/>
    <w:rsid w:val="005D3200"/>
    <w:rsid w:val="005D6DB1"/>
    <w:rsid w:val="005E27FC"/>
    <w:rsid w:val="005E5C26"/>
    <w:rsid w:val="005F1F7A"/>
    <w:rsid w:val="00610600"/>
    <w:rsid w:val="00611EB2"/>
    <w:rsid w:val="006163C2"/>
    <w:rsid w:val="006179C6"/>
    <w:rsid w:val="00626E79"/>
    <w:rsid w:val="00630AF3"/>
    <w:rsid w:val="0065437E"/>
    <w:rsid w:val="00666036"/>
    <w:rsid w:val="00666D79"/>
    <w:rsid w:val="00694935"/>
    <w:rsid w:val="006A30E9"/>
    <w:rsid w:val="006A6622"/>
    <w:rsid w:val="006A74EF"/>
    <w:rsid w:val="006F1853"/>
    <w:rsid w:val="006F38BF"/>
    <w:rsid w:val="006F53C7"/>
    <w:rsid w:val="006F56CC"/>
    <w:rsid w:val="0070128F"/>
    <w:rsid w:val="007117EE"/>
    <w:rsid w:val="00712F31"/>
    <w:rsid w:val="0072024D"/>
    <w:rsid w:val="00730FCF"/>
    <w:rsid w:val="007319C4"/>
    <w:rsid w:val="00734681"/>
    <w:rsid w:val="00734CED"/>
    <w:rsid w:val="00740749"/>
    <w:rsid w:val="007716EB"/>
    <w:rsid w:val="007903CE"/>
    <w:rsid w:val="00793420"/>
    <w:rsid w:val="007A2FC6"/>
    <w:rsid w:val="007B4AFC"/>
    <w:rsid w:val="007C06F6"/>
    <w:rsid w:val="007C7658"/>
    <w:rsid w:val="007D1599"/>
    <w:rsid w:val="007D15E2"/>
    <w:rsid w:val="007D50EF"/>
    <w:rsid w:val="007F6F39"/>
    <w:rsid w:val="007F71DE"/>
    <w:rsid w:val="0080618C"/>
    <w:rsid w:val="008113CE"/>
    <w:rsid w:val="0081749B"/>
    <w:rsid w:val="00817786"/>
    <w:rsid w:val="00825B19"/>
    <w:rsid w:val="00834E7C"/>
    <w:rsid w:val="0083638F"/>
    <w:rsid w:val="008503A4"/>
    <w:rsid w:val="00853C65"/>
    <w:rsid w:val="00866232"/>
    <w:rsid w:val="00876909"/>
    <w:rsid w:val="008816BD"/>
    <w:rsid w:val="00892D63"/>
    <w:rsid w:val="00896BA3"/>
    <w:rsid w:val="008C073E"/>
    <w:rsid w:val="008C1215"/>
    <w:rsid w:val="008C4125"/>
    <w:rsid w:val="008E14E8"/>
    <w:rsid w:val="008E3945"/>
    <w:rsid w:val="008F41C3"/>
    <w:rsid w:val="008F66D1"/>
    <w:rsid w:val="00904BA0"/>
    <w:rsid w:val="00920255"/>
    <w:rsid w:val="00920981"/>
    <w:rsid w:val="00923035"/>
    <w:rsid w:val="00927FBA"/>
    <w:rsid w:val="00930A22"/>
    <w:rsid w:val="00942964"/>
    <w:rsid w:val="00945F65"/>
    <w:rsid w:val="00947BD1"/>
    <w:rsid w:val="00964046"/>
    <w:rsid w:val="00970E3E"/>
    <w:rsid w:val="00986B33"/>
    <w:rsid w:val="00987AD5"/>
    <w:rsid w:val="009B1499"/>
    <w:rsid w:val="009B45EC"/>
    <w:rsid w:val="009B7138"/>
    <w:rsid w:val="009B731E"/>
    <w:rsid w:val="009D3145"/>
    <w:rsid w:val="009E2996"/>
    <w:rsid w:val="009F152B"/>
    <w:rsid w:val="009F38C6"/>
    <w:rsid w:val="00A014D7"/>
    <w:rsid w:val="00A1491E"/>
    <w:rsid w:val="00A448FE"/>
    <w:rsid w:val="00A646E8"/>
    <w:rsid w:val="00A675B2"/>
    <w:rsid w:val="00A73103"/>
    <w:rsid w:val="00AB09A4"/>
    <w:rsid w:val="00AC18B6"/>
    <w:rsid w:val="00AC5F91"/>
    <w:rsid w:val="00AD4F9F"/>
    <w:rsid w:val="00AE3170"/>
    <w:rsid w:val="00AF2022"/>
    <w:rsid w:val="00AF276A"/>
    <w:rsid w:val="00AF5499"/>
    <w:rsid w:val="00AF7DDF"/>
    <w:rsid w:val="00B0185D"/>
    <w:rsid w:val="00B0551C"/>
    <w:rsid w:val="00B065B5"/>
    <w:rsid w:val="00B10495"/>
    <w:rsid w:val="00B12290"/>
    <w:rsid w:val="00B13598"/>
    <w:rsid w:val="00B16BE1"/>
    <w:rsid w:val="00B17DBA"/>
    <w:rsid w:val="00B46916"/>
    <w:rsid w:val="00B5447E"/>
    <w:rsid w:val="00B80E70"/>
    <w:rsid w:val="00BA1A25"/>
    <w:rsid w:val="00BA2746"/>
    <w:rsid w:val="00BC26F1"/>
    <w:rsid w:val="00BC6864"/>
    <w:rsid w:val="00BC755D"/>
    <w:rsid w:val="00BD62CA"/>
    <w:rsid w:val="00BD6746"/>
    <w:rsid w:val="00BE0FD0"/>
    <w:rsid w:val="00BE246D"/>
    <w:rsid w:val="00BE73C8"/>
    <w:rsid w:val="00BF17AA"/>
    <w:rsid w:val="00BF1C19"/>
    <w:rsid w:val="00BF1DE8"/>
    <w:rsid w:val="00BF31D3"/>
    <w:rsid w:val="00BF7648"/>
    <w:rsid w:val="00C051C1"/>
    <w:rsid w:val="00C075D3"/>
    <w:rsid w:val="00C15479"/>
    <w:rsid w:val="00C24556"/>
    <w:rsid w:val="00C3184A"/>
    <w:rsid w:val="00C40E92"/>
    <w:rsid w:val="00C55758"/>
    <w:rsid w:val="00C57686"/>
    <w:rsid w:val="00C61A34"/>
    <w:rsid w:val="00C7142E"/>
    <w:rsid w:val="00C76DB7"/>
    <w:rsid w:val="00C807D4"/>
    <w:rsid w:val="00C8167A"/>
    <w:rsid w:val="00C8482F"/>
    <w:rsid w:val="00CA1BEA"/>
    <w:rsid w:val="00CB7BDB"/>
    <w:rsid w:val="00CC1425"/>
    <w:rsid w:val="00CC5629"/>
    <w:rsid w:val="00CD4FB4"/>
    <w:rsid w:val="00CE05A1"/>
    <w:rsid w:val="00CE4BE8"/>
    <w:rsid w:val="00D10286"/>
    <w:rsid w:val="00D215E9"/>
    <w:rsid w:val="00D3051D"/>
    <w:rsid w:val="00D34432"/>
    <w:rsid w:val="00D3556A"/>
    <w:rsid w:val="00D36218"/>
    <w:rsid w:val="00D44D4F"/>
    <w:rsid w:val="00D61B81"/>
    <w:rsid w:val="00D633E1"/>
    <w:rsid w:val="00D7004F"/>
    <w:rsid w:val="00D735AB"/>
    <w:rsid w:val="00D766FC"/>
    <w:rsid w:val="00D77950"/>
    <w:rsid w:val="00D83444"/>
    <w:rsid w:val="00D9461D"/>
    <w:rsid w:val="00D969D6"/>
    <w:rsid w:val="00DA0C8F"/>
    <w:rsid w:val="00DA29CF"/>
    <w:rsid w:val="00DB139D"/>
    <w:rsid w:val="00DB59D7"/>
    <w:rsid w:val="00DC2433"/>
    <w:rsid w:val="00DC47A2"/>
    <w:rsid w:val="00DD372C"/>
    <w:rsid w:val="00DD6DCC"/>
    <w:rsid w:val="00DF1EFC"/>
    <w:rsid w:val="00DF5A8F"/>
    <w:rsid w:val="00E16AF3"/>
    <w:rsid w:val="00E235DC"/>
    <w:rsid w:val="00E314AA"/>
    <w:rsid w:val="00E360F6"/>
    <w:rsid w:val="00E727E0"/>
    <w:rsid w:val="00E82F46"/>
    <w:rsid w:val="00E84BBC"/>
    <w:rsid w:val="00EA4ABB"/>
    <w:rsid w:val="00EC00F8"/>
    <w:rsid w:val="00EC0D20"/>
    <w:rsid w:val="00EC563B"/>
    <w:rsid w:val="00EE121A"/>
    <w:rsid w:val="00EE389E"/>
    <w:rsid w:val="00EE45A6"/>
    <w:rsid w:val="00F00B0D"/>
    <w:rsid w:val="00F00E84"/>
    <w:rsid w:val="00F029B6"/>
    <w:rsid w:val="00F03CB0"/>
    <w:rsid w:val="00F04E1E"/>
    <w:rsid w:val="00F11DF4"/>
    <w:rsid w:val="00F12839"/>
    <w:rsid w:val="00F16547"/>
    <w:rsid w:val="00F20062"/>
    <w:rsid w:val="00F25B32"/>
    <w:rsid w:val="00F33A91"/>
    <w:rsid w:val="00F4411E"/>
    <w:rsid w:val="00F50B1D"/>
    <w:rsid w:val="00F65292"/>
    <w:rsid w:val="00F75921"/>
    <w:rsid w:val="00F801A0"/>
    <w:rsid w:val="00F87B34"/>
    <w:rsid w:val="00F935BF"/>
    <w:rsid w:val="00FA7535"/>
    <w:rsid w:val="00FB40A8"/>
    <w:rsid w:val="00FC36AB"/>
    <w:rsid w:val="00FD7072"/>
    <w:rsid w:val="00FD744C"/>
    <w:rsid w:val="00FE1C7A"/>
    <w:rsid w:val="00FF1CED"/>
    <w:rsid w:val="321FB86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459C81"/>
  <w15:docId w15:val="{E7378A80-DF19-41EA-8C54-A14826BB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rsid w:val="009B713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8C073E"/>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rsid w:val="008C073E"/>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rsid w:val="008C073E"/>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139D"/>
    <w:rPr>
      <w:color w:val="0000FF"/>
      <w:u w:val="single"/>
    </w:rPr>
  </w:style>
  <w:style w:type="paragraph" w:styleId="ListParagraph">
    <w:name w:val="List Paragraph"/>
    <w:basedOn w:val="Normal"/>
    <w:uiPriority w:val="99"/>
    <w:qFormat/>
    <w:rsid w:val="00834E7C"/>
    <w:pPr>
      <w:spacing w:before="0" w:after="240"/>
      <w:ind w:left="720"/>
      <w:contextualSpacing/>
    </w:pPr>
    <w:rPr>
      <w:rFonts w:eastAsia="Times New Roman"/>
      <w:szCs w:val="20"/>
      <w:lang w:eastAsia="fr-BE"/>
    </w:rPr>
  </w:style>
  <w:style w:type="paragraph" w:styleId="ListBullet">
    <w:name w:val="List Bullet"/>
    <w:basedOn w:val="Normal"/>
    <w:uiPriority w:val="99"/>
    <w:semiHidden/>
    <w:unhideWhenUsed/>
    <w:rsid w:val="001125AB"/>
    <w:pPr>
      <w:numPr>
        <w:numId w:val="1"/>
      </w:numPr>
      <w:contextualSpacing/>
    </w:pPr>
  </w:style>
  <w:style w:type="paragraph" w:styleId="ListBullet2">
    <w:name w:val="List Bullet 2"/>
    <w:basedOn w:val="Normal"/>
    <w:uiPriority w:val="99"/>
    <w:semiHidden/>
    <w:unhideWhenUsed/>
    <w:rsid w:val="001125AB"/>
    <w:pPr>
      <w:numPr>
        <w:numId w:val="2"/>
      </w:numPr>
      <w:contextualSpacing/>
    </w:pPr>
  </w:style>
  <w:style w:type="paragraph" w:styleId="ListBullet3">
    <w:name w:val="List Bullet 3"/>
    <w:basedOn w:val="Normal"/>
    <w:uiPriority w:val="99"/>
    <w:semiHidden/>
    <w:unhideWhenUsed/>
    <w:rsid w:val="001125AB"/>
    <w:pPr>
      <w:numPr>
        <w:numId w:val="3"/>
      </w:numPr>
      <w:contextualSpacing/>
    </w:pPr>
  </w:style>
  <w:style w:type="paragraph" w:styleId="ListBullet4">
    <w:name w:val="List Bullet 4"/>
    <w:basedOn w:val="Normal"/>
    <w:uiPriority w:val="99"/>
    <w:semiHidden/>
    <w:unhideWhenUsed/>
    <w:rsid w:val="001125AB"/>
    <w:pPr>
      <w:numPr>
        <w:numId w:val="4"/>
      </w:numPr>
      <w:contextualSpacing/>
    </w:pPr>
  </w:style>
  <w:style w:type="paragraph" w:styleId="BalloonText">
    <w:name w:val="Balloon Text"/>
    <w:basedOn w:val="Normal"/>
    <w:link w:val="BalloonTextChar"/>
    <w:uiPriority w:val="99"/>
    <w:semiHidden/>
    <w:unhideWhenUsed/>
    <w:rsid w:val="00D779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50"/>
    <w:rPr>
      <w:rFonts w:ascii="Segoe UI" w:hAnsi="Segoe UI" w:cs="Segoe UI"/>
      <w:sz w:val="18"/>
      <w:szCs w:val="18"/>
      <w:lang w:val="cs-CZ"/>
    </w:rPr>
  </w:style>
  <w:style w:type="paragraph" w:styleId="Revision">
    <w:name w:val="Revision"/>
    <w:hidden/>
    <w:uiPriority w:val="99"/>
    <w:semiHidden/>
    <w:rsid w:val="002C3E81"/>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F25B32"/>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25B32"/>
    <w:pPr>
      <w:spacing w:after="0"/>
    </w:pPr>
  </w:style>
  <w:style w:type="paragraph" w:styleId="ListNumber">
    <w:name w:val="List Number"/>
    <w:basedOn w:val="Normal"/>
    <w:uiPriority w:val="99"/>
    <w:semiHidden/>
    <w:unhideWhenUsed/>
    <w:rsid w:val="00F25B32"/>
    <w:pPr>
      <w:numPr>
        <w:numId w:val="5"/>
      </w:numPr>
      <w:contextualSpacing/>
    </w:pPr>
  </w:style>
  <w:style w:type="paragraph" w:styleId="ListNumber2">
    <w:name w:val="List Number 2"/>
    <w:basedOn w:val="Normal"/>
    <w:uiPriority w:val="99"/>
    <w:semiHidden/>
    <w:unhideWhenUsed/>
    <w:rsid w:val="00F25B32"/>
    <w:pPr>
      <w:numPr>
        <w:numId w:val="6"/>
      </w:numPr>
      <w:contextualSpacing/>
    </w:pPr>
  </w:style>
  <w:style w:type="paragraph" w:styleId="ListNumber3">
    <w:name w:val="List Number 3"/>
    <w:basedOn w:val="Normal"/>
    <w:uiPriority w:val="99"/>
    <w:semiHidden/>
    <w:unhideWhenUsed/>
    <w:rsid w:val="00F25B32"/>
    <w:pPr>
      <w:numPr>
        <w:numId w:val="7"/>
      </w:numPr>
      <w:contextualSpacing/>
    </w:pPr>
  </w:style>
  <w:style w:type="paragraph" w:styleId="ListNumber4">
    <w:name w:val="List Number 4"/>
    <w:basedOn w:val="Normal"/>
    <w:uiPriority w:val="99"/>
    <w:semiHidden/>
    <w:unhideWhenUsed/>
    <w:rsid w:val="00F25B32"/>
    <w:pPr>
      <w:numPr>
        <w:numId w:val="8"/>
      </w:numPr>
      <w:contextualSpacing/>
    </w:pPr>
  </w:style>
  <w:style w:type="character" w:styleId="CommentReference">
    <w:name w:val="annotation reference"/>
    <w:basedOn w:val="DefaultParagraphFont"/>
    <w:uiPriority w:val="99"/>
    <w:semiHidden/>
    <w:unhideWhenUsed/>
    <w:rsid w:val="00AF276A"/>
    <w:rPr>
      <w:sz w:val="16"/>
      <w:szCs w:val="16"/>
    </w:rPr>
  </w:style>
  <w:style w:type="paragraph" w:styleId="CommentText">
    <w:name w:val="annotation text"/>
    <w:basedOn w:val="Normal"/>
    <w:link w:val="CommentTextChar"/>
    <w:uiPriority w:val="99"/>
    <w:semiHidden/>
    <w:unhideWhenUsed/>
    <w:rsid w:val="00AF276A"/>
    <w:rPr>
      <w:sz w:val="20"/>
      <w:szCs w:val="20"/>
    </w:rPr>
  </w:style>
  <w:style w:type="character" w:customStyle="1" w:styleId="CommentTextChar">
    <w:name w:val="Comment Text Char"/>
    <w:basedOn w:val="DefaultParagraphFont"/>
    <w:link w:val="CommentText"/>
    <w:uiPriority w:val="99"/>
    <w:semiHidden/>
    <w:rsid w:val="00AF276A"/>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AF276A"/>
    <w:rPr>
      <w:b/>
      <w:bCs/>
    </w:rPr>
  </w:style>
  <w:style w:type="character" w:customStyle="1" w:styleId="CommentSubjectChar">
    <w:name w:val="Comment Subject Char"/>
    <w:basedOn w:val="CommentTextChar"/>
    <w:link w:val="CommentSubject"/>
    <w:uiPriority w:val="99"/>
    <w:semiHidden/>
    <w:rsid w:val="00AF276A"/>
    <w:rPr>
      <w:rFonts w:ascii="Times New Roman" w:hAnsi="Times New Roman" w:cs="Times New Roman"/>
      <w:b/>
      <w:bCs/>
      <w:sz w:val="20"/>
      <w:szCs w:val="20"/>
      <w:lang w:val="cs-CZ"/>
    </w:rPr>
  </w:style>
  <w:style w:type="character" w:styleId="FollowedHyperlink">
    <w:name w:val="FollowedHyperlink"/>
    <w:basedOn w:val="DefaultParagraphFont"/>
    <w:uiPriority w:val="99"/>
    <w:semiHidden/>
    <w:unhideWhenUsed/>
    <w:rsid w:val="00AF276A"/>
    <w:rPr>
      <w:color w:val="800080" w:themeColor="followedHyperlink"/>
      <w:u w:val="single"/>
    </w:rPr>
  </w:style>
  <w:style w:type="table" w:styleId="TableGrid">
    <w:name w:val="Table Grid"/>
    <w:basedOn w:val="TableNormal"/>
    <w:uiPriority w:val="59"/>
    <w:rsid w:val="00D4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46E8"/>
    <w:pPr>
      <w:tabs>
        <w:tab w:val="center" w:pos="4535"/>
        <w:tab w:val="right" w:pos="9071"/>
      </w:tabs>
      <w:spacing w:before="0"/>
    </w:pPr>
  </w:style>
  <w:style w:type="character" w:customStyle="1" w:styleId="HeaderChar">
    <w:name w:val="Header Char"/>
    <w:basedOn w:val="DefaultParagraphFont"/>
    <w:link w:val="Header"/>
    <w:uiPriority w:val="99"/>
    <w:rsid w:val="00A646E8"/>
    <w:rPr>
      <w:rFonts w:ascii="Times New Roman" w:hAnsi="Times New Roman" w:cs="Times New Roman"/>
      <w:sz w:val="24"/>
      <w:lang w:val="cs-CZ"/>
    </w:rPr>
  </w:style>
  <w:style w:type="paragraph" w:styleId="Footer">
    <w:name w:val="footer"/>
    <w:basedOn w:val="Normal"/>
    <w:link w:val="FooterChar"/>
    <w:uiPriority w:val="99"/>
    <w:unhideWhenUsed/>
    <w:rsid w:val="00A646E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646E8"/>
    <w:rPr>
      <w:rFonts w:ascii="Times New Roman" w:hAnsi="Times New Roman" w:cs="Times New Roman"/>
      <w:sz w:val="24"/>
      <w:lang w:val="cs-CZ"/>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A646E8"/>
    <w:pPr>
      <w:tabs>
        <w:tab w:val="center" w:pos="7285"/>
        <w:tab w:val="right" w:pos="14003"/>
      </w:tabs>
      <w:spacing w:before="0"/>
    </w:pPr>
  </w:style>
  <w:style w:type="paragraph" w:customStyle="1" w:styleId="FooterLandscape">
    <w:name w:val="FooterLandscape"/>
    <w:basedOn w:val="Normal"/>
    <w:rsid w:val="00A646E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A646E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646E8"/>
    <w:pPr>
      <w:spacing w:before="0"/>
      <w:jc w:val="right"/>
    </w:pPr>
    <w:rPr>
      <w:sz w:val="28"/>
    </w:rPr>
  </w:style>
  <w:style w:type="paragraph" w:customStyle="1" w:styleId="FooterSensitivity">
    <w:name w:val="Footer Sensitivity"/>
    <w:basedOn w:val="Normal"/>
    <w:rsid w:val="00A646E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4"/>
      </w:numPr>
    </w:pPr>
  </w:style>
  <w:style w:type="paragraph" w:customStyle="1" w:styleId="Tiret1">
    <w:name w:val="Tiret 1"/>
    <w:basedOn w:val="Point1"/>
    <w:rsid w:val="009B7138"/>
    <w:pPr>
      <w:numPr>
        <w:numId w:val="25"/>
      </w:numPr>
    </w:pPr>
  </w:style>
  <w:style w:type="paragraph" w:customStyle="1" w:styleId="Tiret2">
    <w:name w:val="Tiret 2"/>
    <w:basedOn w:val="Point2"/>
    <w:rsid w:val="009B7138"/>
    <w:pPr>
      <w:numPr>
        <w:numId w:val="26"/>
      </w:numPr>
    </w:pPr>
  </w:style>
  <w:style w:type="paragraph" w:customStyle="1" w:styleId="Tiret3">
    <w:name w:val="Tiret 3"/>
    <w:basedOn w:val="Point3"/>
    <w:rsid w:val="009B7138"/>
    <w:pPr>
      <w:numPr>
        <w:numId w:val="27"/>
      </w:numPr>
    </w:pPr>
  </w:style>
  <w:style w:type="paragraph" w:customStyle="1" w:styleId="Tiret4">
    <w:name w:val="Tiret 4"/>
    <w:basedOn w:val="Point4"/>
    <w:rsid w:val="009B7138"/>
    <w:pPr>
      <w:numPr>
        <w:numId w:val="2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4"/>
      </w:numPr>
    </w:pPr>
  </w:style>
  <w:style w:type="paragraph" w:customStyle="1" w:styleId="NumPar2">
    <w:name w:val="NumPar 2"/>
    <w:basedOn w:val="Normal"/>
    <w:next w:val="Text1"/>
    <w:rsid w:val="009B7138"/>
    <w:pPr>
      <w:numPr>
        <w:ilvl w:val="1"/>
        <w:numId w:val="44"/>
      </w:numPr>
    </w:pPr>
  </w:style>
  <w:style w:type="paragraph" w:customStyle="1" w:styleId="NumPar3">
    <w:name w:val="NumPar 3"/>
    <w:basedOn w:val="Normal"/>
    <w:next w:val="Text1"/>
    <w:rsid w:val="009B7138"/>
    <w:pPr>
      <w:numPr>
        <w:ilvl w:val="2"/>
        <w:numId w:val="44"/>
      </w:numPr>
    </w:pPr>
  </w:style>
  <w:style w:type="paragraph" w:customStyle="1" w:styleId="NumPar4">
    <w:name w:val="NumPar 4"/>
    <w:basedOn w:val="Normal"/>
    <w:next w:val="Text1"/>
    <w:rsid w:val="009B7138"/>
    <w:pPr>
      <w:numPr>
        <w:ilvl w:val="3"/>
        <w:numId w:val="44"/>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105D5E"/>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1"/>
      </w:numPr>
    </w:pPr>
  </w:style>
  <w:style w:type="paragraph" w:customStyle="1" w:styleId="Point1number">
    <w:name w:val="Point 1 (number)"/>
    <w:basedOn w:val="Normal"/>
    <w:rsid w:val="009B7138"/>
    <w:pPr>
      <w:numPr>
        <w:ilvl w:val="2"/>
        <w:numId w:val="31"/>
      </w:numPr>
    </w:pPr>
  </w:style>
  <w:style w:type="paragraph" w:customStyle="1" w:styleId="Point2number">
    <w:name w:val="Point 2 (number)"/>
    <w:basedOn w:val="Normal"/>
    <w:rsid w:val="009B7138"/>
    <w:pPr>
      <w:numPr>
        <w:ilvl w:val="4"/>
        <w:numId w:val="31"/>
      </w:numPr>
    </w:pPr>
  </w:style>
  <w:style w:type="paragraph" w:customStyle="1" w:styleId="Point3number">
    <w:name w:val="Point 3 (number)"/>
    <w:basedOn w:val="Normal"/>
    <w:rsid w:val="009B7138"/>
    <w:pPr>
      <w:numPr>
        <w:ilvl w:val="6"/>
        <w:numId w:val="31"/>
      </w:numPr>
    </w:pPr>
  </w:style>
  <w:style w:type="paragraph" w:customStyle="1" w:styleId="Point0letter">
    <w:name w:val="Point 0 (letter)"/>
    <w:basedOn w:val="Normal"/>
    <w:rsid w:val="009B7138"/>
    <w:pPr>
      <w:numPr>
        <w:ilvl w:val="1"/>
        <w:numId w:val="31"/>
      </w:numPr>
    </w:pPr>
  </w:style>
  <w:style w:type="paragraph" w:customStyle="1" w:styleId="Point1letter">
    <w:name w:val="Point 1 (letter)"/>
    <w:basedOn w:val="Normal"/>
    <w:rsid w:val="009B7138"/>
    <w:pPr>
      <w:numPr>
        <w:ilvl w:val="3"/>
        <w:numId w:val="31"/>
      </w:numPr>
    </w:pPr>
  </w:style>
  <w:style w:type="paragraph" w:customStyle="1" w:styleId="Point2letter">
    <w:name w:val="Point 2 (letter)"/>
    <w:basedOn w:val="Normal"/>
    <w:rsid w:val="009B7138"/>
    <w:pPr>
      <w:numPr>
        <w:ilvl w:val="5"/>
        <w:numId w:val="31"/>
      </w:numPr>
    </w:pPr>
  </w:style>
  <w:style w:type="paragraph" w:customStyle="1" w:styleId="Point3letter">
    <w:name w:val="Point 3 (letter)"/>
    <w:basedOn w:val="Normal"/>
    <w:rsid w:val="009B7138"/>
    <w:pPr>
      <w:numPr>
        <w:ilvl w:val="7"/>
        <w:numId w:val="31"/>
      </w:numPr>
    </w:pPr>
  </w:style>
  <w:style w:type="paragraph" w:customStyle="1" w:styleId="Point4letter">
    <w:name w:val="Point 4 (letter)"/>
    <w:basedOn w:val="Normal"/>
    <w:rsid w:val="009B7138"/>
    <w:pPr>
      <w:numPr>
        <w:ilvl w:val="8"/>
        <w:numId w:val="31"/>
      </w:numPr>
    </w:pPr>
  </w:style>
  <w:style w:type="paragraph" w:customStyle="1" w:styleId="Bullet0">
    <w:name w:val="Bullet 0"/>
    <w:basedOn w:val="Normal"/>
    <w:rsid w:val="009B7138"/>
    <w:pPr>
      <w:numPr>
        <w:numId w:val="32"/>
      </w:numPr>
    </w:pPr>
  </w:style>
  <w:style w:type="paragraph" w:customStyle="1" w:styleId="Bullet1">
    <w:name w:val="Bullet 1"/>
    <w:basedOn w:val="Normal"/>
    <w:rsid w:val="009B7138"/>
    <w:pPr>
      <w:numPr>
        <w:numId w:val="33"/>
      </w:numPr>
    </w:pPr>
  </w:style>
  <w:style w:type="paragraph" w:customStyle="1" w:styleId="Bullet2">
    <w:name w:val="Bullet 2"/>
    <w:basedOn w:val="Normal"/>
    <w:rsid w:val="009B7138"/>
    <w:pPr>
      <w:numPr>
        <w:numId w:val="34"/>
      </w:numPr>
    </w:pPr>
  </w:style>
  <w:style w:type="paragraph" w:customStyle="1" w:styleId="Bullet3">
    <w:name w:val="Bullet 3"/>
    <w:basedOn w:val="Normal"/>
    <w:rsid w:val="009B7138"/>
    <w:pPr>
      <w:numPr>
        <w:numId w:val="35"/>
      </w:numPr>
    </w:pPr>
  </w:style>
  <w:style w:type="paragraph" w:customStyle="1" w:styleId="Bullet4">
    <w:name w:val="Bullet 4"/>
    <w:basedOn w:val="Normal"/>
    <w:rsid w:val="009B7138"/>
    <w:pPr>
      <w:numPr>
        <w:numId w:val="3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8C073E"/>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sid w:val="008C073E"/>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sid w:val="008C073E"/>
    <w:rPr>
      <w:rFonts w:ascii="Times New Roman" w:eastAsiaTheme="majorEastAsia" w:hAnsi="Times New Roman" w:cs="Times New Roman"/>
      <w:iCs/>
      <w:sz w:val="24"/>
      <w:lang w:val="cs-CZ"/>
    </w:rPr>
  </w:style>
  <w:style w:type="paragraph" w:customStyle="1" w:styleId="ManualHeading5">
    <w:name w:val="Manual Heading 5"/>
    <w:basedOn w:val="Normal"/>
    <w:next w:val="Text2"/>
    <w:rsid w:val="008C073E"/>
    <w:pPr>
      <w:keepNext/>
      <w:tabs>
        <w:tab w:val="left" w:pos="1417"/>
      </w:tabs>
      <w:ind w:left="1417" w:hanging="1417"/>
      <w:outlineLvl w:val="4"/>
    </w:pPr>
  </w:style>
  <w:style w:type="paragraph" w:customStyle="1" w:styleId="ManualHeading6">
    <w:name w:val="Manual Heading 6"/>
    <w:basedOn w:val="Normal"/>
    <w:next w:val="Text2"/>
    <w:rsid w:val="008C073E"/>
    <w:pPr>
      <w:keepNext/>
      <w:tabs>
        <w:tab w:val="left" w:pos="1417"/>
      </w:tabs>
      <w:ind w:left="1417" w:hanging="1417"/>
      <w:outlineLvl w:val="5"/>
    </w:pPr>
  </w:style>
  <w:style w:type="paragraph" w:customStyle="1" w:styleId="ManualHeading7">
    <w:name w:val="Manual Heading 7"/>
    <w:basedOn w:val="Normal"/>
    <w:next w:val="Text2"/>
    <w:rsid w:val="008C073E"/>
    <w:pPr>
      <w:keepNext/>
      <w:tabs>
        <w:tab w:val="left" w:pos="1417"/>
      </w:tabs>
      <w:ind w:left="1417" w:hanging="1417"/>
      <w:outlineLvl w:val="6"/>
    </w:pPr>
  </w:style>
  <w:style w:type="paragraph" w:customStyle="1" w:styleId="Text5">
    <w:name w:val="Text 5"/>
    <w:basedOn w:val="Normal"/>
    <w:rsid w:val="008C073E"/>
    <w:pPr>
      <w:ind w:left="3118"/>
    </w:pPr>
  </w:style>
  <w:style w:type="paragraph" w:customStyle="1" w:styleId="Text6">
    <w:name w:val="Text 6"/>
    <w:basedOn w:val="Normal"/>
    <w:rsid w:val="008C073E"/>
    <w:pPr>
      <w:ind w:left="3685"/>
    </w:pPr>
  </w:style>
  <w:style w:type="paragraph" w:customStyle="1" w:styleId="Point5">
    <w:name w:val="Point 5"/>
    <w:basedOn w:val="Normal"/>
    <w:rsid w:val="008C073E"/>
    <w:pPr>
      <w:ind w:left="3685" w:hanging="567"/>
    </w:pPr>
  </w:style>
  <w:style w:type="paragraph" w:customStyle="1" w:styleId="Tiret5">
    <w:name w:val="Tiret 5"/>
    <w:basedOn w:val="Point5"/>
    <w:rsid w:val="008C073E"/>
    <w:pPr>
      <w:numPr>
        <w:numId w:val="41"/>
      </w:numPr>
    </w:pPr>
  </w:style>
  <w:style w:type="paragraph" w:customStyle="1" w:styleId="NumPar5">
    <w:name w:val="NumPar 5"/>
    <w:basedOn w:val="Normal"/>
    <w:next w:val="Text2"/>
    <w:rsid w:val="008C073E"/>
    <w:pPr>
      <w:numPr>
        <w:ilvl w:val="4"/>
        <w:numId w:val="44"/>
      </w:numPr>
    </w:pPr>
  </w:style>
  <w:style w:type="paragraph" w:customStyle="1" w:styleId="NumPar6">
    <w:name w:val="NumPar 6"/>
    <w:basedOn w:val="Normal"/>
    <w:next w:val="Text2"/>
    <w:rsid w:val="008C073E"/>
    <w:pPr>
      <w:numPr>
        <w:ilvl w:val="5"/>
        <w:numId w:val="44"/>
      </w:numPr>
    </w:pPr>
  </w:style>
  <w:style w:type="paragraph" w:customStyle="1" w:styleId="NumPar7">
    <w:name w:val="NumPar 7"/>
    <w:basedOn w:val="Normal"/>
    <w:next w:val="Text2"/>
    <w:rsid w:val="008C073E"/>
    <w:pPr>
      <w:numPr>
        <w:ilvl w:val="6"/>
        <w:numId w:val="44"/>
      </w:numPr>
    </w:pPr>
  </w:style>
  <w:style w:type="paragraph" w:customStyle="1" w:styleId="ManualNumPar5">
    <w:name w:val="Manual NumPar 5"/>
    <w:basedOn w:val="Normal"/>
    <w:next w:val="Text2"/>
    <w:rsid w:val="008C073E"/>
    <w:pPr>
      <w:ind w:left="1417" w:hanging="1417"/>
    </w:pPr>
  </w:style>
  <w:style w:type="paragraph" w:customStyle="1" w:styleId="ManualNumPar6">
    <w:name w:val="Manual NumPar 6"/>
    <w:basedOn w:val="Normal"/>
    <w:next w:val="Text2"/>
    <w:rsid w:val="008C073E"/>
    <w:pPr>
      <w:ind w:left="1417" w:hanging="1417"/>
    </w:pPr>
  </w:style>
  <w:style w:type="paragraph" w:customStyle="1" w:styleId="ManualNumPar7">
    <w:name w:val="Manual NumPar 7"/>
    <w:basedOn w:val="Normal"/>
    <w:next w:val="Text2"/>
    <w:rsid w:val="008C073E"/>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9417">
      <w:bodyDiv w:val="1"/>
      <w:marLeft w:val="0"/>
      <w:marRight w:val="0"/>
      <w:marTop w:val="0"/>
      <w:marBottom w:val="0"/>
      <w:divBdr>
        <w:top w:val="none" w:sz="0" w:space="0" w:color="auto"/>
        <w:left w:val="none" w:sz="0" w:space="0" w:color="auto"/>
        <w:bottom w:val="none" w:sz="0" w:space="0" w:color="auto"/>
        <w:right w:val="none" w:sz="0" w:space="0" w:color="auto"/>
      </w:divBdr>
    </w:div>
    <w:div w:id="486672211">
      <w:bodyDiv w:val="1"/>
      <w:marLeft w:val="0"/>
      <w:marRight w:val="0"/>
      <w:marTop w:val="0"/>
      <w:marBottom w:val="0"/>
      <w:divBdr>
        <w:top w:val="none" w:sz="0" w:space="0" w:color="auto"/>
        <w:left w:val="none" w:sz="0" w:space="0" w:color="auto"/>
        <w:bottom w:val="none" w:sz="0" w:space="0" w:color="auto"/>
        <w:right w:val="none" w:sz="0" w:space="0" w:color="auto"/>
      </w:divBdr>
    </w:div>
    <w:div w:id="714306070">
      <w:bodyDiv w:val="1"/>
      <w:marLeft w:val="0"/>
      <w:marRight w:val="0"/>
      <w:marTop w:val="0"/>
      <w:marBottom w:val="0"/>
      <w:divBdr>
        <w:top w:val="none" w:sz="0" w:space="0" w:color="auto"/>
        <w:left w:val="none" w:sz="0" w:space="0" w:color="auto"/>
        <w:bottom w:val="none" w:sz="0" w:space="0" w:color="auto"/>
        <w:right w:val="none" w:sz="0" w:space="0" w:color="auto"/>
      </w:divBdr>
    </w:div>
    <w:div w:id="962274703">
      <w:bodyDiv w:val="1"/>
      <w:marLeft w:val="0"/>
      <w:marRight w:val="0"/>
      <w:marTop w:val="0"/>
      <w:marBottom w:val="0"/>
      <w:divBdr>
        <w:top w:val="none" w:sz="0" w:space="0" w:color="auto"/>
        <w:left w:val="none" w:sz="0" w:space="0" w:color="auto"/>
        <w:bottom w:val="none" w:sz="0" w:space="0" w:color="auto"/>
        <w:right w:val="none" w:sz="0" w:space="0" w:color="auto"/>
      </w:divBdr>
    </w:div>
    <w:div w:id="1118450632">
      <w:bodyDiv w:val="1"/>
      <w:marLeft w:val="0"/>
      <w:marRight w:val="0"/>
      <w:marTop w:val="0"/>
      <w:marBottom w:val="0"/>
      <w:divBdr>
        <w:top w:val="none" w:sz="0" w:space="0" w:color="auto"/>
        <w:left w:val="none" w:sz="0" w:space="0" w:color="auto"/>
        <w:bottom w:val="none" w:sz="0" w:space="0" w:color="auto"/>
        <w:right w:val="none" w:sz="0" w:space="0" w:color="auto"/>
      </w:divBdr>
    </w:div>
    <w:div w:id="1450123110">
      <w:bodyDiv w:val="1"/>
      <w:marLeft w:val="0"/>
      <w:marRight w:val="0"/>
      <w:marTop w:val="0"/>
      <w:marBottom w:val="0"/>
      <w:divBdr>
        <w:top w:val="none" w:sz="0" w:space="0" w:color="auto"/>
        <w:left w:val="none" w:sz="0" w:space="0" w:color="auto"/>
        <w:bottom w:val="none" w:sz="0" w:space="0" w:color="auto"/>
        <w:right w:val="none" w:sz="0" w:space="0" w:color="auto"/>
      </w:divBdr>
    </w:div>
    <w:div w:id="1557816139">
      <w:bodyDiv w:val="1"/>
      <w:marLeft w:val="0"/>
      <w:marRight w:val="0"/>
      <w:marTop w:val="0"/>
      <w:marBottom w:val="0"/>
      <w:divBdr>
        <w:top w:val="none" w:sz="0" w:space="0" w:color="auto"/>
        <w:left w:val="none" w:sz="0" w:space="0" w:color="auto"/>
        <w:bottom w:val="none" w:sz="0" w:space="0" w:color="auto"/>
        <w:right w:val="none" w:sz="0" w:space="0" w:color="auto"/>
      </w:divBdr>
    </w:div>
    <w:div w:id="1818036183">
      <w:bodyDiv w:val="1"/>
      <w:marLeft w:val="0"/>
      <w:marRight w:val="0"/>
      <w:marTop w:val="0"/>
      <w:marBottom w:val="0"/>
      <w:divBdr>
        <w:top w:val="none" w:sz="0" w:space="0" w:color="auto"/>
        <w:left w:val="none" w:sz="0" w:space="0" w:color="auto"/>
        <w:bottom w:val="none" w:sz="0" w:space="0" w:color="auto"/>
        <w:right w:val="none" w:sz="0" w:space="0" w:color="auto"/>
      </w:divBdr>
    </w:div>
    <w:div w:id="20904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dc8a0960-67d3-484a-bce9-86574ea0ba84">Not Started</EC_Collab_Status>
    <_Status xmlns="http://schemas.microsoft.com/sharepoint/v3/fields">Not Started</_Status>
    <EC_Collab_Reference xmlns="dc8a0960-67d3-484a-bce9-86574ea0ba84" xsi:nil="true"/>
    <EC_Collab_DocumentLanguage xmlns="dc8a0960-67d3-484a-bce9-86574ea0ba84">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AFC18838DFC5594A8C4C39FB99B0A7E5" ma:contentTypeVersion="0" ma:contentTypeDescription="Create a new document in this library." ma:contentTypeScope="" ma:versionID="e1f2c132d1f8817ca6bc114585c1e621">
  <xsd:schema xmlns:xsd="http://www.w3.org/2001/XMLSchema" xmlns:xs="http://www.w3.org/2001/XMLSchema" xmlns:p="http://schemas.microsoft.com/office/2006/metadata/properties" xmlns:ns2="http://schemas.microsoft.com/sharepoint/v3/fields" xmlns:ns3="dc8a0960-67d3-484a-bce9-86574ea0ba84" targetNamespace="http://schemas.microsoft.com/office/2006/metadata/properties" ma:root="true" ma:fieldsID="dde22bff10c28eac2c2c36a2570375bf" ns2:_="" ns3:_="">
    <xsd:import namespace="http://schemas.microsoft.com/sharepoint/v3/fields"/>
    <xsd:import namespace="dc8a0960-67d3-484a-bce9-86574ea0ba8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c8a0960-67d3-484a-bce9-86574ea0ba8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ADF8-212F-4173-B09F-81A731C59C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c8a0960-67d3-484a-bce9-86574ea0ba84"/>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F6292F9-0831-41A1-BB98-0D04476BB712}">
  <ds:schemaRefs>
    <ds:schemaRef ds:uri="http://schemas.microsoft.com/sharepoint/v3/contenttype/forms"/>
  </ds:schemaRefs>
</ds:datastoreItem>
</file>

<file path=customXml/itemProps3.xml><?xml version="1.0" encoding="utf-8"?>
<ds:datastoreItem xmlns:ds="http://schemas.openxmlformats.org/officeDocument/2006/customXml" ds:itemID="{E10FA0A5-30DB-4EDF-A320-812A18A79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c8a0960-67d3-484a-bce9-86574ea0b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4D488-2D7F-4753-81D3-7FF93BD9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1845</Words>
  <Characters>11519</Characters>
  <Application>Microsoft Office Word</Application>
  <DocSecurity>0</DocSecurity>
  <Lines>202</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dcterms:created xsi:type="dcterms:W3CDTF">2022-02-09T10:16:00Z</dcterms:created>
  <dcterms:modified xsi:type="dcterms:W3CDTF">2022-02-10T08:47:00Z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0x010100258AA79CEB83498886A3A0868112325000AFC18838DFC5594A8C4C39FB99B0A7E5</vt:lpwstr>
  </property>
  <property fmtid="{D5CDD505-2E9C-101B-9397-08002B2CF9AE}" pid="11" name="DQCStatus">
    <vt:lpwstr>Green (DQC version 03)</vt:lpwstr>
  </property>
</Properties>
</file>