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A1DF" w14:textId="4F1E8D0D" w:rsidR="004B3EAF" w:rsidRPr="009F566E" w:rsidRDefault="001E1836" w:rsidP="001E1836">
      <w:pPr>
        <w:pStyle w:val="Pagedecouverture"/>
        <w:rPr>
          <w:noProof/>
        </w:rPr>
      </w:pPr>
      <w:r>
        <w:rPr>
          <w:noProof/>
        </w:rPr>
        <w:pict w14:anchorId="7A67B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F109347-8298-45A7-A128-46ED338BBB7F" style="width:455.25pt;height:383.25pt">
            <v:imagedata r:id="rId11" o:title=""/>
          </v:shape>
        </w:pict>
      </w:r>
    </w:p>
    <w:p w14:paraId="7B47C24C" w14:textId="77777777" w:rsidR="00424DFB" w:rsidRPr="009F566E" w:rsidRDefault="00424DFB" w:rsidP="00424DFB">
      <w:pPr>
        <w:pStyle w:val="Pagedecouverture"/>
        <w:rPr>
          <w:noProof/>
        </w:rPr>
        <w:sectPr w:rsidR="00424DFB" w:rsidRPr="009F566E" w:rsidSect="001E1836">
          <w:footerReference w:type="default" r:id="rId12"/>
          <w:pgSz w:w="11907" w:h="16839"/>
          <w:pgMar w:top="1134" w:right="1417" w:bottom="1134" w:left="1417" w:header="709" w:footer="709" w:gutter="0"/>
          <w:pgNumType w:start="0"/>
          <w:cols w:space="720"/>
          <w:docGrid w:linePitch="360"/>
        </w:sectPr>
      </w:pPr>
    </w:p>
    <w:p w14:paraId="0AF5D918" w14:textId="77777777" w:rsidR="00C1332E" w:rsidRPr="009F566E" w:rsidRDefault="00586D7D">
      <w:pPr>
        <w:pStyle w:val="Exposdesmotifstitre"/>
        <w:rPr>
          <w:noProof/>
        </w:rPr>
      </w:pPr>
      <w:bookmarkStart w:id="0" w:name="_GoBack"/>
      <w:bookmarkEnd w:id="0"/>
      <w:r w:rsidRPr="009F566E">
        <w:rPr>
          <w:noProof/>
        </w:rPr>
        <w:lastRenderedPageBreak/>
        <w:t>BEGRÜNDUNG</w:t>
      </w:r>
    </w:p>
    <w:p w14:paraId="14962E63" w14:textId="77777777" w:rsidR="00C1332E" w:rsidRPr="009F566E" w:rsidRDefault="00586D7D">
      <w:pPr>
        <w:pStyle w:val="ManualHeading1"/>
        <w:rPr>
          <w:noProof/>
        </w:rPr>
      </w:pPr>
      <w:r w:rsidRPr="002C6368">
        <w:rPr>
          <w:noProof/>
        </w:rPr>
        <w:t>1</w:t>
      </w:r>
      <w:r w:rsidRPr="009F566E">
        <w:rPr>
          <w:noProof/>
        </w:rPr>
        <w:t>.</w:t>
      </w:r>
      <w:r w:rsidRPr="009F566E">
        <w:rPr>
          <w:noProof/>
        </w:rPr>
        <w:tab/>
        <w:t>KONTEXT DES VORSCHLAGS</w:t>
      </w:r>
    </w:p>
    <w:p w14:paraId="607E3613" w14:textId="77777777" w:rsidR="00C1332E" w:rsidRPr="009F566E" w:rsidRDefault="00586D7D">
      <w:pPr>
        <w:pStyle w:val="ManualHeading2"/>
        <w:rPr>
          <w:rFonts w:eastAsia="Arial Unicode MS"/>
          <w:noProof/>
        </w:rPr>
      </w:pPr>
      <w:r w:rsidRPr="009F566E">
        <w:rPr>
          <w:noProof/>
          <w:color w:val="000000"/>
          <w:u w:color="000000"/>
          <w:bdr w:val="nil"/>
        </w:rPr>
        <w:t>•</w:t>
      </w:r>
      <w:r w:rsidRPr="009F566E">
        <w:rPr>
          <w:noProof/>
        </w:rPr>
        <w:tab/>
        <w:t>Gründe und Ziele des Vorschlags</w:t>
      </w:r>
    </w:p>
    <w:p w14:paraId="64ED53E3" w14:textId="77777777" w:rsidR="00AB3B6A" w:rsidRPr="009F566E" w:rsidRDefault="002F554A" w:rsidP="002F554A">
      <w:pPr>
        <w:pBdr>
          <w:top w:val="nil"/>
          <w:left w:val="nil"/>
          <w:bottom w:val="nil"/>
          <w:right w:val="nil"/>
          <w:between w:val="nil"/>
          <w:bar w:val="nil"/>
        </w:pBdr>
        <w:spacing w:before="0" w:after="240"/>
        <w:rPr>
          <w:noProof/>
        </w:rPr>
      </w:pPr>
      <w:r w:rsidRPr="009F566E">
        <w:rPr>
          <w:noProof/>
        </w:rPr>
        <w:t>Russlands Angriffskrieg gegen die Ukraine hat eine Reihe neuer und unerwarteter Herausforderungen für die Europäische Union mit sich gebracht, gerade als die Union und ihre Mitgliedstaaten eine Erholung unserer Volkswirtschaften und unserer Gesellschaft von der COVID-</w:t>
      </w:r>
      <w:r w:rsidRPr="002C6368">
        <w:rPr>
          <w:noProof/>
        </w:rPr>
        <w:t>19</w:t>
      </w:r>
      <w:r w:rsidRPr="009F566E">
        <w:rPr>
          <w:noProof/>
        </w:rPr>
        <w:t xml:space="preserve">-Pandemie zu spüren begannen. </w:t>
      </w:r>
    </w:p>
    <w:p w14:paraId="7FB81543" w14:textId="3B3734B1" w:rsidR="002F554A" w:rsidRPr="009F566E" w:rsidRDefault="002F554A" w:rsidP="006573D1">
      <w:pPr>
        <w:pBdr>
          <w:top w:val="nil"/>
          <w:left w:val="nil"/>
          <w:bottom w:val="nil"/>
          <w:right w:val="nil"/>
          <w:between w:val="nil"/>
          <w:bar w:val="nil"/>
        </w:pBdr>
        <w:spacing w:before="0" w:after="240"/>
        <w:rPr>
          <w:noProof/>
        </w:rPr>
      </w:pPr>
      <w:r w:rsidRPr="009F566E">
        <w:rPr>
          <w:noProof/>
        </w:rPr>
        <w:t xml:space="preserve">Seit der unprovozierten Invasion der Ukraine durch Russland am </w:t>
      </w:r>
      <w:r w:rsidRPr="002C6368">
        <w:rPr>
          <w:noProof/>
        </w:rPr>
        <w:t>24</w:t>
      </w:r>
      <w:r w:rsidRPr="009F566E">
        <w:rPr>
          <w:noProof/>
        </w:rPr>
        <w:t xml:space="preserve">. Februar hat die Union mehr als </w:t>
      </w:r>
      <w:r w:rsidRPr="002C6368">
        <w:rPr>
          <w:noProof/>
        </w:rPr>
        <w:t>6</w:t>
      </w:r>
      <w:r w:rsidRPr="009F566E">
        <w:rPr>
          <w:noProof/>
        </w:rPr>
        <w:t>,</w:t>
      </w:r>
      <w:r w:rsidRPr="002C6368">
        <w:rPr>
          <w:noProof/>
        </w:rPr>
        <w:t>2</w:t>
      </w:r>
      <w:r w:rsidRPr="009F566E">
        <w:rPr>
          <w:noProof/>
        </w:rPr>
        <w:t xml:space="preserve"> Millionen ukrainische Staatsangehörige aufgenommen, die vor der russischen Aggression geflohen sind. Die EU hat rasch reagiert und die Mitgliedstaaten und Regionen bei der Bewältigung dieses Zustroms von Menschen unterstützt, indem sie alle verfügbaren Mittel mobilisiert hat. Angesichts der steigenden Zahl der Neuankömmlinge ist jedoch klar, dass weitere Maßnahmen erforderlich sind. Auf der Sondertagung des Europäischen Rates im Mai </w:t>
      </w:r>
      <w:r w:rsidRPr="002C6368">
        <w:rPr>
          <w:noProof/>
        </w:rPr>
        <w:t>2022</w:t>
      </w:r>
      <w:r w:rsidRPr="009F566E">
        <w:rPr>
          <w:noProof/>
        </w:rPr>
        <w:t xml:space="preserve"> wurde die Kommission ersucht, „neue Initiativen ... innerhalb des mehrjährigen Finanzrahmen vorzulegen“, um die Bemühungen zu unterstützen, Millionen von Menschen, die vor dem Krieg in der Ukraine fliehen, Schutz zu gewähren.</w:t>
      </w:r>
    </w:p>
    <w:p w14:paraId="54149776" w14:textId="77777777" w:rsidR="00304116" w:rsidRPr="009F566E" w:rsidRDefault="002F554A" w:rsidP="002F554A">
      <w:pPr>
        <w:pBdr>
          <w:top w:val="nil"/>
          <w:left w:val="nil"/>
          <w:bottom w:val="nil"/>
          <w:right w:val="nil"/>
          <w:between w:val="nil"/>
          <w:bar w:val="nil"/>
        </w:pBdr>
        <w:spacing w:before="0" w:after="240"/>
        <w:rPr>
          <w:noProof/>
        </w:rPr>
      </w:pPr>
      <w:r w:rsidRPr="009F566E">
        <w:rPr>
          <w:noProof/>
        </w:rPr>
        <w:t xml:space="preserve">Die Kommission unterstützt nicht nur die Mitgliedstaaten im Zusammenhang mit dem Zustrom von Vertriebenen, sondern sie beobachtet auch aufmerksam die Auswirkungen der unprovozierten Invasion der Ukraine durch Russland insbesondere auf die Umsetzung der Kohäsionspolitik. Vor allem wurden Auswirkungen auf Infrastrukturprojekte sowohl im Hinblick auf die Verfügbarkeit und die Kosten von Rohstoffen als auch auf die Verfügbarkeit von Arbeitskräften festgestellt. Das Europäische Parlament, der Rat und die Regionen haben Bedenken darüber geäußert, wie sich diese Probleme auf den Abschluss der Programme des Zeitraums </w:t>
      </w:r>
      <w:r w:rsidRPr="002C6368">
        <w:rPr>
          <w:noProof/>
        </w:rPr>
        <w:t>2014</w:t>
      </w:r>
      <w:r w:rsidRPr="009F566E">
        <w:rPr>
          <w:noProof/>
        </w:rPr>
        <w:t>-</w:t>
      </w:r>
      <w:r w:rsidRPr="002C6368">
        <w:rPr>
          <w:noProof/>
        </w:rPr>
        <w:t>2020</w:t>
      </w:r>
      <w:r w:rsidRPr="009F566E">
        <w:rPr>
          <w:noProof/>
        </w:rPr>
        <w:t xml:space="preserve"> und den Start der neuen Programme der Förderperiode </w:t>
      </w:r>
      <w:r w:rsidRPr="002C6368">
        <w:rPr>
          <w:noProof/>
        </w:rPr>
        <w:t>2021</w:t>
      </w:r>
      <w:r w:rsidRPr="009F566E">
        <w:rPr>
          <w:noProof/>
        </w:rPr>
        <w:t>-</w:t>
      </w:r>
      <w:r w:rsidRPr="002C6368">
        <w:rPr>
          <w:noProof/>
        </w:rPr>
        <w:t>2027</w:t>
      </w:r>
      <w:r w:rsidRPr="009F566E">
        <w:rPr>
          <w:noProof/>
        </w:rPr>
        <w:t xml:space="preserve"> auswirken könnten. </w:t>
      </w:r>
    </w:p>
    <w:p w14:paraId="350367E7" w14:textId="722372E0" w:rsidR="005314BD" w:rsidRPr="009F566E" w:rsidRDefault="005314BD" w:rsidP="005314BD">
      <w:pPr>
        <w:pBdr>
          <w:top w:val="nil"/>
          <w:left w:val="nil"/>
          <w:bottom w:val="nil"/>
          <w:right w:val="nil"/>
          <w:between w:val="nil"/>
          <w:bar w:val="nil"/>
        </w:pBdr>
        <w:spacing w:before="0" w:after="240"/>
        <w:rPr>
          <w:noProof/>
        </w:rPr>
      </w:pPr>
      <w:r w:rsidRPr="009F566E">
        <w:rPr>
          <w:noProof/>
        </w:rPr>
        <w:t xml:space="preserve">Seit dem </w:t>
      </w:r>
      <w:r w:rsidRPr="002C6368">
        <w:rPr>
          <w:noProof/>
        </w:rPr>
        <w:t>24</w:t>
      </w:r>
      <w:r w:rsidRPr="009F566E">
        <w:rPr>
          <w:noProof/>
        </w:rPr>
        <w:t xml:space="preserve">. Februar hat die Kommission bereits eine Reihe von Vorschlägen für den Einsatz von Kohäsionsmitteln zugunsten von Flüchtlingen in Europa (CARE) vorgelegt, um sicherzustellen, dass alle im Rahmen der Kohäsionspolitik und des Europäischen Fonds für die am stärksten benachteiligten Personen für den Zeitraum </w:t>
      </w:r>
      <w:r w:rsidRPr="002C6368">
        <w:rPr>
          <w:noProof/>
        </w:rPr>
        <w:t>2014</w:t>
      </w:r>
      <w:r w:rsidRPr="009F566E">
        <w:rPr>
          <w:noProof/>
        </w:rPr>
        <w:t>-</w:t>
      </w:r>
      <w:r w:rsidRPr="002C6368">
        <w:rPr>
          <w:noProof/>
        </w:rPr>
        <w:t>2020</w:t>
      </w:r>
      <w:r w:rsidRPr="009F566E">
        <w:rPr>
          <w:noProof/>
        </w:rPr>
        <w:t xml:space="preserve"> verfügbaren Mittel rasch mobilisiert werden, um die unmittelbaren Herausforderungen zu bewältigen, mit denen die Mitgliedstaaten und insbesondere die östlichen Regionen bei der Aufnahme der Menschen, die vor der russischen Aggression fliehen, konfrontiert sind.</w:t>
      </w:r>
    </w:p>
    <w:p w14:paraId="5EB5E12F" w14:textId="77777777" w:rsidR="000013B8" w:rsidRPr="009F566E" w:rsidRDefault="00944661" w:rsidP="000013B8">
      <w:pPr>
        <w:pBdr>
          <w:top w:val="nil"/>
          <w:left w:val="nil"/>
          <w:bottom w:val="nil"/>
          <w:right w:val="nil"/>
          <w:between w:val="nil"/>
          <w:bar w:val="nil"/>
        </w:pBdr>
        <w:spacing w:before="0" w:after="240"/>
        <w:rPr>
          <w:noProof/>
        </w:rPr>
      </w:pPr>
      <w:r w:rsidRPr="009F566E">
        <w:rPr>
          <w:noProof/>
        </w:rPr>
        <w:t>Mit diesen Änderungen wurde die Möglichkeit geschaffen, die verfügbaren Mittel zur Bewältigung der unmittelbaren Folgen des russischen Angriffskriegs gegen die Ukraine zu mobilisieren, und gleichzeitig wurden die Mitgliedstaaten in die Lage versetzt, ihre Bemühungen um eine grüne, digitale und stabile Erholung ihrer Volkswirtschaften von der durch die COVID-</w:t>
      </w:r>
      <w:r w:rsidRPr="002C6368">
        <w:rPr>
          <w:noProof/>
        </w:rPr>
        <w:t>19</w:t>
      </w:r>
      <w:r w:rsidRPr="009F566E">
        <w:rPr>
          <w:noProof/>
        </w:rPr>
        <w:t>-Pandemie verursachten Krise fortzusetzen.</w:t>
      </w:r>
    </w:p>
    <w:p w14:paraId="028CA0DE" w14:textId="0B9FB8A9" w:rsidR="00944661" w:rsidRPr="009F566E" w:rsidRDefault="00944661" w:rsidP="00944661">
      <w:pPr>
        <w:pBdr>
          <w:top w:val="nil"/>
          <w:left w:val="nil"/>
          <w:bottom w:val="nil"/>
          <w:right w:val="nil"/>
          <w:between w:val="nil"/>
          <w:bar w:val="nil"/>
        </w:pBdr>
        <w:spacing w:before="0" w:after="240"/>
        <w:rPr>
          <w:noProof/>
        </w:rPr>
      </w:pPr>
      <w:r w:rsidRPr="009F566E">
        <w:rPr>
          <w:noProof/>
        </w:rPr>
        <w:t xml:space="preserve">Dank der Möglichkeit, den Europäischen Fonds für regionale Entwicklung (EFRE) und den Europäischen Sozialfonds (ESF) für Vorhaben zur Bewältigung der Migrationsherausforderungen infolge der militärischen Aggression Russlands nach den Bestimmungen des anderen Fonds zu nutzen, können die verfügbaren Mittel zur Deckung des bestehenden Bedarfs genutzt werden, ohne dass eine Übertragung erforderlich ist. Außerdem sind diese Vorhaben ab dem Zeitpunkt der Invasion förderfähig, damit alle damit verbundenen Bedürfnisse gedeckt werden können. Darüber hinaus wurden neue Einheitskosten eingeführt und die Vorschriften für die Berichterstattung über die Teilnehmenden wurden vereinfacht, um den Verwaltungsaufwand sowohl für die Begünstigten als auch für die Verwaltungen der Mitgliedstaaten im Zusammenhang mit der Bewältigung der Migrationsherausforderungen zu verringern. Schließlich wurde die Möglichkeit einer Kofinanzierung dieser Maßnahmen von bis zu </w:t>
      </w:r>
      <w:r w:rsidRPr="002C6368">
        <w:rPr>
          <w:noProof/>
        </w:rPr>
        <w:t>100</w:t>
      </w:r>
      <w:r w:rsidRPr="009F566E">
        <w:rPr>
          <w:noProof/>
        </w:rPr>
        <w:t xml:space="preserve"> % auch auf das am </w:t>
      </w:r>
      <w:r w:rsidRPr="002C6368">
        <w:rPr>
          <w:noProof/>
        </w:rPr>
        <w:t>30</w:t>
      </w:r>
      <w:r w:rsidRPr="009F566E">
        <w:rPr>
          <w:noProof/>
        </w:rPr>
        <w:t xml:space="preserve">. Juni </w:t>
      </w:r>
      <w:r w:rsidRPr="002C6368">
        <w:rPr>
          <w:noProof/>
        </w:rPr>
        <w:t>2022</w:t>
      </w:r>
      <w:r w:rsidRPr="009F566E">
        <w:rPr>
          <w:noProof/>
        </w:rPr>
        <w:t xml:space="preserve"> endende Geschäftsjahr ausgeweitet, um zur Entlastung der öffentlichen Finanzen der Mitgliedstaaten beizutragen, und eine erhebliche Aufstockung der Vorfinanzierungen aus REACT-EU-Mitteln brachte den Mitgliedstaaten die notwendige Liquidität zur Deckung des dringendsten Bedarfs. </w:t>
      </w:r>
    </w:p>
    <w:p w14:paraId="6804217D" w14:textId="3F81D5BF" w:rsidR="00944661" w:rsidRPr="009F566E" w:rsidRDefault="00944661" w:rsidP="00944661">
      <w:pPr>
        <w:pBdr>
          <w:top w:val="nil"/>
          <w:left w:val="nil"/>
          <w:bottom w:val="nil"/>
          <w:right w:val="nil"/>
          <w:between w:val="nil"/>
          <w:bar w:val="nil"/>
        </w:pBdr>
        <w:spacing w:before="0" w:after="240"/>
        <w:rPr>
          <w:noProof/>
        </w:rPr>
      </w:pPr>
      <w:r w:rsidRPr="009F566E">
        <w:rPr>
          <w:noProof/>
        </w:rPr>
        <w:t>Die Folgen der militärischen Aggression durch Russland nehmen zu und sind immer stärker zu spüren. Infolgedessen sind die Mitgliedstaaten mit einem kontinuierlichen Zustrom von Menschen konfrontiert, die vor der russischen Aggression fliehen. Gleichzeitig herrscht in mehreren Mitgliedstaaten in einigen Branchen Arbeitskräftemangel und ein Mangel an Materialen. Dazu kommen die Folgen der COVID-</w:t>
      </w:r>
      <w:r w:rsidRPr="002C6368">
        <w:rPr>
          <w:noProof/>
        </w:rPr>
        <w:t>19</w:t>
      </w:r>
      <w:r w:rsidRPr="009F566E">
        <w:rPr>
          <w:noProof/>
        </w:rPr>
        <w:t>-Pandemie, wie die Unterbrechung von Wertschöpfungsketten. Dies alles stellt eine Herausforderung für die öffentlichen Haushalte dar, die auf die Erholung der Wirtschaft ausgerichtet waren, und birgt gleichzeitig die Gefahr, dass sich Investitionen insbesondere in die Infrastruktur verzögern.</w:t>
      </w:r>
    </w:p>
    <w:p w14:paraId="0185A523" w14:textId="5DE3621A" w:rsidR="00944661" w:rsidRPr="009F566E" w:rsidRDefault="00012F1F" w:rsidP="00944661">
      <w:pPr>
        <w:pBdr>
          <w:top w:val="nil"/>
          <w:left w:val="nil"/>
          <w:bottom w:val="nil"/>
          <w:right w:val="nil"/>
          <w:between w:val="nil"/>
          <w:bar w:val="nil"/>
        </w:pBdr>
        <w:spacing w:before="0" w:after="240"/>
        <w:rPr>
          <w:noProof/>
        </w:rPr>
      </w:pPr>
      <w:r w:rsidRPr="009F566E">
        <w:rPr>
          <w:noProof/>
        </w:rPr>
        <w:t xml:space="preserve">Obwohl die bereits beschlossenen Maßnahmen einen wichtigen Beitrag zur Unterstützung der Mitgliedstaaten und der Regionen bei der Bewältigung der unmittelbaren Auswirkungen des Krieges geleistet haben, liegt es auf der Hand, dass angesichts der Entwicklung der Lage zusätzliche Maßnahmen notwendig sind. Eine größere Flexibilität wird insbesondere dazu beitragen, die Nutzung der verbleibenden Mittel für den Zeitraum </w:t>
      </w:r>
      <w:r w:rsidRPr="002C6368">
        <w:rPr>
          <w:noProof/>
        </w:rPr>
        <w:t>2014</w:t>
      </w:r>
      <w:r w:rsidRPr="009F566E">
        <w:rPr>
          <w:noProof/>
        </w:rPr>
        <w:t>-</w:t>
      </w:r>
      <w:r w:rsidRPr="002C6368">
        <w:rPr>
          <w:noProof/>
        </w:rPr>
        <w:t>2020</w:t>
      </w:r>
      <w:r w:rsidRPr="009F566E">
        <w:rPr>
          <w:noProof/>
        </w:rPr>
        <w:t xml:space="preserve"> zu optimieren und einen reibungsloseren Übergang verzögerter Projekte zwischen den Programmen der Zeiträume </w:t>
      </w:r>
      <w:r w:rsidRPr="002C6368">
        <w:rPr>
          <w:noProof/>
        </w:rPr>
        <w:t>2014</w:t>
      </w:r>
      <w:r w:rsidRPr="009F566E">
        <w:rPr>
          <w:noProof/>
        </w:rPr>
        <w:t>-</w:t>
      </w:r>
      <w:r w:rsidRPr="002C6368">
        <w:rPr>
          <w:noProof/>
        </w:rPr>
        <w:t>2020</w:t>
      </w:r>
      <w:r w:rsidRPr="009F566E">
        <w:rPr>
          <w:noProof/>
        </w:rPr>
        <w:t xml:space="preserve"> und </w:t>
      </w:r>
      <w:r w:rsidRPr="002C6368">
        <w:rPr>
          <w:noProof/>
        </w:rPr>
        <w:t>2021</w:t>
      </w:r>
      <w:r w:rsidRPr="009F566E">
        <w:rPr>
          <w:noProof/>
        </w:rPr>
        <w:t>-</w:t>
      </w:r>
      <w:r w:rsidRPr="002C6368">
        <w:rPr>
          <w:noProof/>
        </w:rPr>
        <w:t>2027</w:t>
      </w:r>
      <w:r w:rsidRPr="009F566E">
        <w:rPr>
          <w:noProof/>
        </w:rPr>
        <w:t xml:space="preserve"> zu ermöglichen. </w:t>
      </w:r>
    </w:p>
    <w:p w14:paraId="7F1CE955" w14:textId="77777777" w:rsidR="00944661" w:rsidRPr="009F566E" w:rsidRDefault="00944661" w:rsidP="00944661">
      <w:pPr>
        <w:pBdr>
          <w:top w:val="nil"/>
          <w:left w:val="nil"/>
          <w:bottom w:val="nil"/>
          <w:right w:val="nil"/>
          <w:between w:val="nil"/>
          <w:bar w:val="nil"/>
        </w:pBdr>
        <w:spacing w:before="0" w:after="240"/>
        <w:rPr>
          <w:noProof/>
        </w:rPr>
      </w:pPr>
      <w:r w:rsidRPr="009F566E">
        <w:rPr>
          <w:noProof/>
        </w:rPr>
        <w:t xml:space="preserve">Folglich sollte eine größere Flexibilität geschaffen werden, um eine schnellere und umfassendere Unterstützung aus den Fonds zu ermöglichen, damit die Belastung der nationalen Haushalte verringert und die Durchführung von Vorhaben erleichtert wird, die der Bewältigung von migrationsbedingten Herausforderungen und von Marktstörungen in wichtigen Wirtschaftssektoren dienen. </w:t>
      </w:r>
    </w:p>
    <w:p w14:paraId="133055DF" w14:textId="77777777" w:rsidR="00944661" w:rsidRPr="009F566E" w:rsidRDefault="00D42B7B" w:rsidP="00944661">
      <w:pPr>
        <w:pBdr>
          <w:top w:val="nil"/>
          <w:left w:val="nil"/>
          <w:bottom w:val="nil"/>
          <w:right w:val="nil"/>
          <w:between w:val="nil"/>
          <w:bar w:val="nil"/>
        </w:pBdr>
        <w:spacing w:before="0" w:after="240"/>
        <w:rPr>
          <w:noProof/>
        </w:rPr>
      </w:pPr>
      <w:r w:rsidRPr="009F566E">
        <w:rPr>
          <w:noProof/>
        </w:rPr>
        <w:t xml:space="preserve">Für Vorhaben zur Bewältigung der Migrationsherausforderungen infolge der militärischen Aggression der Russischen Föderation ist es daher angezeigt, dass im Rahmen dieser umfassenderen Unterstützung ausnahmsweise und unbeschadet der unter normalen Umständen geltenden Regeln von den Anforderungen an den Standort eines Vorhabens innerhalb eines Mitgliedstaat abgewichen werden darf, da Personen, die vor dem Krieg fliehen, mehrmals den Aufenthaltsort wechseln können. Angesichts der anhaltenden russischen Aggression ist es zudem gerechtfertigt, die neu ermittelten Einheitskosten zu erhöhen und deren Geltungsdauer zu verlängern, um die Grundbedürfnisse und die Unterstützung von Personen zu decken, denen nach nationalem Recht vorübergehender Schutz oder ein anderer angemessener Schutz gemäß dem Durchführungsbeschluss (EU) </w:t>
      </w:r>
      <w:r w:rsidRPr="002C6368">
        <w:rPr>
          <w:noProof/>
        </w:rPr>
        <w:t>2022</w:t>
      </w:r>
      <w:r w:rsidRPr="009F566E">
        <w:rPr>
          <w:noProof/>
        </w:rPr>
        <w:t>/</w:t>
      </w:r>
      <w:r w:rsidRPr="002C6368">
        <w:rPr>
          <w:noProof/>
        </w:rPr>
        <w:t>382</w:t>
      </w:r>
      <w:r w:rsidRPr="009F566E">
        <w:rPr>
          <w:noProof/>
        </w:rPr>
        <w:t xml:space="preserve"> des Rates</w:t>
      </w:r>
      <w:r w:rsidRPr="009F566E">
        <w:rPr>
          <w:rStyle w:val="FootnoteReference"/>
          <w:noProof/>
        </w:rPr>
        <w:footnoteReference w:id="2"/>
      </w:r>
      <w:r w:rsidRPr="009F566E">
        <w:rPr>
          <w:noProof/>
        </w:rPr>
        <w:t xml:space="preserve"> und der Richtlinie </w:t>
      </w:r>
      <w:r w:rsidRPr="002C6368">
        <w:rPr>
          <w:noProof/>
        </w:rPr>
        <w:t>2001</w:t>
      </w:r>
      <w:r w:rsidRPr="009F566E">
        <w:rPr>
          <w:noProof/>
        </w:rPr>
        <w:t>/</w:t>
      </w:r>
      <w:r w:rsidRPr="002C6368">
        <w:rPr>
          <w:noProof/>
        </w:rPr>
        <w:t>55</w:t>
      </w:r>
      <w:r w:rsidRPr="009F566E">
        <w:rPr>
          <w:noProof/>
        </w:rPr>
        <w:t>/EG des Rates</w:t>
      </w:r>
      <w:r w:rsidRPr="009F566E">
        <w:rPr>
          <w:rStyle w:val="FootnoteReference"/>
          <w:noProof/>
        </w:rPr>
        <w:footnoteReference w:id="3"/>
      </w:r>
      <w:r w:rsidRPr="009F566E">
        <w:rPr>
          <w:noProof/>
        </w:rPr>
        <w:t xml:space="preserve"> in allen Mitgliedstaaten gewährt wurde.</w:t>
      </w:r>
    </w:p>
    <w:p w14:paraId="405B11EC" w14:textId="2647CC87" w:rsidR="00944661" w:rsidRPr="009F566E" w:rsidRDefault="00944661" w:rsidP="00944661">
      <w:pPr>
        <w:pBdr>
          <w:top w:val="nil"/>
          <w:left w:val="nil"/>
          <w:bottom w:val="nil"/>
          <w:right w:val="nil"/>
          <w:between w:val="nil"/>
          <w:bar w:val="nil"/>
        </w:pBdr>
        <w:spacing w:before="0" w:after="240"/>
        <w:rPr>
          <w:noProof/>
        </w:rPr>
      </w:pPr>
      <w:r w:rsidRPr="009F566E">
        <w:rPr>
          <w:noProof/>
        </w:rPr>
        <w:t xml:space="preserve">Darüber hinaus wird vorgeschlagen, zu gestatten, dass die verbleibenden Mittel aus dem Kohäsionsfonds </w:t>
      </w:r>
      <w:r w:rsidRPr="002C6368">
        <w:rPr>
          <w:noProof/>
        </w:rPr>
        <w:t>2014</w:t>
      </w:r>
      <w:r w:rsidRPr="009F566E">
        <w:rPr>
          <w:noProof/>
        </w:rPr>
        <w:t>-</w:t>
      </w:r>
      <w:r w:rsidRPr="002C6368">
        <w:rPr>
          <w:noProof/>
        </w:rPr>
        <w:t>2020</w:t>
      </w:r>
      <w:r w:rsidRPr="009F566E">
        <w:rPr>
          <w:noProof/>
        </w:rPr>
        <w:t xml:space="preserve"> zur Unterstützung von Vorhaben verwendet werden, die in den Anwendungsbereich des EFRE oder des ESF fallen, im Einklang mit den für diese Fonds geltenden Vorschriften. Dies bedeutet, dass die Flexibilität für die Verwendung von EFRE- und ESF-Mitteln, die mit der Verordnung (EU) </w:t>
      </w:r>
      <w:r w:rsidRPr="002C6368">
        <w:rPr>
          <w:noProof/>
        </w:rPr>
        <w:t>2022</w:t>
      </w:r>
      <w:r w:rsidRPr="009F566E">
        <w:rPr>
          <w:noProof/>
        </w:rPr>
        <w:t>/</w:t>
      </w:r>
      <w:r w:rsidRPr="002C6368">
        <w:rPr>
          <w:noProof/>
        </w:rPr>
        <w:t>562</w:t>
      </w:r>
      <w:r w:rsidRPr="009F566E">
        <w:rPr>
          <w:noProof/>
        </w:rPr>
        <w:t xml:space="preserve"> des Europäischen Parlaments und des Rates</w:t>
      </w:r>
      <w:r w:rsidRPr="009F566E">
        <w:rPr>
          <w:rStyle w:val="FootnoteReference"/>
          <w:noProof/>
        </w:rPr>
        <w:footnoteReference w:id="4"/>
      </w:r>
      <w:r w:rsidRPr="009F566E">
        <w:rPr>
          <w:noProof/>
        </w:rPr>
        <w:t xml:space="preserve"> eingeführt wurde, auf den Kohäsionsfonds ausgeweitet wird. Da die Förderfähigkeit von Vorhaben zur Bewältigung der Migrationsherausforderungen infolge der militärischen Aggression Russlands beginnend mit dem </w:t>
      </w:r>
      <w:r w:rsidRPr="002C6368">
        <w:rPr>
          <w:noProof/>
        </w:rPr>
        <w:t>24</w:t>
      </w:r>
      <w:r w:rsidRPr="009F566E">
        <w:rPr>
          <w:noProof/>
        </w:rPr>
        <w:t xml:space="preserve">. Februar </w:t>
      </w:r>
      <w:r w:rsidRPr="002C6368">
        <w:rPr>
          <w:noProof/>
        </w:rPr>
        <w:t>2022</w:t>
      </w:r>
      <w:r w:rsidRPr="009F566E">
        <w:rPr>
          <w:noProof/>
        </w:rPr>
        <w:t xml:space="preserve"> festgelegt wurde, sollte die Möglichkeit vorgesehen werden, Ausgaben für solche Vorhaben auch dann geltend zu machen, wenn diese bereits physisch abgeschlossen oder vollständig durchgeführt wurden. Angesichts der Folgen des Krieges für den Fischerei- und Aquakultursektor sollten diese Möglichkeiten auch auf den Europäischen Meeres- und Fischereifonds (EMFF) ausgeweitet werden.</w:t>
      </w:r>
    </w:p>
    <w:p w14:paraId="00CB5046" w14:textId="435ABF96" w:rsidR="00944661" w:rsidRPr="009F566E" w:rsidRDefault="00944661" w:rsidP="00944661">
      <w:pPr>
        <w:pBdr>
          <w:top w:val="nil"/>
          <w:left w:val="nil"/>
          <w:bottom w:val="nil"/>
          <w:right w:val="nil"/>
          <w:between w:val="nil"/>
          <w:bar w:val="nil"/>
        </w:pBdr>
        <w:spacing w:before="0" w:after="240"/>
        <w:rPr>
          <w:noProof/>
        </w:rPr>
      </w:pPr>
      <w:r w:rsidRPr="009F566E">
        <w:rPr>
          <w:noProof/>
        </w:rPr>
        <w:t xml:space="preserve">Im gleichen Sinne sollten, um den Verwaltungsaufwand für die Mitgliedstaaten zu verringern, die sich ständig an den sich wandelnden Bedarf anpassen, Übertragungen zwischen thematischen Zielen innerhalb derselben Priorität und innerhalb eines Fonds und einer Regionenkategorie möglich sein, ohne dass hierfür ein Kommissionsbeschluss zur Änderung des Programms notwendig ist. Darüber hinaus wird vorgeschlagen, die Obergrenze für die Flexibilität zwischen den Prioritäten für die Berechnung der Restzahlung des Beitrags aus den Fonds anzuheben. Für Prioritäten zur Förderung der sozioökonomischen Integration von Drittstaatsangehörigen, einschließlich für Vorhaben zur Bewältigung von Migrationsherausforderungen infolge der militärischen Aggression der Russischen Föderation, sollte zudem in beiden Programmplanungszeiträumen die Möglichkeit einer Kofinanzierung von bis zu </w:t>
      </w:r>
      <w:r w:rsidRPr="002C6368">
        <w:rPr>
          <w:noProof/>
        </w:rPr>
        <w:t>100</w:t>
      </w:r>
      <w:r w:rsidRPr="009F566E">
        <w:rPr>
          <w:noProof/>
        </w:rPr>
        <w:t> % eingeführt werden, um den Mitgliedstaaten zu helfen, die Vertriebenen jetzt und künftig zu unterstützen.</w:t>
      </w:r>
    </w:p>
    <w:p w14:paraId="12D33020" w14:textId="77777777" w:rsidR="00944661" w:rsidRPr="009F566E" w:rsidRDefault="00143278" w:rsidP="00944661">
      <w:pPr>
        <w:pBdr>
          <w:top w:val="nil"/>
          <w:left w:val="nil"/>
          <w:bottom w:val="nil"/>
          <w:right w:val="nil"/>
          <w:between w:val="nil"/>
          <w:bar w:val="nil"/>
        </w:pBdr>
        <w:spacing w:before="0" w:after="240"/>
        <w:rPr>
          <w:noProof/>
        </w:rPr>
      </w:pPr>
      <w:r w:rsidRPr="009F566E">
        <w:rPr>
          <w:noProof/>
        </w:rPr>
        <w:t xml:space="preserve">Um den einfacheren Bedingungen für die stufenweise Durchführung von Projekten über beide Programmplanungszeiträume Rechnung zu tragen, müssen auch gezielte Flexibilitätsregelungen für den Programmplanungszeitraum </w:t>
      </w:r>
      <w:r w:rsidRPr="002C6368">
        <w:rPr>
          <w:noProof/>
        </w:rPr>
        <w:t>2021</w:t>
      </w:r>
      <w:r w:rsidRPr="009F566E">
        <w:rPr>
          <w:noProof/>
        </w:rPr>
        <w:t>-</w:t>
      </w:r>
      <w:r w:rsidRPr="002C6368">
        <w:rPr>
          <w:noProof/>
        </w:rPr>
        <w:t>2027</w:t>
      </w:r>
      <w:r w:rsidRPr="009F566E">
        <w:rPr>
          <w:noProof/>
        </w:rPr>
        <w:t xml:space="preserve"> eingeführt werden.</w:t>
      </w:r>
    </w:p>
    <w:p w14:paraId="4AE9F2EC" w14:textId="77777777" w:rsidR="00A17F91" w:rsidRPr="009F566E" w:rsidRDefault="00A17F91" w:rsidP="00944661">
      <w:pPr>
        <w:pBdr>
          <w:top w:val="nil"/>
          <w:left w:val="nil"/>
          <w:bottom w:val="nil"/>
          <w:right w:val="nil"/>
          <w:between w:val="nil"/>
          <w:bar w:val="nil"/>
        </w:pBdr>
        <w:spacing w:before="0" w:after="240"/>
        <w:rPr>
          <w:noProof/>
        </w:rPr>
      </w:pPr>
      <w:r w:rsidRPr="009F566E">
        <w:rPr>
          <w:noProof/>
        </w:rPr>
        <w:t xml:space="preserve">Um alle Mitgliedstaaten bei der Bewältigung der Auswirkungen des Krieges mithilfe ihrer Programme für den Zeitraum </w:t>
      </w:r>
      <w:r w:rsidRPr="002C6368">
        <w:rPr>
          <w:noProof/>
        </w:rPr>
        <w:t>2021</w:t>
      </w:r>
      <w:r w:rsidRPr="009F566E">
        <w:rPr>
          <w:noProof/>
        </w:rPr>
        <w:t>-</w:t>
      </w:r>
      <w:r w:rsidRPr="002C6368">
        <w:rPr>
          <w:noProof/>
        </w:rPr>
        <w:t>2027</w:t>
      </w:r>
      <w:r w:rsidRPr="009F566E">
        <w:rPr>
          <w:noProof/>
        </w:rPr>
        <w:t xml:space="preserve"> zu unterstützen, sollte die Unterstützung aus dem EFRE, dem ESF+ und dem Kohäsionsfonds im Rahmen des Ziels „Investitionen in Beschäftigung und Wachstum“ rasch mobilisiert werden, indem der Vorfinanzierungssatz erhöht wird.</w:t>
      </w:r>
    </w:p>
    <w:p w14:paraId="0C192F07" w14:textId="1A1F8D3B" w:rsidR="00A17F91" w:rsidRPr="009F566E" w:rsidRDefault="00A17F91" w:rsidP="00A17F91">
      <w:pPr>
        <w:pBdr>
          <w:top w:val="nil"/>
          <w:left w:val="nil"/>
          <w:bottom w:val="nil"/>
          <w:right w:val="nil"/>
          <w:between w:val="nil"/>
          <w:bar w:val="nil"/>
        </w:pBdr>
        <w:spacing w:before="0" w:after="240"/>
        <w:rPr>
          <w:noProof/>
        </w:rPr>
      </w:pPr>
      <w:r w:rsidRPr="009F566E">
        <w:rPr>
          <w:noProof/>
        </w:rPr>
        <w:t xml:space="preserve">Außerdem sollte ein Kofinanzierungssatz von bis zu </w:t>
      </w:r>
      <w:r w:rsidRPr="002C6368">
        <w:rPr>
          <w:noProof/>
        </w:rPr>
        <w:t>100</w:t>
      </w:r>
      <w:r w:rsidRPr="009F566E">
        <w:rPr>
          <w:noProof/>
        </w:rPr>
        <w:t xml:space="preserve"> % für Prioritäten zur Förderung der sozioökonomischen Integration von Drittstaatsangehörigen aus den Programmen </w:t>
      </w:r>
      <w:r w:rsidRPr="002C6368">
        <w:rPr>
          <w:noProof/>
        </w:rPr>
        <w:t>2021</w:t>
      </w:r>
      <w:r w:rsidRPr="009F566E">
        <w:rPr>
          <w:noProof/>
        </w:rPr>
        <w:t>-</w:t>
      </w:r>
      <w:r w:rsidRPr="002C6368">
        <w:rPr>
          <w:noProof/>
        </w:rPr>
        <w:t>2027</w:t>
      </w:r>
      <w:r w:rsidRPr="009F566E">
        <w:rPr>
          <w:noProof/>
        </w:rPr>
        <w:t xml:space="preserve"> bis Mitte </w:t>
      </w:r>
      <w:r w:rsidRPr="002C6368">
        <w:rPr>
          <w:noProof/>
        </w:rPr>
        <w:t>2024</w:t>
      </w:r>
      <w:r w:rsidRPr="009F566E">
        <w:rPr>
          <w:noProof/>
        </w:rPr>
        <w:t xml:space="preserve"> eingeführt und dann daraufhin überprüft werden, wie er genutzt wurde. </w:t>
      </w:r>
    </w:p>
    <w:p w14:paraId="3D2DCEE6" w14:textId="77777777" w:rsidR="00944661" w:rsidRPr="009F566E" w:rsidRDefault="00A17F91" w:rsidP="00944661">
      <w:pPr>
        <w:pBdr>
          <w:top w:val="nil"/>
          <w:left w:val="nil"/>
          <w:bottom w:val="nil"/>
          <w:right w:val="nil"/>
          <w:between w:val="nil"/>
          <w:bar w:val="nil"/>
        </w:pBdr>
        <w:spacing w:before="0" w:after="240"/>
        <w:rPr>
          <w:noProof/>
        </w:rPr>
      </w:pPr>
      <w:r w:rsidRPr="009F566E">
        <w:rPr>
          <w:noProof/>
        </w:rPr>
        <w:t xml:space="preserve">Schließlich sollte die Obergrenze für die Möglichkeit, Vorhaben der Programme des Programmplanungszeitraums </w:t>
      </w:r>
      <w:r w:rsidRPr="002C6368">
        <w:rPr>
          <w:noProof/>
        </w:rPr>
        <w:t>2014</w:t>
      </w:r>
      <w:r w:rsidRPr="009F566E">
        <w:rPr>
          <w:noProof/>
        </w:rPr>
        <w:t>-</w:t>
      </w:r>
      <w:r w:rsidRPr="002C6368">
        <w:rPr>
          <w:noProof/>
        </w:rPr>
        <w:t>2020</w:t>
      </w:r>
      <w:r w:rsidRPr="009F566E">
        <w:rPr>
          <w:noProof/>
        </w:rPr>
        <w:t xml:space="preserve"> im Rahmen der Programme des Zeitraums </w:t>
      </w:r>
      <w:r w:rsidRPr="002C6368">
        <w:rPr>
          <w:noProof/>
        </w:rPr>
        <w:t>2021</w:t>
      </w:r>
      <w:r w:rsidRPr="009F566E">
        <w:rPr>
          <w:noProof/>
        </w:rPr>
        <w:t>-</w:t>
      </w:r>
      <w:r w:rsidRPr="002C6368">
        <w:rPr>
          <w:noProof/>
        </w:rPr>
        <w:t>2027</w:t>
      </w:r>
      <w:r w:rsidRPr="009F566E">
        <w:rPr>
          <w:noProof/>
        </w:rPr>
        <w:t xml:space="preserve"> weiterzuführen, gesenkt werden, damit mehr Vorhaben, bei denen Verzögerungen auftreten, diese Möglichkeit in Anspruch nehmen können. Darüber hinaus sollte die zweite Phase von Vorhaben im Rahmen der Programme </w:t>
      </w:r>
      <w:r w:rsidRPr="002C6368">
        <w:rPr>
          <w:noProof/>
        </w:rPr>
        <w:t>2021</w:t>
      </w:r>
      <w:r w:rsidRPr="009F566E">
        <w:rPr>
          <w:noProof/>
        </w:rPr>
        <w:t>-</w:t>
      </w:r>
      <w:r w:rsidRPr="002C6368">
        <w:rPr>
          <w:noProof/>
        </w:rPr>
        <w:t>2027</w:t>
      </w:r>
      <w:r w:rsidRPr="009F566E">
        <w:rPr>
          <w:noProof/>
        </w:rPr>
        <w:t xml:space="preserve"> im Einklang mit den Vorschriften für den Zeitraum </w:t>
      </w:r>
      <w:r w:rsidRPr="002C6368">
        <w:rPr>
          <w:noProof/>
        </w:rPr>
        <w:t>2014</w:t>
      </w:r>
      <w:r w:rsidRPr="009F566E">
        <w:rPr>
          <w:noProof/>
        </w:rPr>
        <w:t>-</w:t>
      </w:r>
      <w:r w:rsidRPr="002C6368">
        <w:rPr>
          <w:noProof/>
        </w:rPr>
        <w:t>2020</w:t>
      </w:r>
      <w:r w:rsidRPr="009F566E">
        <w:rPr>
          <w:noProof/>
        </w:rPr>
        <w:t xml:space="preserve"> förderfähig gemacht werden, und die Verwaltungsbehörden sollten die Möglichkeit erhalten, solchen Vorhaben unmittelbare Unterstützung zu gewähren, vorausgesetzt, eine begrenzte Zahl von wesentlichen Bedingungen ist erfüllt. Eine solche Flexibilität in Bezug auf die stufenweise Durchführung von Vorhaben berührt nicht die Verpflichtung der Mitgliedstaaten, die Anforderungen an die thematische Konzentration und die Klimaschutzbeiträge einzuhalten.</w:t>
      </w:r>
    </w:p>
    <w:p w14:paraId="21671F9A" w14:textId="77777777" w:rsidR="00C1332E" w:rsidRPr="009F566E" w:rsidRDefault="00586D7D">
      <w:pPr>
        <w:pStyle w:val="ManualHeading2"/>
        <w:rPr>
          <w:rFonts w:eastAsia="Arial Unicode MS"/>
          <w:noProof/>
          <w:color w:val="000000"/>
          <w:u w:color="000000"/>
          <w:bdr w:val="nil"/>
        </w:rPr>
      </w:pPr>
      <w:r w:rsidRPr="009F566E">
        <w:rPr>
          <w:noProof/>
          <w:color w:val="000000"/>
          <w:u w:color="000000"/>
          <w:bdr w:val="nil"/>
        </w:rPr>
        <w:t>•</w:t>
      </w:r>
      <w:r w:rsidRPr="009F566E">
        <w:rPr>
          <w:noProof/>
        </w:rPr>
        <w:tab/>
        <w:t>Kohärenz mit den bestehenden Vorschriften in diesem Bereich</w:t>
      </w:r>
    </w:p>
    <w:p w14:paraId="0C342CD1" w14:textId="77777777" w:rsidR="00C1332E" w:rsidRPr="009F566E" w:rsidRDefault="00107C7D">
      <w:pPr>
        <w:pBdr>
          <w:top w:val="nil"/>
          <w:left w:val="nil"/>
          <w:bottom w:val="nil"/>
          <w:right w:val="nil"/>
          <w:between w:val="nil"/>
          <w:bar w:val="nil"/>
        </w:pBdr>
        <w:spacing w:before="0" w:after="240"/>
        <w:rPr>
          <w:noProof/>
        </w:rPr>
      </w:pPr>
      <w:r w:rsidRPr="009F566E">
        <w:rPr>
          <w:noProof/>
        </w:rPr>
        <w:t>Der Vorschlag steht im Einklang mit dem allgemeinen Rechtsrahmen für die europäischen Struktur- und Investitionsfonds (ESI-Fonds) und die Kohäsionspolitik und beschränkt sich auf gezielte und außerordentliche Änderungen der Verordnung (EU) Nr. </w:t>
      </w:r>
      <w:r w:rsidRPr="002C6368">
        <w:rPr>
          <w:noProof/>
        </w:rPr>
        <w:t>1303</w:t>
      </w:r>
      <w:r w:rsidRPr="009F566E">
        <w:rPr>
          <w:noProof/>
        </w:rPr>
        <w:t>/</w:t>
      </w:r>
      <w:r w:rsidRPr="002C6368">
        <w:rPr>
          <w:noProof/>
        </w:rPr>
        <w:t>2013</w:t>
      </w:r>
      <w:r w:rsidRPr="009F566E">
        <w:rPr>
          <w:noProof/>
        </w:rPr>
        <w:t xml:space="preserve"> und der Verordnung (EU) Nr. </w:t>
      </w:r>
      <w:r w:rsidRPr="002C6368">
        <w:rPr>
          <w:noProof/>
        </w:rPr>
        <w:t>2021</w:t>
      </w:r>
      <w:r w:rsidRPr="009F566E">
        <w:rPr>
          <w:noProof/>
        </w:rPr>
        <w:t>/</w:t>
      </w:r>
      <w:r w:rsidRPr="002C6368">
        <w:rPr>
          <w:noProof/>
        </w:rPr>
        <w:t>1060</w:t>
      </w:r>
      <w:r w:rsidRPr="009F566E">
        <w:rPr>
          <w:noProof/>
        </w:rPr>
        <w:t>. Der Vorschlag ergänzt darüber hinaus die vorhergehenden Änderungen der Verordnung (EU) Nr. </w:t>
      </w:r>
      <w:r w:rsidRPr="002C6368">
        <w:rPr>
          <w:noProof/>
        </w:rPr>
        <w:t>1303</w:t>
      </w:r>
      <w:r w:rsidRPr="009F566E">
        <w:rPr>
          <w:noProof/>
        </w:rPr>
        <w:t>/</w:t>
      </w:r>
      <w:r w:rsidRPr="002C6368">
        <w:rPr>
          <w:noProof/>
        </w:rPr>
        <w:t>2013</w:t>
      </w:r>
      <w:r w:rsidRPr="009F566E">
        <w:rPr>
          <w:noProof/>
        </w:rPr>
        <w:t xml:space="preserve"> durch die Änderungsverordnungen vom </w:t>
      </w:r>
      <w:r w:rsidRPr="002C6368">
        <w:rPr>
          <w:noProof/>
        </w:rPr>
        <w:t>6</w:t>
      </w:r>
      <w:r w:rsidRPr="009F566E">
        <w:rPr>
          <w:noProof/>
        </w:rPr>
        <w:t xml:space="preserve">. April </w:t>
      </w:r>
      <w:r w:rsidRPr="002C6368">
        <w:rPr>
          <w:noProof/>
        </w:rPr>
        <w:t>2022</w:t>
      </w:r>
      <w:r w:rsidRPr="009F566E">
        <w:rPr>
          <w:noProof/>
        </w:rPr>
        <w:t xml:space="preserve"> und vom </w:t>
      </w:r>
      <w:r w:rsidRPr="002C6368">
        <w:rPr>
          <w:noProof/>
        </w:rPr>
        <w:t>12</w:t>
      </w:r>
      <w:r w:rsidRPr="009F566E">
        <w:rPr>
          <w:noProof/>
        </w:rPr>
        <w:t xml:space="preserve">. April </w:t>
      </w:r>
      <w:r w:rsidRPr="002C6368">
        <w:rPr>
          <w:noProof/>
        </w:rPr>
        <w:t>2022</w:t>
      </w:r>
      <w:r w:rsidRPr="009F566E">
        <w:rPr>
          <w:noProof/>
        </w:rPr>
        <w:t xml:space="preserve"> sowie alle anderen Maßnahmen zur Bewältigung der derzeitigen beispiellosen Situation.</w:t>
      </w:r>
    </w:p>
    <w:p w14:paraId="48A8078C" w14:textId="77777777" w:rsidR="00C1332E" w:rsidRPr="009F566E" w:rsidRDefault="00586D7D">
      <w:pPr>
        <w:pStyle w:val="ManualHeading2"/>
        <w:rPr>
          <w:rFonts w:eastAsia="Arial Unicode MS"/>
          <w:noProof/>
        </w:rPr>
      </w:pPr>
      <w:r w:rsidRPr="009F566E">
        <w:rPr>
          <w:noProof/>
          <w:color w:val="000000"/>
          <w:u w:color="000000"/>
          <w:bdr w:val="nil"/>
        </w:rPr>
        <w:t>•</w:t>
      </w:r>
      <w:r w:rsidRPr="009F566E">
        <w:rPr>
          <w:noProof/>
        </w:rPr>
        <w:tab/>
        <w:t>Kohärenz mit der Politik der Union in anderen Bereichen</w:t>
      </w:r>
    </w:p>
    <w:p w14:paraId="7136537B" w14:textId="77777777" w:rsidR="00C1332E" w:rsidRPr="009F566E" w:rsidRDefault="00107C7D">
      <w:pPr>
        <w:pBdr>
          <w:top w:val="nil"/>
          <w:left w:val="nil"/>
          <w:bottom w:val="nil"/>
          <w:right w:val="nil"/>
          <w:between w:val="nil"/>
          <w:bar w:val="nil"/>
        </w:pBdr>
        <w:spacing w:before="0" w:after="240"/>
        <w:rPr>
          <w:noProof/>
        </w:rPr>
      </w:pPr>
      <w:r w:rsidRPr="009F566E">
        <w:rPr>
          <w:noProof/>
        </w:rPr>
        <w:t>Der Vorschlag beschränkt sich auf gezielte und außerordentliche Änderungen der Verordnung (EU) Nr. </w:t>
      </w:r>
      <w:r w:rsidRPr="002C6368">
        <w:rPr>
          <w:noProof/>
        </w:rPr>
        <w:t>1303</w:t>
      </w:r>
      <w:r w:rsidRPr="009F566E">
        <w:rPr>
          <w:noProof/>
        </w:rPr>
        <w:t>/</w:t>
      </w:r>
      <w:r w:rsidRPr="002C6368">
        <w:rPr>
          <w:noProof/>
        </w:rPr>
        <w:t>2013</w:t>
      </w:r>
      <w:r w:rsidRPr="009F566E">
        <w:rPr>
          <w:noProof/>
        </w:rPr>
        <w:t xml:space="preserve"> und der Verordnung (EU) Nr. </w:t>
      </w:r>
      <w:r w:rsidRPr="002C6368">
        <w:rPr>
          <w:noProof/>
        </w:rPr>
        <w:t>2021</w:t>
      </w:r>
      <w:r w:rsidRPr="009F566E">
        <w:rPr>
          <w:noProof/>
        </w:rPr>
        <w:t>/</w:t>
      </w:r>
      <w:r w:rsidRPr="002C6368">
        <w:rPr>
          <w:noProof/>
        </w:rPr>
        <w:t>1060</w:t>
      </w:r>
      <w:r w:rsidRPr="009F566E">
        <w:rPr>
          <w:noProof/>
        </w:rPr>
        <w:t xml:space="preserve"> und steht im Einklang mit der Politik der Union in anderen Bereichen.</w:t>
      </w:r>
    </w:p>
    <w:p w14:paraId="4C2D9CC7" w14:textId="77777777" w:rsidR="00C1332E" w:rsidRPr="009F566E" w:rsidRDefault="00586D7D">
      <w:pPr>
        <w:pStyle w:val="ManualHeading1"/>
        <w:rPr>
          <w:noProof/>
        </w:rPr>
      </w:pPr>
      <w:r w:rsidRPr="002C6368">
        <w:rPr>
          <w:noProof/>
        </w:rPr>
        <w:t>2</w:t>
      </w:r>
      <w:r w:rsidRPr="009F566E">
        <w:rPr>
          <w:noProof/>
        </w:rPr>
        <w:t>.</w:t>
      </w:r>
      <w:r w:rsidRPr="009F566E">
        <w:rPr>
          <w:noProof/>
        </w:rPr>
        <w:tab/>
        <w:t>RECHTSGRUNDLAGE, SUBSIDIARITÄT UND VERHÄLTNISMÄẞIGKEIT</w:t>
      </w:r>
    </w:p>
    <w:p w14:paraId="0CE46B51"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Rechtsgrundlage</w:t>
      </w:r>
    </w:p>
    <w:p w14:paraId="31F5C0EB" w14:textId="77777777" w:rsidR="00C1332E" w:rsidRPr="009F566E" w:rsidRDefault="00586D7D">
      <w:pPr>
        <w:pBdr>
          <w:top w:val="nil"/>
          <w:left w:val="nil"/>
          <w:bottom w:val="nil"/>
          <w:right w:val="nil"/>
          <w:between w:val="nil"/>
          <w:bar w:val="nil"/>
        </w:pBdr>
        <w:spacing w:before="0" w:after="240"/>
        <w:rPr>
          <w:noProof/>
        </w:rPr>
      </w:pPr>
      <w:r w:rsidRPr="009F566E">
        <w:rPr>
          <w:noProof/>
        </w:rPr>
        <w:t>Rechtsgrundlage des Vorschlags ist Artikel </w:t>
      </w:r>
      <w:r w:rsidRPr="002C6368">
        <w:rPr>
          <w:noProof/>
        </w:rPr>
        <w:t>177</w:t>
      </w:r>
      <w:r w:rsidRPr="009F566E">
        <w:rPr>
          <w:noProof/>
        </w:rPr>
        <w:t xml:space="preserve"> des Vertrags über die Arbeitsweise der Europäischen Union. </w:t>
      </w:r>
    </w:p>
    <w:p w14:paraId="3BF6BD94"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 xml:space="preserve">Subsidiarität (bei nicht ausschließlicher Zuständigkeit) </w:t>
      </w:r>
    </w:p>
    <w:p w14:paraId="03D3B82D" w14:textId="2ECB1A95" w:rsidR="00E02C73" w:rsidRPr="009F566E" w:rsidRDefault="00107C7D" w:rsidP="00E02C73">
      <w:pPr>
        <w:pBdr>
          <w:top w:val="nil"/>
          <w:left w:val="nil"/>
          <w:bottom w:val="nil"/>
          <w:right w:val="nil"/>
          <w:between w:val="nil"/>
          <w:bar w:val="nil"/>
        </w:pBdr>
        <w:spacing w:before="0" w:after="240"/>
        <w:rPr>
          <w:noProof/>
        </w:rPr>
      </w:pPr>
      <w:r w:rsidRPr="009F566E">
        <w:rPr>
          <w:noProof/>
        </w:rPr>
        <w:t xml:space="preserve">Der Vorschlag ändert bestehende EU-Rechtsvorschriften und zielt darauf ab, die Verwendung der kohäsionspolitischen Mittel durch die Mitgliedstaaten und Regionen zu erleichtern und ihnen mehr Flexibilität zu bieten, um Maßnahmen zur Bewältigung der Migrationsherausforderungen infolge der militärischen Aggression Russlands im Rahmen der Programme sowohl des Programmzeitraums </w:t>
      </w:r>
      <w:r w:rsidRPr="002C6368">
        <w:rPr>
          <w:noProof/>
        </w:rPr>
        <w:t>2014</w:t>
      </w:r>
      <w:r w:rsidRPr="009F566E">
        <w:rPr>
          <w:noProof/>
        </w:rPr>
        <w:t>-</w:t>
      </w:r>
      <w:r w:rsidRPr="002C6368">
        <w:rPr>
          <w:noProof/>
        </w:rPr>
        <w:t>2020</w:t>
      </w:r>
      <w:r w:rsidRPr="009F566E">
        <w:rPr>
          <w:noProof/>
        </w:rPr>
        <w:t xml:space="preserve"> als auch des Zeitraums </w:t>
      </w:r>
      <w:r w:rsidRPr="002C6368">
        <w:rPr>
          <w:noProof/>
        </w:rPr>
        <w:t>2021</w:t>
      </w:r>
      <w:r w:rsidRPr="009F566E">
        <w:rPr>
          <w:noProof/>
        </w:rPr>
        <w:t>-</w:t>
      </w:r>
      <w:r w:rsidRPr="002C6368">
        <w:rPr>
          <w:noProof/>
        </w:rPr>
        <w:t>2027</w:t>
      </w:r>
      <w:r w:rsidRPr="009F566E">
        <w:rPr>
          <w:noProof/>
        </w:rPr>
        <w:t xml:space="preserve"> zu unterstützen. Diese Herausforderungen können von den Mitgliedstaaten nicht alleine bewältigt werden und sind daher besser auf Unionsebene anzugehen. </w:t>
      </w:r>
    </w:p>
    <w:p w14:paraId="6C4D4EEB"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Verhältnismäßigkeit</w:t>
      </w:r>
    </w:p>
    <w:p w14:paraId="6CD96C87" w14:textId="77777777" w:rsidR="000A6742" w:rsidRPr="009F566E" w:rsidRDefault="00107C7D" w:rsidP="000A6742">
      <w:pPr>
        <w:pBdr>
          <w:top w:val="nil"/>
          <w:left w:val="nil"/>
          <w:bottom w:val="nil"/>
          <w:right w:val="nil"/>
          <w:between w:val="nil"/>
          <w:bar w:val="nil"/>
        </w:pBdr>
        <w:spacing w:before="0" w:after="240"/>
        <w:rPr>
          <w:noProof/>
        </w:rPr>
      </w:pPr>
      <w:r w:rsidRPr="009F566E">
        <w:rPr>
          <w:noProof/>
        </w:rPr>
        <w:t xml:space="preserve">Der Vorschlag ist auf das erforderliche Maß beschränkt und zielt darauf ab, zu gewährleisten, dass mit allen im Rahmen der Kohäsionspolitik verfügbaren Mitteln Maßnahmen zur Bewältigung der Migrationsherausforderungen infolge der militärischen Aggression Russlands unterstützt werden können. Die vorgeschlagenen Flexibilitätsregelungen gehen nicht über das hinaus, was erforderlich ist, um die Mittel der ESI-Fonds-Programme </w:t>
      </w:r>
      <w:r w:rsidRPr="002C6368">
        <w:rPr>
          <w:noProof/>
        </w:rPr>
        <w:t>2014</w:t>
      </w:r>
      <w:r w:rsidRPr="009F566E">
        <w:rPr>
          <w:noProof/>
        </w:rPr>
        <w:t>-</w:t>
      </w:r>
      <w:r w:rsidRPr="002C6368">
        <w:rPr>
          <w:noProof/>
        </w:rPr>
        <w:t>2020</w:t>
      </w:r>
      <w:r w:rsidRPr="009F566E">
        <w:rPr>
          <w:noProof/>
        </w:rPr>
        <w:t xml:space="preserve"> voll auszuschöpfen und einen reibungsloseren Übergang von Projekten zu den Programmen des Programmplanungszeitraums </w:t>
      </w:r>
      <w:r w:rsidRPr="002C6368">
        <w:rPr>
          <w:noProof/>
        </w:rPr>
        <w:t>2021</w:t>
      </w:r>
      <w:r w:rsidRPr="009F566E">
        <w:rPr>
          <w:noProof/>
        </w:rPr>
        <w:t>-</w:t>
      </w:r>
      <w:r w:rsidRPr="002C6368">
        <w:rPr>
          <w:noProof/>
        </w:rPr>
        <w:t>2027</w:t>
      </w:r>
      <w:r w:rsidRPr="009F566E">
        <w:rPr>
          <w:noProof/>
        </w:rPr>
        <w:t xml:space="preserve"> zu ermöglichen.</w:t>
      </w:r>
    </w:p>
    <w:p w14:paraId="6C256B41"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Wahl des Instruments</w:t>
      </w:r>
    </w:p>
    <w:p w14:paraId="72909253" w14:textId="77777777" w:rsidR="00676147" w:rsidRPr="009F566E" w:rsidRDefault="00107C7D" w:rsidP="00676147">
      <w:pPr>
        <w:pBdr>
          <w:top w:val="nil"/>
          <w:left w:val="nil"/>
          <w:bottom w:val="nil"/>
          <w:right w:val="nil"/>
          <w:between w:val="nil"/>
          <w:bar w:val="nil"/>
        </w:pBdr>
        <w:spacing w:before="0" w:after="240"/>
        <w:rPr>
          <w:noProof/>
        </w:rPr>
      </w:pPr>
      <w:r w:rsidRPr="009F566E">
        <w:rPr>
          <w:noProof/>
        </w:rPr>
        <w:t>Eine Verordnung zur Änderung bestehender Verordnungen ist das geeignete Instrument, um die Nutzung der Kohäsionspolitik und deren Mittel zur Unterstützung von Maßnahmen zur Bewältigung der Migrationsherausforderungen infolge der militärischen Aggression Russlands zu erleichtern und die Möglichkeit der zeitlichen Staffelung von Vorhaben mit geringeren Gesamtkosten, die aufgrund dieser beispiellosen Umstände erforderlich wird, zu erweitern.</w:t>
      </w:r>
    </w:p>
    <w:p w14:paraId="2F4A61C8" w14:textId="77777777" w:rsidR="00C1332E" w:rsidRPr="009F566E" w:rsidRDefault="00586D7D">
      <w:pPr>
        <w:pStyle w:val="ManualHeading1"/>
        <w:rPr>
          <w:noProof/>
        </w:rPr>
      </w:pPr>
      <w:r w:rsidRPr="002C6368">
        <w:rPr>
          <w:noProof/>
        </w:rPr>
        <w:t>3</w:t>
      </w:r>
      <w:r w:rsidRPr="009F566E">
        <w:rPr>
          <w:noProof/>
        </w:rPr>
        <w:t>.</w:t>
      </w:r>
      <w:r w:rsidRPr="009F566E">
        <w:rPr>
          <w:noProof/>
        </w:rPr>
        <w:tab/>
        <w:t>ERGEBNISSE DER EX-POST-BEWERTUNG, DER KONSULTATION DER INTERESSENTRÄGER UND DER FOLGENABSCHÄTZUNG</w:t>
      </w:r>
    </w:p>
    <w:p w14:paraId="5395F139"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Ex-post-Bewertung/Eignungsprüfungen bestehender Rechtsvorschriften</w:t>
      </w:r>
    </w:p>
    <w:p w14:paraId="3A54010F" w14:textId="77777777" w:rsidR="00C1332E" w:rsidRPr="009F566E" w:rsidRDefault="00586D7D">
      <w:pPr>
        <w:pBdr>
          <w:top w:val="nil"/>
          <w:left w:val="nil"/>
          <w:bottom w:val="nil"/>
          <w:right w:val="nil"/>
          <w:between w:val="nil"/>
          <w:bar w:val="nil"/>
        </w:pBdr>
        <w:spacing w:before="0" w:after="240"/>
        <w:rPr>
          <w:noProof/>
        </w:rPr>
      </w:pPr>
      <w:r w:rsidRPr="009F566E">
        <w:rPr>
          <w:noProof/>
        </w:rPr>
        <w:t>Nicht zutreffend</w:t>
      </w:r>
    </w:p>
    <w:p w14:paraId="43B95EC3"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Konsultation der Interessenträger</w:t>
      </w:r>
    </w:p>
    <w:p w14:paraId="39752F2A" w14:textId="77777777" w:rsidR="00C1332E" w:rsidRPr="009F566E" w:rsidRDefault="00107C7D">
      <w:pPr>
        <w:pBdr>
          <w:top w:val="nil"/>
          <w:left w:val="nil"/>
          <w:bottom w:val="nil"/>
          <w:right w:val="nil"/>
          <w:between w:val="nil"/>
          <w:bar w:val="nil"/>
        </w:pBdr>
        <w:spacing w:before="0" w:after="240"/>
        <w:rPr>
          <w:noProof/>
        </w:rPr>
      </w:pPr>
      <w:r w:rsidRPr="009F566E">
        <w:rPr>
          <w:noProof/>
        </w:rPr>
        <w:t>Der Vorschlag beruht auf einem Austausch auf hoher Ebene mit anderen Organen und Mitgliedstaaten. Eine öffentliche Konsultation ist nicht erforderlich, da keine Folgenabschätzung notwendig ist.</w:t>
      </w:r>
    </w:p>
    <w:p w14:paraId="5F9F2D4E"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Einholung und Nutzung von Expertenwissen</w:t>
      </w:r>
    </w:p>
    <w:p w14:paraId="7899FB60" w14:textId="77777777" w:rsidR="00C1332E" w:rsidRPr="009F566E" w:rsidRDefault="00586D7D">
      <w:pPr>
        <w:rPr>
          <w:noProof/>
        </w:rPr>
      </w:pPr>
      <w:r w:rsidRPr="009F566E">
        <w:rPr>
          <w:noProof/>
        </w:rPr>
        <w:t>Nicht zutreffend</w:t>
      </w:r>
    </w:p>
    <w:p w14:paraId="464D7D3F"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Folgenabschätzung</w:t>
      </w:r>
    </w:p>
    <w:p w14:paraId="25CABEF8" w14:textId="77777777" w:rsidR="00C1332E" w:rsidRPr="009F566E" w:rsidRDefault="00107C7D">
      <w:pPr>
        <w:pBdr>
          <w:top w:val="nil"/>
          <w:left w:val="nil"/>
          <w:bottom w:val="nil"/>
          <w:right w:val="nil"/>
          <w:between w:val="nil"/>
          <w:bar w:val="nil"/>
        </w:pBdr>
        <w:spacing w:before="0" w:after="240"/>
        <w:rPr>
          <w:noProof/>
        </w:rPr>
      </w:pPr>
      <w:r w:rsidRPr="009F566E">
        <w:rPr>
          <w:noProof/>
        </w:rPr>
        <w:t>Zur Ausarbeitung der Vorschläge für die Verordnung (EU) Nr. </w:t>
      </w:r>
      <w:r w:rsidRPr="002C6368">
        <w:rPr>
          <w:noProof/>
        </w:rPr>
        <w:t>1303</w:t>
      </w:r>
      <w:r w:rsidRPr="009F566E">
        <w:rPr>
          <w:noProof/>
        </w:rPr>
        <w:t>/</w:t>
      </w:r>
      <w:r w:rsidRPr="002C6368">
        <w:rPr>
          <w:noProof/>
        </w:rPr>
        <w:t>2013</w:t>
      </w:r>
      <w:r w:rsidRPr="009F566E">
        <w:rPr>
          <w:noProof/>
        </w:rPr>
        <w:t xml:space="preserve"> und die Verordnung (EU) Nr. </w:t>
      </w:r>
      <w:r w:rsidRPr="002C6368">
        <w:rPr>
          <w:noProof/>
        </w:rPr>
        <w:t>2021</w:t>
      </w:r>
      <w:r w:rsidRPr="009F566E">
        <w:rPr>
          <w:noProof/>
        </w:rPr>
        <w:t>/</w:t>
      </w:r>
      <w:r w:rsidRPr="002C6368">
        <w:rPr>
          <w:noProof/>
        </w:rPr>
        <w:t>1060</w:t>
      </w:r>
      <w:r w:rsidRPr="009F566E">
        <w:rPr>
          <w:noProof/>
        </w:rPr>
        <w:t xml:space="preserve"> wurden Folgenabschätzungen vorgenommen. Die vorliegende gezielte Änderung, mit der auf eine kritische Situation reagiert werden soll, erfordert keine gesonderte Folgenabschätzung.</w:t>
      </w:r>
    </w:p>
    <w:p w14:paraId="6E0CE4D7"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Effizienz der Rechtsetzung und Vereinfachung</w:t>
      </w:r>
    </w:p>
    <w:p w14:paraId="7FB40782" w14:textId="77777777" w:rsidR="00C1332E" w:rsidRPr="009F566E" w:rsidRDefault="00586D7D">
      <w:pPr>
        <w:rPr>
          <w:noProof/>
        </w:rPr>
      </w:pPr>
      <w:r w:rsidRPr="009F566E">
        <w:rPr>
          <w:noProof/>
        </w:rPr>
        <w:t>Nicht zutreffend</w:t>
      </w:r>
    </w:p>
    <w:p w14:paraId="38910CB9"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Grundrechte</w:t>
      </w:r>
    </w:p>
    <w:p w14:paraId="2FA1F0D8" w14:textId="77777777" w:rsidR="00C1332E" w:rsidRPr="009F566E" w:rsidRDefault="00586D7D">
      <w:pPr>
        <w:rPr>
          <w:noProof/>
        </w:rPr>
      </w:pPr>
      <w:r w:rsidRPr="009F566E">
        <w:rPr>
          <w:noProof/>
        </w:rPr>
        <w:t>Nicht zutreffend</w:t>
      </w:r>
    </w:p>
    <w:p w14:paraId="72A16DED" w14:textId="77777777" w:rsidR="00C1332E" w:rsidRPr="009F566E" w:rsidRDefault="00586D7D">
      <w:pPr>
        <w:pStyle w:val="ManualHeading1"/>
        <w:rPr>
          <w:noProof/>
        </w:rPr>
      </w:pPr>
      <w:r w:rsidRPr="002C6368">
        <w:rPr>
          <w:noProof/>
        </w:rPr>
        <w:t>4</w:t>
      </w:r>
      <w:r w:rsidRPr="009F566E">
        <w:rPr>
          <w:noProof/>
        </w:rPr>
        <w:t>.</w:t>
      </w:r>
      <w:r w:rsidRPr="009F566E">
        <w:rPr>
          <w:noProof/>
        </w:rPr>
        <w:tab/>
        <w:t>AUSWIRKUNGEN AUF DEN HAUSHALT</w:t>
      </w:r>
    </w:p>
    <w:p w14:paraId="360306AC" w14:textId="77777777" w:rsidR="00431F4F" w:rsidRPr="009F566E" w:rsidRDefault="00107C7D" w:rsidP="00A17F91">
      <w:pPr>
        <w:rPr>
          <w:noProof/>
        </w:rPr>
      </w:pPr>
      <w:r w:rsidRPr="009F566E">
        <w:rPr>
          <w:noProof/>
        </w:rPr>
        <w:t xml:space="preserve">Der Vorschlag betrifft kohäsionspolitische Programme sowohl des Programmplanungszeitraums </w:t>
      </w:r>
      <w:r w:rsidRPr="002C6368">
        <w:rPr>
          <w:noProof/>
        </w:rPr>
        <w:t>2014</w:t>
      </w:r>
      <w:r w:rsidRPr="009F566E">
        <w:rPr>
          <w:noProof/>
        </w:rPr>
        <w:t>-</w:t>
      </w:r>
      <w:r w:rsidRPr="002C6368">
        <w:rPr>
          <w:noProof/>
        </w:rPr>
        <w:t>2020</w:t>
      </w:r>
      <w:r w:rsidRPr="009F566E">
        <w:rPr>
          <w:noProof/>
        </w:rPr>
        <w:t xml:space="preserve"> als auch des Programmplanungszeitraums </w:t>
      </w:r>
      <w:r w:rsidRPr="002C6368">
        <w:rPr>
          <w:noProof/>
        </w:rPr>
        <w:t>2021</w:t>
      </w:r>
      <w:r w:rsidRPr="009F566E">
        <w:rPr>
          <w:noProof/>
        </w:rPr>
        <w:t>-</w:t>
      </w:r>
      <w:r w:rsidRPr="002C6368">
        <w:rPr>
          <w:noProof/>
        </w:rPr>
        <w:t>2027</w:t>
      </w:r>
      <w:r w:rsidRPr="009F566E">
        <w:rPr>
          <w:noProof/>
        </w:rPr>
        <w:t xml:space="preserve"> und ändert nichts an bestehenden Mittelbindungen. </w:t>
      </w:r>
    </w:p>
    <w:p w14:paraId="2D23CBC7" w14:textId="77777777" w:rsidR="00431F4F" w:rsidRPr="009F566E" w:rsidRDefault="00431F4F" w:rsidP="00A17F91">
      <w:pPr>
        <w:rPr>
          <w:noProof/>
          <w:szCs w:val="24"/>
        </w:rPr>
      </w:pPr>
      <w:r w:rsidRPr="009F566E">
        <w:rPr>
          <w:noProof/>
        </w:rPr>
        <w:t xml:space="preserve">Für den Zeitraum </w:t>
      </w:r>
      <w:r w:rsidRPr="002C6368">
        <w:rPr>
          <w:noProof/>
        </w:rPr>
        <w:t>2021</w:t>
      </w:r>
      <w:r w:rsidRPr="009F566E">
        <w:rPr>
          <w:noProof/>
        </w:rPr>
        <w:t>-</w:t>
      </w:r>
      <w:r w:rsidRPr="002C6368">
        <w:rPr>
          <w:noProof/>
        </w:rPr>
        <w:t>2027</w:t>
      </w:r>
      <w:r w:rsidRPr="009F566E">
        <w:rPr>
          <w:noProof/>
        </w:rPr>
        <w:t xml:space="preserve"> wird die Vorfinanzierung für Programme, die Unterstützung aus dem EFRE, dem ESF+ und dem Kohäsionsfonds im Rahmen des Ziels „Investitionen in Wachstum und Beschäftigung“ erhalten, für die Jahre </w:t>
      </w:r>
      <w:r w:rsidRPr="002C6368">
        <w:rPr>
          <w:noProof/>
        </w:rPr>
        <w:t>2022</w:t>
      </w:r>
      <w:r w:rsidRPr="009F566E">
        <w:rPr>
          <w:noProof/>
        </w:rPr>
        <w:t xml:space="preserve"> und </w:t>
      </w:r>
      <w:r w:rsidRPr="002C6368">
        <w:rPr>
          <w:noProof/>
        </w:rPr>
        <w:t>2023</w:t>
      </w:r>
      <w:r w:rsidRPr="009F566E">
        <w:rPr>
          <w:noProof/>
        </w:rPr>
        <w:t xml:space="preserve"> erhöht. Die Maßnahme wird zu einer vorgezogenen Bereitstellung von Mitteln für Zahlungen in den Jahren </w:t>
      </w:r>
      <w:r w:rsidRPr="002C6368">
        <w:rPr>
          <w:noProof/>
        </w:rPr>
        <w:t>2022</w:t>
      </w:r>
      <w:r w:rsidRPr="009F566E">
        <w:rPr>
          <w:noProof/>
        </w:rPr>
        <w:t xml:space="preserve"> und </w:t>
      </w:r>
      <w:r w:rsidRPr="002C6368">
        <w:rPr>
          <w:noProof/>
        </w:rPr>
        <w:t>2023</w:t>
      </w:r>
      <w:r w:rsidRPr="009F566E">
        <w:rPr>
          <w:noProof/>
        </w:rPr>
        <w:t xml:space="preserve"> führen und ist im Zeitraum </w:t>
      </w:r>
      <w:r w:rsidRPr="002C6368">
        <w:rPr>
          <w:noProof/>
        </w:rPr>
        <w:t>2021</w:t>
      </w:r>
      <w:r w:rsidRPr="009F566E">
        <w:rPr>
          <w:noProof/>
        </w:rPr>
        <w:t>-</w:t>
      </w:r>
      <w:r w:rsidRPr="002C6368">
        <w:rPr>
          <w:noProof/>
        </w:rPr>
        <w:t>2027</w:t>
      </w:r>
      <w:r w:rsidRPr="009F566E">
        <w:rPr>
          <w:noProof/>
        </w:rPr>
        <w:t xml:space="preserve"> haushaltsneutral. </w:t>
      </w:r>
    </w:p>
    <w:p w14:paraId="514D5C38" w14:textId="77777777" w:rsidR="00A17F91" w:rsidRPr="009F566E" w:rsidRDefault="00431F4F" w:rsidP="00A17F91">
      <w:pPr>
        <w:rPr>
          <w:noProof/>
        </w:rPr>
      </w:pPr>
      <w:r w:rsidRPr="009F566E">
        <w:rPr>
          <w:noProof/>
        </w:rPr>
        <w:t xml:space="preserve">Die zusätzliche Vorfinanzierung in Höhe von </w:t>
      </w:r>
      <w:r w:rsidRPr="002C6368">
        <w:rPr>
          <w:noProof/>
        </w:rPr>
        <w:t>1</w:t>
      </w:r>
      <w:r w:rsidRPr="009F566E">
        <w:rPr>
          <w:noProof/>
        </w:rPr>
        <w:t>,</w:t>
      </w:r>
      <w:r w:rsidRPr="002C6368">
        <w:rPr>
          <w:noProof/>
        </w:rPr>
        <w:t>74</w:t>
      </w:r>
      <w:r w:rsidRPr="009F566E">
        <w:rPr>
          <w:noProof/>
        </w:rPr>
        <w:t xml:space="preserve"> Mrd. EUR für das Jahr </w:t>
      </w:r>
      <w:r w:rsidRPr="002C6368">
        <w:rPr>
          <w:noProof/>
        </w:rPr>
        <w:t>2023</w:t>
      </w:r>
      <w:r w:rsidRPr="009F566E">
        <w:rPr>
          <w:noProof/>
        </w:rPr>
        <w:t xml:space="preserve"> war im Haushaltsentwurf nicht vorgesehen. Die Kommission wird daher in Erwägung ziehen, den zusätzlichen Mittelbedarf durch ein Berichtigungsschreiben zum Entwurf des Haushaltsplans </w:t>
      </w:r>
      <w:r w:rsidRPr="002C6368">
        <w:rPr>
          <w:noProof/>
        </w:rPr>
        <w:t>2023</w:t>
      </w:r>
      <w:r w:rsidRPr="009F566E">
        <w:rPr>
          <w:noProof/>
        </w:rPr>
        <w:t xml:space="preserve"> zu decken, wobei den überarbeiteten Vorausschätzungen der Mitgliedstaaten Rechnung getragen wird.</w:t>
      </w:r>
    </w:p>
    <w:p w14:paraId="33577454" w14:textId="77777777" w:rsidR="008B061D" w:rsidRPr="009F566E" w:rsidRDefault="008B061D" w:rsidP="008B061D">
      <w:pPr>
        <w:rPr>
          <w:noProof/>
        </w:rPr>
      </w:pPr>
      <w:r w:rsidRPr="009F566E">
        <w:rPr>
          <w:noProof/>
        </w:rPr>
        <w:t xml:space="preserve">Die vorgeschlagene Änderung erfordert keine Änderung der jährlichen Obergrenzen des mehrjährigen Finanzrahmens für Mittel für Verpflichtungen und Mittel für Zahlungen gemäß Anhang I der Verordnung (EU, Euratom) </w:t>
      </w:r>
      <w:r w:rsidRPr="002C6368">
        <w:rPr>
          <w:noProof/>
        </w:rPr>
        <w:t>2020</w:t>
      </w:r>
      <w:r w:rsidRPr="009F566E">
        <w:rPr>
          <w:noProof/>
        </w:rPr>
        <w:t>/</w:t>
      </w:r>
      <w:r w:rsidRPr="002C6368">
        <w:rPr>
          <w:noProof/>
        </w:rPr>
        <w:t>2093</w:t>
      </w:r>
      <w:r w:rsidRPr="009F566E">
        <w:rPr>
          <w:noProof/>
        </w:rPr>
        <w:t xml:space="preserve"> des Rates und keine Änderung des Gesamtbedarfs an Mitteln für Zahlungen in einem der beiden Programmplanungszeiträume. </w:t>
      </w:r>
    </w:p>
    <w:p w14:paraId="3D168AEA" w14:textId="77777777" w:rsidR="00676147" w:rsidRPr="009F566E" w:rsidRDefault="008B061D" w:rsidP="00EF5081">
      <w:pPr>
        <w:rPr>
          <w:noProof/>
        </w:rPr>
      </w:pPr>
      <w:r w:rsidRPr="009F566E">
        <w:rPr>
          <w:noProof/>
        </w:rPr>
        <w:t xml:space="preserve">Die Kommission wird die Auswirkungen der vorgeschlagenen Änderung auf die Mittel für Zahlungen in den Jahren </w:t>
      </w:r>
      <w:r w:rsidRPr="002C6368">
        <w:rPr>
          <w:noProof/>
        </w:rPr>
        <w:t>2022</w:t>
      </w:r>
      <w:r w:rsidRPr="009F566E">
        <w:rPr>
          <w:noProof/>
        </w:rPr>
        <w:t xml:space="preserve"> und </w:t>
      </w:r>
      <w:r w:rsidRPr="002C6368">
        <w:rPr>
          <w:noProof/>
        </w:rPr>
        <w:t>2023</w:t>
      </w:r>
      <w:r w:rsidRPr="009F566E">
        <w:rPr>
          <w:noProof/>
        </w:rPr>
        <w:t xml:space="preserve"> sorgfältig überwachen und dabei die Gesamtausführung des Haushaltsplans, die überarbeiteten Vorausschätzungen der Mitgliedstaaten sowie etwaige neue Erfordernisse oder Prioritäten berücksichtigen. </w:t>
      </w:r>
    </w:p>
    <w:p w14:paraId="24DC0907" w14:textId="77777777" w:rsidR="00C1332E" w:rsidRPr="009F566E" w:rsidRDefault="00586D7D">
      <w:pPr>
        <w:pStyle w:val="ManualHeading1"/>
        <w:rPr>
          <w:noProof/>
        </w:rPr>
      </w:pPr>
      <w:r w:rsidRPr="002C6368">
        <w:rPr>
          <w:noProof/>
        </w:rPr>
        <w:t>5</w:t>
      </w:r>
      <w:r w:rsidRPr="009F566E">
        <w:rPr>
          <w:noProof/>
        </w:rPr>
        <w:t>.</w:t>
      </w:r>
      <w:r w:rsidRPr="009F566E">
        <w:rPr>
          <w:noProof/>
        </w:rPr>
        <w:tab/>
        <w:t>WEITERE ANGABEN</w:t>
      </w:r>
    </w:p>
    <w:p w14:paraId="2853191A"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Durchführungspläne sowie Monitoring-, Bewertungs- und Berichterstattungsmodalitäten</w:t>
      </w:r>
    </w:p>
    <w:p w14:paraId="16F6BFD5" w14:textId="77777777" w:rsidR="00C1332E" w:rsidRPr="009F566E" w:rsidRDefault="00AB6D32">
      <w:pPr>
        <w:pBdr>
          <w:top w:val="nil"/>
          <w:left w:val="nil"/>
          <w:bottom w:val="nil"/>
          <w:right w:val="nil"/>
          <w:between w:val="nil"/>
          <w:bar w:val="nil"/>
        </w:pBdr>
        <w:spacing w:before="0" w:after="240"/>
        <w:rPr>
          <w:noProof/>
        </w:rPr>
      </w:pPr>
      <w:r w:rsidRPr="009F566E">
        <w:rPr>
          <w:noProof/>
        </w:rPr>
        <w:t>Die Überwachung der Durchführung der Maßnahmen sowie die Berichterstattung erfolgen im Rahmen der allgemeinen Berichterstattungsmechanismen gemäß der Verordnung (EU) Nr. </w:t>
      </w:r>
      <w:r w:rsidRPr="002C6368">
        <w:rPr>
          <w:noProof/>
        </w:rPr>
        <w:t>1303</w:t>
      </w:r>
      <w:r w:rsidRPr="009F566E">
        <w:rPr>
          <w:noProof/>
        </w:rPr>
        <w:t>/</w:t>
      </w:r>
      <w:r w:rsidRPr="002C6368">
        <w:rPr>
          <w:noProof/>
        </w:rPr>
        <w:t>2013</w:t>
      </w:r>
      <w:r w:rsidRPr="009F566E">
        <w:rPr>
          <w:noProof/>
        </w:rPr>
        <w:t xml:space="preserve"> und der Verordnung (EU) Nr. </w:t>
      </w:r>
      <w:r w:rsidRPr="002C6368">
        <w:rPr>
          <w:noProof/>
        </w:rPr>
        <w:t>2021</w:t>
      </w:r>
      <w:r w:rsidRPr="009F566E">
        <w:rPr>
          <w:noProof/>
        </w:rPr>
        <w:t>/</w:t>
      </w:r>
      <w:r w:rsidRPr="002C6368">
        <w:rPr>
          <w:noProof/>
        </w:rPr>
        <w:t>1060</w:t>
      </w:r>
      <w:r w:rsidRPr="009F566E">
        <w:rPr>
          <w:noProof/>
        </w:rPr>
        <w:t>.</w:t>
      </w:r>
    </w:p>
    <w:p w14:paraId="132A0980"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Erläuternde Dokumente (bei Richtlinien)</w:t>
      </w:r>
    </w:p>
    <w:p w14:paraId="4EBB330A" w14:textId="77777777" w:rsidR="00C1332E" w:rsidRPr="009F566E" w:rsidRDefault="00586D7D">
      <w:pPr>
        <w:pBdr>
          <w:top w:val="nil"/>
          <w:left w:val="nil"/>
          <w:bottom w:val="nil"/>
          <w:right w:val="nil"/>
          <w:between w:val="nil"/>
          <w:bar w:val="nil"/>
        </w:pBdr>
        <w:spacing w:before="0" w:after="240"/>
        <w:rPr>
          <w:noProof/>
        </w:rPr>
      </w:pPr>
      <w:r w:rsidRPr="009F566E">
        <w:rPr>
          <w:noProof/>
        </w:rPr>
        <w:t>Nicht zutreffend</w:t>
      </w:r>
    </w:p>
    <w:p w14:paraId="7EA1E1AB" w14:textId="77777777" w:rsidR="00C1332E" w:rsidRPr="009F566E" w:rsidRDefault="00586D7D">
      <w:pPr>
        <w:pStyle w:val="ManualHeading2"/>
        <w:rPr>
          <w:rFonts w:eastAsia="Arial Unicode MS"/>
          <w:noProof/>
          <w:u w:color="000000"/>
          <w:bdr w:val="nil"/>
        </w:rPr>
      </w:pPr>
      <w:r w:rsidRPr="009F566E">
        <w:rPr>
          <w:noProof/>
          <w:u w:color="000000"/>
          <w:bdr w:val="nil"/>
        </w:rPr>
        <w:t>•</w:t>
      </w:r>
      <w:r w:rsidRPr="009F566E">
        <w:rPr>
          <w:noProof/>
        </w:rPr>
        <w:tab/>
      </w:r>
      <w:r w:rsidRPr="009F566E">
        <w:rPr>
          <w:noProof/>
          <w:u w:color="000000"/>
          <w:bdr w:val="nil"/>
        </w:rPr>
        <w:t>Ausführliche Erläuterung einzelner Bestimmungen des Vorschlags</w:t>
      </w:r>
    </w:p>
    <w:p w14:paraId="235B5190" w14:textId="77777777" w:rsidR="00AB6D32" w:rsidRPr="009F566E" w:rsidRDefault="00AB6D32" w:rsidP="00AB6D32">
      <w:pPr>
        <w:rPr>
          <w:noProof/>
        </w:rPr>
      </w:pPr>
      <w:r w:rsidRPr="009F566E">
        <w:rPr>
          <w:noProof/>
        </w:rPr>
        <w:t>Es wird vorgeschlagen, die Verordnung (EU) Nr. </w:t>
      </w:r>
      <w:r w:rsidRPr="002C6368">
        <w:rPr>
          <w:noProof/>
        </w:rPr>
        <w:t>1303</w:t>
      </w:r>
      <w:r w:rsidRPr="009F566E">
        <w:rPr>
          <w:noProof/>
        </w:rPr>
        <w:t>/</w:t>
      </w:r>
      <w:r w:rsidRPr="002C6368">
        <w:rPr>
          <w:noProof/>
        </w:rPr>
        <w:t>2013</w:t>
      </w:r>
      <w:r w:rsidRPr="009F566E">
        <w:rPr>
          <w:noProof/>
        </w:rPr>
        <w:t xml:space="preserve"> und die Verordnung (EU) Nr. </w:t>
      </w:r>
      <w:r w:rsidRPr="002C6368">
        <w:rPr>
          <w:noProof/>
        </w:rPr>
        <w:t>2021</w:t>
      </w:r>
      <w:r w:rsidRPr="009F566E">
        <w:rPr>
          <w:noProof/>
        </w:rPr>
        <w:t>/</w:t>
      </w:r>
      <w:r w:rsidRPr="002C6368">
        <w:rPr>
          <w:noProof/>
        </w:rPr>
        <w:t>1060</w:t>
      </w:r>
      <w:r w:rsidRPr="009F566E">
        <w:rPr>
          <w:noProof/>
        </w:rPr>
        <w:t xml:space="preserve"> zu ändern, um</w:t>
      </w:r>
    </w:p>
    <w:p w14:paraId="0154BF48" w14:textId="2FC2622F" w:rsidR="00AB6D32" w:rsidRPr="009F566E" w:rsidRDefault="00AB6D32" w:rsidP="00DD4B5E">
      <w:pPr>
        <w:pStyle w:val="Bullet1"/>
        <w:numPr>
          <w:ilvl w:val="0"/>
          <w:numId w:val="14"/>
        </w:numPr>
        <w:rPr>
          <w:noProof/>
        </w:rPr>
      </w:pPr>
      <w:r w:rsidRPr="009F566E">
        <w:rPr>
          <w:noProof/>
        </w:rPr>
        <w:t>bei Vorhaben zur Bewältigung von Migrationsherausforderungen infolge der militärischen Aggression Russlands von den Anforderungen an den Standort innerhalb eines Mitgliedstaats abzuweichen, da Menschen, die vor dem Krieg fliehen, mehrmals den Aufenthaltsort wechseln können (Änderung von Artikel </w:t>
      </w:r>
      <w:r w:rsidRPr="002C6368">
        <w:rPr>
          <w:noProof/>
        </w:rPr>
        <w:t>70</w:t>
      </w:r>
      <w:r w:rsidRPr="009F566E">
        <w:rPr>
          <w:noProof/>
        </w:rPr>
        <w:t xml:space="preserve"> der Verordnung (EU) Nr. </w:t>
      </w:r>
      <w:r w:rsidRPr="002C6368">
        <w:rPr>
          <w:noProof/>
        </w:rPr>
        <w:t>1303</w:t>
      </w:r>
      <w:r w:rsidRPr="009F566E">
        <w:rPr>
          <w:noProof/>
        </w:rPr>
        <w:t>/</w:t>
      </w:r>
      <w:r w:rsidRPr="002C6368">
        <w:rPr>
          <w:noProof/>
        </w:rPr>
        <w:t>2013</w:t>
      </w:r>
      <w:r w:rsidRPr="009F566E">
        <w:rPr>
          <w:noProof/>
        </w:rPr>
        <w:t>);</w:t>
      </w:r>
    </w:p>
    <w:p w14:paraId="2B3AE8F3" w14:textId="77777777" w:rsidR="00AB6D32" w:rsidRPr="009F566E" w:rsidRDefault="00AB6D32" w:rsidP="00DD4B5E">
      <w:pPr>
        <w:pStyle w:val="Bullet1"/>
        <w:numPr>
          <w:ilvl w:val="0"/>
          <w:numId w:val="14"/>
        </w:numPr>
        <w:rPr>
          <w:noProof/>
        </w:rPr>
      </w:pPr>
      <w:r w:rsidRPr="009F566E">
        <w:rPr>
          <w:noProof/>
        </w:rPr>
        <w:t>die Möglichkeit einzuführen, Ausgaben für solche Vorhaben geltend zu machen, die bereits physisch abgeschlossen oder vollständig durchgeführt wurden (Änderung von Artikel </w:t>
      </w:r>
      <w:r w:rsidRPr="002C6368">
        <w:rPr>
          <w:noProof/>
        </w:rPr>
        <w:t>65</w:t>
      </w:r>
      <w:r w:rsidRPr="009F566E">
        <w:rPr>
          <w:noProof/>
        </w:rPr>
        <w:t xml:space="preserve"> der Verordnung (EU) Nr. </w:t>
      </w:r>
      <w:r w:rsidRPr="002C6368">
        <w:rPr>
          <w:noProof/>
        </w:rPr>
        <w:t>1303</w:t>
      </w:r>
      <w:r w:rsidRPr="009F566E">
        <w:rPr>
          <w:noProof/>
        </w:rPr>
        <w:t>/</w:t>
      </w:r>
      <w:r w:rsidRPr="002C6368">
        <w:rPr>
          <w:noProof/>
        </w:rPr>
        <w:t>2013</w:t>
      </w:r>
      <w:r w:rsidRPr="009F566E">
        <w:rPr>
          <w:noProof/>
        </w:rPr>
        <w:t>);</w:t>
      </w:r>
    </w:p>
    <w:p w14:paraId="0E078A2C" w14:textId="192A318C" w:rsidR="00AB6D32" w:rsidRPr="009F566E" w:rsidRDefault="00AB6D32" w:rsidP="00DD4B5E">
      <w:pPr>
        <w:pStyle w:val="Bullet1"/>
        <w:numPr>
          <w:ilvl w:val="0"/>
          <w:numId w:val="14"/>
        </w:numPr>
        <w:rPr>
          <w:noProof/>
        </w:rPr>
      </w:pPr>
      <w:r w:rsidRPr="009F566E">
        <w:rPr>
          <w:noProof/>
        </w:rPr>
        <w:t xml:space="preserve">– nach Übermittlung der vom Begleitausschuss genehmigten überarbeiteten Finanztabellen an die Kommission und ohne Kommissionsbeschluss zur Änderung des Programms – einen Kofinanzierungssatz von bis zu </w:t>
      </w:r>
      <w:r w:rsidRPr="002C6368">
        <w:rPr>
          <w:noProof/>
        </w:rPr>
        <w:t>100</w:t>
      </w:r>
      <w:r w:rsidRPr="009F566E">
        <w:rPr>
          <w:noProof/>
        </w:rPr>
        <w:t> % für besondere, zur Förderung der sozioökonomischen Integration von Drittstaatsangehörigen eingerichtete Prioritätsachsen zu ermöglichen, einschließlich Prioritätsachsen, die Vorhaben zur Bewältigung von Migrationsherausforderungen infolge des militärischen Angriffs der Russischen Föderation gewidmet sind (Artikel </w:t>
      </w:r>
      <w:r w:rsidRPr="002C6368">
        <w:rPr>
          <w:noProof/>
        </w:rPr>
        <w:t>120</w:t>
      </w:r>
      <w:r w:rsidRPr="009F566E">
        <w:rPr>
          <w:noProof/>
        </w:rPr>
        <w:t>, neuer Absatz </w:t>
      </w:r>
      <w:r w:rsidRPr="002C6368">
        <w:rPr>
          <w:noProof/>
        </w:rPr>
        <w:t>9</w:t>
      </w:r>
      <w:r w:rsidRPr="009F566E">
        <w:rPr>
          <w:noProof/>
        </w:rPr>
        <w:t xml:space="preserve"> der Verordnung (EU) Nr. </w:t>
      </w:r>
      <w:r w:rsidRPr="002C6368">
        <w:rPr>
          <w:noProof/>
        </w:rPr>
        <w:t>1303</w:t>
      </w:r>
      <w:r w:rsidRPr="009F566E">
        <w:rPr>
          <w:noProof/>
        </w:rPr>
        <w:t>/</w:t>
      </w:r>
      <w:r w:rsidRPr="002C6368">
        <w:rPr>
          <w:noProof/>
        </w:rPr>
        <w:t>2013</w:t>
      </w:r>
      <w:r w:rsidRPr="009F566E">
        <w:rPr>
          <w:noProof/>
        </w:rPr>
        <w:t>);</w:t>
      </w:r>
    </w:p>
    <w:p w14:paraId="524C7B6F" w14:textId="406C4098" w:rsidR="00875927" w:rsidRPr="009F566E" w:rsidRDefault="00AB6D32" w:rsidP="00DD4B5E">
      <w:pPr>
        <w:pStyle w:val="Bullet1"/>
        <w:numPr>
          <w:ilvl w:val="0"/>
          <w:numId w:val="14"/>
        </w:numPr>
        <w:rPr>
          <w:noProof/>
        </w:rPr>
      </w:pPr>
      <w:r w:rsidRPr="009F566E">
        <w:rPr>
          <w:noProof/>
        </w:rPr>
        <w:t xml:space="preserve">zusätzliche Möglichkeiten der Flexibilität zwischen den Fonds einzuführen, indem insbesondere die Verwendung von Kohäsionsfondsmitteln aus dem Zeitraum </w:t>
      </w:r>
      <w:r w:rsidRPr="002C6368">
        <w:rPr>
          <w:noProof/>
        </w:rPr>
        <w:t>2014</w:t>
      </w:r>
      <w:r w:rsidRPr="009F566E">
        <w:rPr>
          <w:noProof/>
        </w:rPr>
        <w:t>-</w:t>
      </w:r>
      <w:r w:rsidRPr="002C6368">
        <w:rPr>
          <w:noProof/>
        </w:rPr>
        <w:t>2020</w:t>
      </w:r>
      <w:r w:rsidRPr="009F566E">
        <w:rPr>
          <w:noProof/>
        </w:rPr>
        <w:t xml:space="preserve"> für Vorhaben zur Bewältigung der Migrationsherausforderungen infolge der militärischen Aggression Russlands im Rahmen des Anwendungsbereichs und gemäß den fondsspezifischen Regelungen des EFRE und des ESF gestattet wird, sofern mindestens </w:t>
      </w:r>
      <w:r w:rsidRPr="002C6368">
        <w:rPr>
          <w:noProof/>
        </w:rPr>
        <w:t>30</w:t>
      </w:r>
      <w:r w:rsidRPr="009F566E">
        <w:rPr>
          <w:noProof/>
        </w:rPr>
        <w:t> % der Mittelausstattung der Prioritätsachse Begünstigten vorbehalten wird, bei denen es sich um lokale Behörden oder in lokalen Gemeinschaften tätige Organisationen der Zivilgesellschaft handelt, damit sichergestellt ist, dass diese Art von Begünstigten einen ihrer aktiven Rolle bei Maßnahmen zur Aufnahme und Integration von Flüchtlingen angemessenen Anteil der Mittel erhalten (Änderung von Artikel </w:t>
      </w:r>
      <w:r w:rsidRPr="002C6368">
        <w:rPr>
          <w:noProof/>
        </w:rPr>
        <w:t>98</w:t>
      </w:r>
      <w:r w:rsidRPr="009F566E">
        <w:rPr>
          <w:noProof/>
        </w:rPr>
        <w:t xml:space="preserve"> Absatz </w:t>
      </w:r>
      <w:r w:rsidRPr="002C6368">
        <w:rPr>
          <w:noProof/>
        </w:rPr>
        <w:t>4</w:t>
      </w:r>
      <w:r w:rsidRPr="009F566E">
        <w:rPr>
          <w:noProof/>
        </w:rPr>
        <w:t xml:space="preserve"> der Verordnung (EU) Nr. </w:t>
      </w:r>
      <w:r w:rsidRPr="002C6368">
        <w:rPr>
          <w:noProof/>
        </w:rPr>
        <w:t>1303</w:t>
      </w:r>
      <w:r w:rsidRPr="009F566E">
        <w:rPr>
          <w:noProof/>
        </w:rPr>
        <w:t>/</w:t>
      </w:r>
      <w:r w:rsidRPr="002C6368">
        <w:rPr>
          <w:noProof/>
        </w:rPr>
        <w:t>2013</w:t>
      </w:r>
      <w:r w:rsidRPr="009F566E">
        <w:rPr>
          <w:noProof/>
        </w:rPr>
        <w:t>);</w:t>
      </w:r>
    </w:p>
    <w:p w14:paraId="5B28316B" w14:textId="77777777" w:rsidR="00AB6D32" w:rsidRPr="009F566E" w:rsidRDefault="00AB6D32" w:rsidP="00027C97">
      <w:pPr>
        <w:pStyle w:val="Bullet1"/>
        <w:numPr>
          <w:ilvl w:val="0"/>
          <w:numId w:val="14"/>
        </w:numPr>
        <w:rPr>
          <w:noProof/>
        </w:rPr>
      </w:pPr>
      <w:r w:rsidRPr="009F566E">
        <w:rPr>
          <w:noProof/>
        </w:rPr>
        <w:t xml:space="preserve">die Verwendung fundierter Schätzungen für die Gesamtzahl der unterstützten Personen und die Zahl der Kinder unter </w:t>
      </w:r>
      <w:r w:rsidRPr="002C6368">
        <w:rPr>
          <w:noProof/>
        </w:rPr>
        <w:t>18</w:t>
      </w:r>
      <w:r w:rsidRPr="009F566E">
        <w:rPr>
          <w:noProof/>
        </w:rPr>
        <w:t> Jahren zu ermöglichen, wenn im Rahmen der besonderen Prioritätsachsen zur Unterstützung von Vorhaben zur Bewältigung von Migrationsherausforderungen infolge der militärischen Aggression der Russischen Föderation Daten über Teilnehmende zu melden sind (Änderung von Artikel </w:t>
      </w:r>
      <w:r w:rsidRPr="002C6368">
        <w:rPr>
          <w:noProof/>
        </w:rPr>
        <w:t>98</w:t>
      </w:r>
      <w:r w:rsidRPr="009F566E">
        <w:rPr>
          <w:noProof/>
        </w:rPr>
        <w:t xml:space="preserve"> Absatz </w:t>
      </w:r>
      <w:r w:rsidRPr="002C6368">
        <w:rPr>
          <w:noProof/>
        </w:rPr>
        <w:t>4</w:t>
      </w:r>
      <w:r w:rsidRPr="009F566E">
        <w:rPr>
          <w:noProof/>
        </w:rPr>
        <w:t xml:space="preserve"> der Verordnung (EU) Nr. </w:t>
      </w:r>
      <w:r w:rsidRPr="002C6368">
        <w:rPr>
          <w:noProof/>
        </w:rPr>
        <w:t>1303</w:t>
      </w:r>
      <w:r w:rsidRPr="009F566E">
        <w:rPr>
          <w:noProof/>
        </w:rPr>
        <w:t>/</w:t>
      </w:r>
      <w:r w:rsidRPr="002C6368">
        <w:rPr>
          <w:noProof/>
        </w:rPr>
        <w:t>2013</w:t>
      </w:r>
      <w:r w:rsidRPr="009F566E">
        <w:rPr>
          <w:noProof/>
        </w:rPr>
        <w:t>);</w:t>
      </w:r>
    </w:p>
    <w:p w14:paraId="2FFCC12B" w14:textId="77777777" w:rsidR="00AB6D32" w:rsidRPr="009F566E" w:rsidRDefault="00AB6D32" w:rsidP="00027C97">
      <w:pPr>
        <w:pStyle w:val="Bullet1"/>
        <w:numPr>
          <w:ilvl w:val="0"/>
          <w:numId w:val="14"/>
        </w:numPr>
        <w:rPr>
          <w:noProof/>
        </w:rPr>
      </w:pPr>
      <w:r w:rsidRPr="009F566E">
        <w:rPr>
          <w:noProof/>
        </w:rPr>
        <w:t xml:space="preserve">die kürzlich festgelegten Einheitskosten zur Unterstützung von Maßnahmen zur Bewältigung der Migrationsherausforderungen infolge des militärischen Angriffs der Russischen Föderation auf </w:t>
      </w:r>
      <w:r w:rsidRPr="002C6368">
        <w:rPr>
          <w:noProof/>
        </w:rPr>
        <w:t>100</w:t>
      </w:r>
      <w:r w:rsidRPr="009F566E">
        <w:rPr>
          <w:noProof/>
        </w:rPr>
        <w:t xml:space="preserve"> EUR pro Woche für jede volle Woche oder Teilwoche, in der sich die Person in dem betreffenden Mitgliedstaat aufhält, zu erhöhen und ihre Geltungsdauer bis insgesamt höchstens </w:t>
      </w:r>
      <w:r w:rsidRPr="002C6368">
        <w:rPr>
          <w:noProof/>
        </w:rPr>
        <w:t>26</w:t>
      </w:r>
      <w:r w:rsidRPr="009F566E">
        <w:rPr>
          <w:noProof/>
        </w:rPr>
        <w:t> Wochen ab dem Tag der Ankunft der Person in der Union zu verlängern (Änderung von Artikel </w:t>
      </w:r>
      <w:r w:rsidRPr="002C6368">
        <w:rPr>
          <w:noProof/>
        </w:rPr>
        <w:t>68</w:t>
      </w:r>
      <w:r w:rsidRPr="009F566E">
        <w:rPr>
          <w:noProof/>
        </w:rPr>
        <w:t>c der Verordnung (EU) Nr. </w:t>
      </w:r>
      <w:r w:rsidRPr="002C6368">
        <w:rPr>
          <w:noProof/>
        </w:rPr>
        <w:t>1303</w:t>
      </w:r>
      <w:r w:rsidRPr="009F566E">
        <w:rPr>
          <w:noProof/>
        </w:rPr>
        <w:t>/</w:t>
      </w:r>
      <w:r w:rsidRPr="002C6368">
        <w:rPr>
          <w:noProof/>
        </w:rPr>
        <w:t>2013</w:t>
      </w:r>
      <w:r w:rsidRPr="009F566E">
        <w:rPr>
          <w:noProof/>
        </w:rPr>
        <w:t>);</w:t>
      </w:r>
    </w:p>
    <w:p w14:paraId="0E8B6CA9" w14:textId="77777777" w:rsidR="00AB6D32" w:rsidRPr="009F566E" w:rsidRDefault="00AB6D32" w:rsidP="00027C97">
      <w:pPr>
        <w:pStyle w:val="Bullet1"/>
        <w:numPr>
          <w:ilvl w:val="0"/>
          <w:numId w:val="14"/>
        </w:numPr>
        <w:rPr>
          <w:noProof/>
        </w:rPr>
      </w:pPr>
      <w:r w:rsidRPr="009F566E">
        <w:rPr>
          <w:noProof/>
        </w:rPr>
        <w:t xml:space="preserve">die Flexibilität für Restzahlungen für jede Priorität je Fonds und Regionenkategorie im letzten Geschäftsjahr von </w:t>
      </w:r>
      <w:r w:rsidRPr="002C6368">
        <w:rPr>
          <w:noProof/>
        </w:rPr>
        <w:t>10</w:t>
      </w:r>
      <w:r w:rsidRPr="009F566E">
        <w:rPr>
          <w:noProof/>
        </w:rPr>
        <w:t xml:space="preserve"> % auf </w:t>
      </w:r>
      <w:r w:rsidRPr="002C6368">
        <w:rPr>
          <w:noProof/>
        </w:rPr>
        <w:t>15</w:t>
      </w:r>
      <w:r w:rsidRPr="009F566E">
        <w:rPr>
          <w:noProof/>
        </w:rPr>
        <w:t> % zu erhöhen (Änderung von Artikel </w:t>
      </w:r>
      <w:r w:rsidRPr="002C6368">
        <w:rPr>
          <w:noProof/>
        </w:rPr>
        <w:t>130</w:t>
      </w:r>
      <w:r w:rsidRPr="009F566E">
        <w:rPr>
          <w:noProof/>
        </w:rPr>
        <w:t xml:space="preserve"> Absatz </w:t>
      </w:r>
      <w:r w:rsidRPr="002C6368">
        <w:rPr>
          <w:noProof/>
        </w:rPr>
        <w:t>3</w:t>
      </w:r>
      <w:r w:rsidRPr="009F566E">
        <w:rPr>
          <w:noProof/>
        </w:rPr>
        <w:t xml:space="preserve"> der Verordnung (EU) Nr. </w:t>
      </w:r>
      <w:r w:rsidRPr="002C6368">
        <w:rPr>
          <w:noProof/>
        </w:rPr>
        <w:t>1303</w:t>
      </w:r>
      <w:r w:rsidRPr="009F566E">
        <w:rPr>
          <w:noProof/>
        </w:rPr>
        <w:t>/</w:t>
      </w:r>
      <w:r w:rsidRPr="002C6368">
        <w:rPr>
          <w:noProof/>
        </w:rPr>
        <w:t>2013</w:t>
      </w:r>
      <w:r w:rsidRPr="009F566E">
        <w:rPr>
          <w:noProof/>
        </w:rPr>
        <w:t>);</w:t>
      </w:r>
    </w:p>
    <w:p w14:paraId="15D4414D" w14:textId="77777777" w:rsidR="00AB6D32" w:rsidRPr="009F566E" w:rsidRDefault="00AB6D32" w:rsidP="00DD4B5E">
      <w:pPr>
        <w:pStyle w:val="Bullet1"/>
        <w:numPr>
          <w:ilvl w:val="0"/>
          <w:numId w:val="14"/>
        </w:numPr>
        <w:rPr>
          <w:noProof/>
        </w:rPr>
      </w:pPr>
      <w:r w:rsidRPr="009F566E">
        <w:rPr>
          <w:noProof/>
        </w:rPr>
        <w:t>Mittelübertragungen in Programmen zwischen thematischen Zielen innerhalb derselben Priorität und innerhalb eines Fonds und einer Regionenkategorie ohne einen Beschluss der Kommission zur Änderung des Programms zu ermöglichen (Änderung von Artikel </w:t>
      </w:r>
      <w:r w:rsidRPr="002C6368">
        <w:rPr>
          <w:noProof/>
        </w:rPr>
        <w:t>30</w:t>
      </w:r>
      <w:r w:rsidRPr="009F566E">
        <w:rPr>
          <w:noProof/>
        </w:rPr>
        <w:t xml:space="preserve"> und Artikel </w:t>
      </w:r>
      <w:r w:rsidRPr="002C6368">
        <w:rPr>
          <w:noProof/>
        </w:rPr>
        <w:t>96</w:t>
      </w:r>
      <w:r w:rsidRPr="009F566E">
        <w:rPr>
          <w:noProof/>
        </w:rPr>
        <w:t xml:space="preserve"> Absatz </w:t>
      </w:r>
      <w:r w:rsidRPr="002C6368">
        <w:rPr>
          <w:noProof/>
        </w:rPr>
        <w:t>10</w:t>
      </w:r>
      <w:r w:rsidRPr="009F566E">
        <w:rPr>
          <w:noProof/>
        </w:rPr>
        <w:t xml:space="preserve"> der Verordnung (EU) Nr. </w:t>
      </w:r>
      <w:r w:rsidRPr="002C6368">
        <w:rPr>
          <w:noProof/>
        </w:rPr>
        <w:t>1303</w:t>
      </w:r>
      <w:r w:rsidRPr="009F566E">
        <w:rPr>
          <w:noProof/>
        </w:rPr>
        <w:t>/</w:t>
      </w:r>
      <w:r w:rsidRPr="002C6368">
        <w:rPr>
          <w:noProof/>
        </w:rPr>
        <w:t>2013</w:t>
      </w:r>
      <w:r w:rsidRPr="009F566E">
        <w:rPr>
          <w:noProof/>
        </w:rPr>
        <w:t>);</w:t>
      </w:r>
    </w:p>
    <w:p w14:paraId="0AD9D967" w14:textId="4F4D5735" w:rsidR="00E10BE1" w:rsidRPr="009F566E" w:rsidRDefault="00E10BE1" w:rsidP="00DD4B5E">
      <w:pPr>
        <w:pStyle w:val="Bullet1"/>
        <w:numPr>
          <w:ilvl w:val="0"/>
          <w:numId w:val="14"/>
        </w:numPr>
        <w:rPr>
          <w:noProof/>
        </w:rPr>
      </w:pPr>
      <w:r w:rsidRPr="009F566E">
        <w:rPr>
          <w:noProof/>
        </w:rPr>
        <w:t xml:space="preserve">den Vorfinanzierungssatz für aus dem EFRE, dem ESF+ und dem Kohäsionsfonds im Rahmen des Ziels „Investitionen in Beschäftigung und Wachstum“ geförderte Programme um </w:t>
      </w:r>
      <w:r w:rsidRPr="002C6368">
        <w:rPr>
          <w:noProof/>
        </w:rPr>
        <w:t>0</w:t>
      </w:r>
      <w:r w:rsidRPr="009F566E">
        <w:rPr>
          <w:noProof/>
        </w:rPr>
        <w:t>,</w:t>
      </w:r>
      <w:r w:rsidRPr="002C6368">
        <w:rPr>
          <w:noProof/>
        </w:rPr>
        <w:t>5</w:t>
      </w:r>
      <w:r w:rsidRPr="009F566E">
        <w:rPr>
          <w:noProof/>
        </w:rPr>
        <w:t xml:space="preserve"> % der Gesamtunterstützung aus den Fonds gemäß dem Beschluss zur Genehmigung des Programms in allen Mitgliedstaaten im Jahr </w:t>
      </w:r>
      <w:r w:rsidRPr="002C6368">
        <w:rPr>
          <w:noProof/>
        </w:rPr>
        <w:t>2022</w:t>
      </w:r>
      <w:r w:rsidRPr="009F566E">
        <w:rPr>
          <w:noProof/>
        </w:rPr>
        <w:t xml:space="preserve"> und um </w:t>
      </w:r>
      <w:r w:rsidRPr="002C6368">
        <w:rPr>
          <w:noProof/>
        </w:rPr>
        <w:t>0</w:t>
      </w:r>
      <w:r w:rsidRPr="009F566E">
        <w:rPr>
          <w:noProof/>
        </w:rPr>
        <w:t>,</w:t>
      </w:r>
      <w:r w:rsidRPr="002C6368">
        <w:rPr>
          <w:noProof/>
        </w:rPr>
        <w:t>5</w:t>
      </w:r>
      <w:r w:rsidRPr="009F566E">
        <w:rPr>
          <w:noProof/>
        </w:rPr>
        <w:t xml:space="preserve"> % im Jahr </w:t>
      </w:r>
      <w:r w:rsidRPr="002C6368">
        <w:rPr>
          <w:noProof/>
        </w:rPr>
        <w:t>2023</w:t>
      </w:r>
      <w:r w:rsidRPr="009F566E">
        <w:rPr>
          <w:noProof/>
        </w:rPr>
        <w:t xml:space="preserve"> zu erhöhen (Änderung von Artikel </w:t>
      </w:r>
      <w:r w:rsidRPr="002C6368">
        <w:rPr>
          <w:noProof/>
        </w:rPr>
        <w:t>90</w:t>
      </w:r>
      <w:r w:rsidRPr="009F566E">
        <w:rPr>
          <w:noProof/>
        </w:rPr>
        <w:t xml:space="preserve"> Absatz </w:t>
      </w:r>
      <w:r w:rsidRPr="002C6368">
        <w:rPr>
          <w:noProof/>
        </w:rPr>
        <w:t>2</w:t>
      </w:r>
      <w:r w:rsidRPr="009F566E">
        <w:rPr>
          <w:noProof/>
        </w:rPr>
        <w:t xml:space="preserve"> der Verordnung (EU) </w:t>
      </w:r>
      <w:r w:rsidRPr="002C6368">
        <w:rPr>
          <w:noProof/>
        </w:rPr>
        <w:t>2021</w:t>
      </w:r>
      <w:r w:rsidRPr="009F566E">
        <w:rPr>
          <w:noProof/>
        </w:rPr>
        <w:t>/</w:t>
      </w:r>
      <w:r w:rsidRPr="002C6368">
        <w:rPr>
          <w:noProof/>
        </w:rPr>
        <w:t>1060</w:t>
      </w:r>
      <w:r w:rsidRPr="009F566E">
        <w:rPr>
          <w:noProof/>
        </w:rPr>
        <w:t>);</w:t>
      </w:r>
    </w:p>
    <w:p w14:paraId="62760142" w14:textId="4CFF608A" w:rsidR="00AB6D32" w:rsidRPr="009F566E" w:rsidRDefault="00AB6D32" w:rsidP="00DD4B5E">
      <w:pPr>
        <w:pStyle w:val="Bullet1"/>
        <w:numPr>
          <w:ilvl w:val="0"/>
          <w:numId w:val="14"/>
        </w:numPr>
        <w:rPr>
          <w:noProof/>
        </w:rPr>
      </w:pPr>
      <w:r w:rsidRPr="009F566E">
        <w:rPr>
          <w:noProof/>
        </w:rPr>
        <w:t xml:space="preserve">einen Kofinanzierungssatz von bis zu </w:t>
      </w:r>
      <w:r w:rsidRPr="002C6368">
        <w:rPr>
          <w:noProof/>
        </w:rPr>
        <w:t>100</w:t>
      </w:r>
      <w:r w:rsidRPr="009F566E">
        <w:rPr>
          <w:noProof/>
        </w:rPr>
        <w:t xml:space="preserve"> % bis zum </w:t>
      </w:r>
      <w:r w:rsidRPr="002C6368">
        <w:rPr>
          <w:noProof/>
        </w:rPr>
        <w:t>30</w:t>
      </w:r>
      <w:r w:rsidRPr="009F566E">
        <w:rPr>
          <w:noProof/>
        </w:rPr>
        <w:t xml:space="preserve">. Juni </w:t>
      </w:r>
      <w:r w:rsidRPr="002C6368">
        <w:rPr>
          <w:noProof/>
        </w:rPr>
        <w:t>2024</w:t>
      </w:r>
      <w:r w:rsidRPr="009F566E">
        <w:rPr>
          <w:noProof/>
        </w:rPr>
        <w:t xml:space="preserve"> für gesonderte Prioritäten zu ermöglichen, die innerhalb eines Programms zur Unterstützung von Vorhaben zur Förderung der sozioökonomischen Integration von Drittstaatsangehörigen eingerichtet wurden. Mindestens </w:t>
      </w:r>
      <w:r w:rsidRPr="002C6368">
        <w:rPr>
          <w:noProof/>
        </w:rPr>
        <w:t>30</w:t>
      </w:r>
      <w:r w:rsidRPr="009F566E">
        <w:rPr>
          <w:noProof/>
        </w:rPr>
        <w:t xml:space="preserve"> % der Unterstützung im Rahmen einer solchen Priorität sollten Begünstigten gewährt werden, bei denen es sich um lokale Behörden oder in lokalen Gemeinschaften aktiven Organisationen der Zivilgesellschaft handelt, um sicherzustellen, dass diese Art von Begünstigten einen ihrer aktiven Rolle bei Maßnahmen zur Aufnahme und Integration von Flüchtlingen angemessenen Anteil dieser Mittel erhalten. Der im Rahmen dieser Prioritäten in einem Mitgliedstaat vorgesehene Gesamtbetrag darf </w:t>
      </w:r>
      <w:r w:rsidRPr="002C6368">
        <w:rPr>
          <w:noProof/>
        </w:rPr>
        <w:t>5</w:t>
      </w:r>
      <w:r w:rsidRPr="009F566E">
        <w:rPr>
          <w:noProof/>
        </w:rPr>
        <w:t xml:space="preserve"> % der ursprünglichen nationalen Zuweisung des Mitgliedstaats aus dem EFRE und dem ESF+ zusammengenommen nicht übersteigen. Der Kofinanzierungssatz von bis zu </w:t>
      </w:r>
      <w:r w:rsidRPr="002C6368">
        <w:rPr>
          <w:noProof/>
        </w:rPr>
        <w:t>100</w:t>
      </w:r>
      <w:r w:rsidRPr="009F566E">
        <w:rPr>
          <w:noProof/>
        </w:rPr>
        <w:t xml:space="preserve"> % wird zum </w:t>
      </w:r>
      <w:r w:rsidRPr="002C6368">
        <w:rPr>
          <w:noProof/>
        </w:rPr>
        <w:t>30</w:t>
      </w:r>
      <w:r w:rsidRPr="009F566E">
        <w:rPr>
          <w:noProof/>
        </w:rPr>
        <w:t xml:space="preserve">. Juni </w:t>
      </w:r>
      <w:r w:rsidRPr="002C6368">
        <w:rPr>
          <w:noProof/>
        </w:rPr>
        <w:t>2024</w:t>
      </w:r>
      <w:r w:rsidRPr="009F566E">
        <w:rPr>
          <w:noProof/>
        </w:rPr>
        <w:t xml:space="preserve"> überprüft (Änderung von Artikel </w:t>
      </w:r>
      <w:r w:rsidRPr="002C6368">
        <w:rPr>
          <w:noProof/>
        </w:rPr>
        <w:t>112</w:t>
      </w:r>
      <w:r w:rsidRPr="009F566E">
        <w:rPr>
          <w:noProof/>
        </w:rPr>
        <w:t xml:space="preserve"> der Verordnung (EU) </w:t>
      </w:r>
      <w:r w:rsidRPr="002C6368">
        <w:rPr>
          <w:noProof/>
        </w:rPr>
        <w:t>2021</w:t>
      </w:r>
      <w:r w:rsidRPr="009F566E">
        <w:rPr>
          <w:noProof/>
        </w:rPr>
        <w:t>/</w:t>
      </w:r>
      <w:r w:rsidRPr="002C6368">
        <w:rPr>
          <w:noProof/>
        </w:rPr>
        <w:t>1060</w:t>
      </w:r>
      <w:r w:rsidRPr="009F566E">
        <w:rPr>
          <w:noProof/>
        </w:rPr>
        <w:t>);</w:t>
      </w:r>
    </w:p>
    <w:p w14:paraId="641B2DB2" w14:textId="3076663A" w:rsidR="00406A17" w:rsidRPr="009F566E" w:rsidRDefault="00AB6D32" w:rsidP="00DD4B5E">
      <w:pPr>
        <w:pStyle w:val="Bullet1"/>
        <w:numPr>
          <w:ilvl w:val="0"/>
          <w:numId w:val="14"/>
        </w:numPr>
        <w:rPr>
          <w:noProof/>
        </w:rPr>
      </w:pPr>
      <w:r w:rsidRPr="009F566E">
        <w:rPr>
          <w:noProof/>
        </w:rPr>
        <w:t xml:space="preserve">Vorhaben mit Gesamtkosten von mehr als </w:t>
      </w:r>
      <w:r w:rsidRPr="002C6368">
        <w:rPr>
          <w:noProof/>
        </w:rPr>
        <w:t>1</w:t>
      </w:r>
      <w:r w:rsidRPr="009F566E">
        <w:rPr>
          <w:noProof/>
        </w:rPr>
        <w:t> </w:t>
      </w:r>
      <w:r w:rsidRPr="002C6368">
        <w:rPr>
          <w:noProof/>
        </w:rPr>
        <w:t>000</w:t>
      </w:r>
      <w:r w:rsidRPr="009F566E">
        <w:rPr>
          <w:noProof/>
        </w:rPr>
        <w:t> </w:t>
      </w:r>
      <w:r w:rsidRPr="002C6368">
        <w:rPr>
          <w:noProof/>
        </w:rPr>
        <w:t>000</w:t>
      </w:r>
      <w:r w:rsidRPr="009F566E">
        <w:rPr>
          <w:noProof/>
        </w:rPr>
        <w:t xml:space="preserve"> EUR, die für eine Unterstützung aus den Programmen des Programmplanungszeitraums </w:t>
      </w:r>
      <w:r w:rsidRPr="002C6368">
        <w:rPr>
          <w:noProof/>
        </w:rPr>
        <w:t>2014</w:t>
      </w:r>
      <w:r w:rsidRPr="009F566E">
        <w:rPr>
          <w:noProof/>
        </w:rPr>
        <w:t>-</w:t>
      </w:r>
      <w:r w:rsidRPr="002C6368">
        <w:rPr>
          <w:noProof/>
        </w:rPr>
        <w:t>2020</w:t>
      </w:r>
      <w:r w:rsidRPr="009F566E">
        <w:rPr>
          <w:noProof/>
        </w:rPr>
        <w:t xml:space="preserve"> ausgewählt wurden und vor dem </w:t>
      </w:r>
      <w:r w:rsidRPr="002C6368">
        <w:rPr>
          <w:noProof/>
        </w:rPr>
        <w:t>29</w:t>
      </w:r>
      <w:r w:rsidRPr="009F566E">
        <w:rPr>
          <w:noProof/>
        </w:rPr>
        <w:t xml:space="preserve">. Juni </w:t>
      </w:r>
      <w:r w:rsidRPr="002C6368">
        <w:rPr>
          <w:noProof/>
        </w:rPr>
        <w:t>2022</w:t>
      </w:r>
      <w:r w:rsidRPr="009F566E">
        <w:rPr>
          <w:noProof/>
        </w:rPr>
        <w:t xml:space="preserve"> angelaufen sind, auch für eine Unterstützung aus den Programmen des Zeitraums </w:t>
      </w:r>
      <w:r w:rsidRPr="002C6368">
        <w:rPr>
          <w:noProof/>
        </w:rPr>
        <w:t>2021</w:t>
      </w:r>
      <w:r w:rsidRPr="009F566E">
        <w:rPr>
          <w:noProof/>
        </w:rPr>
        <w:t>-</w:t>
      </w:r>
      <w:r w:rsidRPr="002C6368">
        <w:rPr>
          <w:noProof/>
        </w:rPr>
        <w:t>2027</w:t>
      </w:r>
      <w:r w:rsidRPr="009F566E">
        <w:rPr>
          <w:noProof/>
        </w:rPr>
        <w:t xml:space="preserve"> in Betracht zu ziehen und die Gewährung unmittelbarer Unterstützung durch die Verwaltungsbehörde zu ermöglichen, sofern eine begrenzte Zahl wichtiger Bedingungen erfüllt ist (neuer Artikel </w:t>
      </w:r>
      <w:r w:rsidRPr="002C6368">
        <w:rPr>
          <w:noProof/>
        </w:rPr>
        <w:t>118</w:t>
      </w:r>
      <w:r w:rsidRPr="009F566E">
        <w:rPr>
          <w:noProof/>
        </w:rPr>
        <w:t xml:space="preserve">a der Verordnung (EU) </w:t>
      </w:r>
      <w:r w:rsidRPr="002C6368">
        <w:rPr>
          <w:noProof/>
        </w:rPr>
        <w:t>2021</w:t>
      </w:r>
      <w:r w:rsidRPr="009F566E">
        <w:rPr>
          <w:noProof/>
        </w:rPr>
        <w:t>/</w:t>
      </w:r>
      <w:r w:rsidRPr="002C6368">
        <w:rPr>
          <w:noProof/>
        </w:rPr>
        <w:t>1060</w:t>
      </w:r>
      <w:r w:rsidRPr="009F566E">
        <w:rPr>
          <w:noProof/>
        </w:rPr>
        <w:t xml:space="preserve">); </w:t>
      </w:r>
    </w:p>
    <w:p w14:paraId="01B4F503" w14:textId="77777777" w:rsidR="00C71348" w:rsidRPr="009F566E" w:rsidRDefault="00406A17" w:rsidP="00DD4B5E">
      <w:pPr>
        <w:pStyle w:val="Bullet1"/>
        <w:numPr>
          <w:ilvl w:val="0"/>
          <w:numId w:val="14"/>
        </w:numPr>
        <w:rPr>
          <w:noProof/>
        </w:rPr>
      </w:pPr>
      <w:r w:rsidRPr="009F566E">
        <w:rPr>
          <w:noProof/>
        </w:rPr>
        <w:t xml:space="preserve">spezielle Interventionsbereiche für stufenweise durchgeführte Vorhaben hinzuzufügen, die andernfalls im Zeitraum </w:t>
      </w:r>
      <w:r w:rsidRPr="002C6368">
        <w:rPr>
          <w:noProof/>
        </w:rPr>
        <w:t>2021</w:t>
      </w:r>
      <w:r w:rsidRPr="009F566E">
        <w:rPr>
          <w:noProof/>
        </w:rPr>
        <w:t>-</w:t>
      </w:r>
      <w:r w:rsidRPr="002C6368">
        <w:rPr>
          <w:noProof/>
        </w:rPr>
        <w:t>2027</w:t>
      </w:r>
      <w:r w:rsidRPr="009F566E">
        <w:rPr>
          <w:noProof/>
        </w:rPr>
        <w:t xml:space="preserve"> nicht förderfähig wären (Änderung von Anhang I Tabelle </w:t>
      </w:r>
      <w:r w:rsidRPr="002C6368">
        <w:rPr>
          <w:noProof/>
        </w:rPr>
        <w:t>1</w:t>
      </w:r>
      <w:r w:rsidRPr="009F566E">
        <w:rPr>
          <w:noProof/>
        </w:rPr>
        <w:t xml:space="preserve"> der Verordnung (EU) </w:t>
      </w:r>
      <w:r w:rsidRPr="002C6368">
        <w:rPr>
          <w:noProof/>
        </w:rPr>
        <w:t>2021</w:t>
      </w:r>
      <w:r w:rsidRPr="009F566E">
        <w:rPr>
          <w:noProof/>
        </w:rPr>
        <w:t>/</w:t>
      </w:r>
      <w:r w:rsidRPr="002C6368">
        <w:rPr>
          <w:noProof/>
        </w:rPr>
        <w:t>1060</w:t>
      </w:r>
      <w:r w:rsidRPr="009F566E">
        <w:rPr>
          <w:noProof/>
        </w:rPr>
        <w:t>).</w:t>
      </w:r>
    </w:p>
    <w:p w14:paraId="1628246C" w14:textId="77777777" w:rsidR="00C1332E" w:rsidRPr="009F566E" w:rsidRDefault="00C1332E" w:rsidP="00E83480">
      <w:pPr>
        <w:rPr>
          <w:noProof/>
        </w:rPr>
        <w:sectPr w:rsidR="00C1332E" w:rsidRPr="009F566E" w:rsidSect="001E1836">
          <w:footerReference w:type="default" r:id="rId13"/>
          <w:footerReference w:type="first" r:id="rId14"/>
          <w:pgSz w:w="11907" w:h="16839"/>
          <w:pgMar w:top="1134" w:right="1417" w:bottom="1134" w:left="1417" w:header="709" w:footer="709" w:gutter="0"/>
          <w:cols w:space="720"/>
          <w:docGrid w:linePitch="360"/>
        </w:sectPr>
      </w:pPr>
    </w:p>
    <w:p w14:paraId="1D09FCC9" w14:textId="6649D443" w:rsidR="003039C0" w:rsidRPr="009F566E" w:rsidRDefault="00F36CB6" w:rsidP="00F36CB6">
      <w:pPr>
        <w:pStyle w:val="Rfrenceinterinstitutionnelle"/>
        <w:rPr>
          <w:noProof/>
        </w:rPr>
      </w:pPr>
      <w:r w:rsidRPr="00F36CB6">
        <w:t>2022/0208 (COD)</w:t>
      </w:r>
    </w:p>
    <w:p w14:paraId="23336252" w14:textId="269643F5" w:rsidR="00C1332E" w:rsidRPr="009F566E" w:rsidRDefault="002C6368" w:rsidP="002C6368">
      <w:pPr>
        <w:pStyle w:val="Statut"/>
        <w:rPr>
          <w:noProof/>
        </w:rPr>
      </w:pPr>
      <w:r w:rsidRPr="002C6368">
        <w:rPr>
          <w:noProof/>
        </w:rPr>
        <w:t>Vorschlag für eine</w:t>
      </w:r>
    </w:p>
    <w:p w14:paraId="054F9938" w14:textId="61B7BB89" w:rsidR="00C1332E" w:rsidRPr="009F566E" w:rsidRDefault="002C6368" w:rsidP="002C6368">
      <w:pPr>
        <w:pStyle w:val="Typedudocument"/>
        <w:rPr>
          <w:noProof/>
        </w:rPr>
      </w:pPr>
      <w:r w:rsidRPr="002C6368">
        <w:rPr>
          <w:noProof/>
        </w:rPr>
        <w:t>VERORDNUNG DES EUROPÄISCHEN PARLAMENTS UND DES RATES</w:t>
      </w:r>
    </w:p>
    <w:p w14:paraId="59B59A03" w14:textId="20F66625" w:rsidR="00C1332E" w:rsidRPr="009F566E" w:rsidRDefault="002C6368" w:rsidP="002C6368">
      <w:pPr>
        <w:pStyle w:val="Titreobjet"/>
        <w:rPr>
          <w:noProof/>
        </w:rPr>
      </w:pPr>
      <w:r w:rsidRPr="002C6368">
        <w:rPr>
          <w:noProof/>
        </w:rPr>
        <w:t xml:space="preserve">zur Änderung der Verordnung (EU) Nr. 1303/2013 und der Verordnung (EU) 2021/1060 im Hinblick auf zusätzliche Flexibilität zur Bewältigung der Folgen des militärischen Angriffs durch die Russische Föderation </w:t>
      </w:r>
      <w:r w:rsidRPr="002C6368">
        <w:rPr>
          <w:noProof/>
        </w:rPr>
        <w:br/>
        <w:t>FAST - CARE (Flexible Assistance for Territories – Flexible Unterstützung für Gebiete)</w:t>
      </w:r>
    </w:p>
    <w:p w14:paraId="26E2466C" w14:textId="77777777" w:rsidR="00C1332E" w:rsidRPr="009F566E" w:rsidRDefault="00586D7D">
      <w:pPr>
        <w:pStyle w:val="Institutionquiagit"/>
        <w:rPr>
          <w:noProof/>
        </w:rPr>
      </w:pPr>
      <w:r w:rsidRPr="009F566E">
        <w:rPr>
          <w:noProof/>
        </w:rPr>
        <w:t>DAS EUROPÄISCHE PARLAMENT UND DER RAT DER EUROPÄISCHEN UNION —</w:t>
      </w:r>
    </w:p>
    <w:p w14:paraId="51B47533" w14:textId="77777777" w:rsidR="00C1332E" w:rsidRPr="009F566E" w:rsidRDefault="00586D7D">
      <w:pPr>
        <w:rPr>
          <w:noProof/>
        </w:rPr>
      </w:pPr>
      <w:r w:rsidRPr="009F566E">
        <w:rPr>
          <w:noProof/>
        </w:rPr>
        <w:t>gestützt auf den Vertrag über die Arbeitsweise der Europäischen Union, insbesondere auf Artikel </w:t>
      </w:r>
      <w:r w:rsidRPr="002C6368">
        <w:rPr>
          <w:noProof/>
        </w:rPr>
        <w:t>177</w:t>
      </w:r>
      <w:r w:rsidRPr="009F566E">
        <w:rPr>
          <w:noProof/>
        </w:rPr>
        <w:t xml:space="preserve">, </w:t>
      </w:r>
    </w:p>
    <w:p w14:paraId="130108CF" w14:textId="77777777" w:rsidR="00C1332E" w:rsidRPr="009F566E" w:rsidRDefault="00586D7D">
      <w:pPr>
        <w:rPr>
          <w:noProof/>
        </w:rPr>
      </w:pPr>
      <w:r w:rsidRPr="009F566E">
        <w:rPr>
          <w:noProof/>
        </w:rPr>
        <w:t>auf Vorschlag der Europäischen Kommission,</w:t>
      </w:r>
    </w:p>
    <w:p w14:paraId="29BBBA87" w14:textId="77777777" w:rsidR="00C1332E" w:rsidRPr="009F566E" w:rsidRDefault="00586D7D">
      <w:pPr>
        <w:rPr>
          <w:noProof/>
        </w:rPr>
      </w:pPr>
      <w:r w:rsidRPr="009F566E">
        <w:rPr>
          <w:noProof/>
        </w:rPr>
        <w:t>nach Zuleitung des Entwurfs des Gesetzgebungsakts an die nationalen Parlamente,</w:t>
      </w:r>
    </w:p>
    <w:p w14:paraId="21EF91E7" w14:textId="77777777" w:rsidR="00C1332E" w:rsidRPr="009F566E" w:rsidRDefault="00586D7D">
      <w:pPr>
        <w:rPr>
          <w:noProof/>
        </w:rPr>
      </w:pPr>
      <w:r w:rsidRPr="009F566E">
        <w:rPr>
          <w:noProof/>
        </w:rPr>
        <w:t>nach Stellungnahme des Europäischen Wirtschafts- und Sozialausschusses</w:t>
      </w:r>
      <w:r w:rsidRPr="009F566E">
        <w:rPr>
          <w:rStyle w:val="FootnoteReference"/>
          <w:noProof/>
        </w:rPr>
        <w:footnoteReference w:id="5"/>
      </w:r>
      <w:r w:rsidRPr="009F566E">
        <w:rPr>
          <w:noProof/>
        </w:rPr>
        <w:t xml:space="preserve">, </w:t>
      </w:r>
    </w:p>
    <w:p w14:paraId="7EBD21FB" w14:textId="77777777" w:rsidR="00C1332E" w:rsidRPr="009F566E" w:rsidRDefault="00340EA6">
      <w:pPr>
        <w:rPr>
          <w:noProof/>
        </w:rPr>
      </w:pPr>
      <w:r w:rsidRPr="009F566E">
        <w:rPr>
          <w:noProof/>
        </w:rPr>
        <w:t>nach Stellungnahme des Ausschusses der Regionen</w:t>
      </w:r>
      <w:r w:rsidRPr="009F566E">
        <w:rPr>
          <w:rStyle w:val="FootnoteReference"/>
          <w:noProof/>
        </w:rPr>
        <w:footnoteReference w:id="6"/>
      </w:r>
      <w:r w:rsidRPr="009F566E">
        <w:rPr>
          <w:noProof/>
        </w:rPr>
        <w:t>,</w:t>
      </w:r>
    </w:p>
    <w:p w14:paraId="38CD9CEF" w14:textId="77777777" w:rsidR="00C1332E" w:rsidRPr="009F566E" w:rsidRDefault="00586D7D">
      <w:pPr>
        <w:rPr>
          <w:noProof/>
        </w:rPr>
      </w:pPr>
      <w:r w:rsidRPr="009F566E">
        <w:rPr>
          <w:noProof/>
        </w:rPr>
        <w:t>gemäß dem ordentlichen Gesetzgebungsverfahren,</w:t>
      </w:r>
    </w:p>
    <w:p w14:paraId="430A5551" w14:textId="77777777" w:rsidR="00C1332E" w:rsidRPr="009F566E" w:rsidRDefault="00586D7D">
      <w:pPr>
        <w:rPr>
          <w:noProof/>
        </w:rPr>
      </w:pPr>
      <w:r w:rsidRPr="009F566E">
        <w:rPr>
          <w:noProof/>
        </w:rPr>
        <w:t>in Erwägung nachstehender Gründe:</w:t>
      </w:r>
    </w:p>
    <w:p w14:paraId="7E77CBC1" w14:textId="1EB75ED2" w:rsidR="00D91CF7" w:rsidRPr="009F566E" w:rsidRDefault="00422AF4" w:rsidP="00422AF4">
      <w:pPr>
        <w:pStyle w:val="ManualConsidrant"/>
        <w:rPr>
          <w:noProof/>
        </w:rPr>
      </w:pPr>
      <w:r w:rsidRPr="00422AF4">
        <w:t>(1)</w:t>
      </w:r>
      <w:r w:rsidRPr="00422AF4">
        <w:tab/>
      </w:r>
      <w:r w:rsidR="002B1527" w:rsidRPr="009F566E">
        <w:rPr>
          <w:noProof/>
        </w:rPr>
        <w:t>Die EU-Mitgliedstaaten, insbesondere in Mittel- und Osteuropa, bekommen die Konsequenzen der militärischen Aggression der Russischen Föderation gegen die Ukraine zu einem Zeitpunkt zu spüren, da die Volkswirtschaften der Mitgliedstaaten sich noch von den Auswirkungen der COVID-</w:t>
      </w:r>
      <w:r w:rsidR="002B1527" w:rsidRPr="002C6368">
        <w:rPr>
          <w:noProof/>
        </w:rPr>
        <w:t>19</w:t>
      </w:r>
      <w:r w:rsidR="002B1527" w:rsidRPr="009F566E">
        <w:rPr>
          <w:noProof/>
        </w:rPr>
        <w:t xml:space="preserve">-Pandemie erholen. Sie nehmen nicht nur einen steten Strom von Menschen auf, die vor der russischen Aggression fliehen, sondern viele Mitgliedstaaten sind gleichzeitig von Arbeitskräftemangel, Schwierigkeiten in den Lieferketten sowie steigenden Preisen und Energiekosten betroffen. Dies bringt Herausforderungen für die öffentlichen Haushalte und verzögert die Durchführung von Investitionen. Dadurch ist eine Ausnahmesituation entstanden, die mit spezifischen und gezielten Maßnahmen angegangen werden muss, um Änderungen der jährlichen Obergrenzen des mehrjährigen Finanzrahmens für Mittel für Verpflichtungen und Zahlungen gemäß Anhang I der Verordnung (EU, Euratom) </w:t>
      </w:r>
      <w:r w:rsidR="002B1527" w:rsidRPr="002C6368">
        <w:rPr>
          <w:noProof/>
        </w:rPr>
        <w:t>2020</w:t>
      </w:r>
      <w:r w:rsidR="002B1527" w:rsidRPr="009F566E">
        <w:rPr>
          <w:noProof/>
        </w:rPr>
        <w:t>/</w:t>
      </w:r>
      <w:r w:rsidR="002B1527" w:rsidRPr="002C6368">
        <w:rPr>
          <w:noProof/>
        </w:rPr>
        <w:t>2093</w:t>
      </w:r>
      <w:r w:rsidR="002B1527" w:rsidRPr="009F566E">
        <w:rPr>
          <w:noProof/>
        </w:rPr>
        <w:t xml:space="preserve"> des Rates</w:t>
      </w:r>
      <w:r w:rsidR="002B1527" w:rsidRPr="009F566E">
        <w:rPr>
          <w:rStyle w:val="FootnoteReference"/>
          <w:noProof/>
        </w:rPr>
        <w:footnoteReference w:id="7"/>
      </w:r>
      <w:r w:rsidR="002B1527" w:rsidRPr="009F566E">
        <w:rPr>
          <w:noProof/>
        </w:rPr>
        <w:t xml:space="preserve"> und die Beeinträchtigung der grünen, digitalen und nachhaltigen Erholung der Wirtschaft zu vermeiden.</w:t>
      </w:r>
    </w:p>
    <w:p w14:paraId="54D0A851" w14:textId="6A962FDF" w:rsidR="00182F8D" w:rsidRPr="009F566E" w:rsidRDefault="00422AF4" w:rsidP="00422AF4">
      <w:pPr>
        <w:pStyle w:val="ManualConsidrant"/>
        <w:rPr>
          <w:noProof/>
        </w:rPr>
      </w:pPr>
      <w:r w:rsidRPr="00422AF4">
        <w:t>(2)</w:t>
      </w:r>
      <w:r w:rsidRPr="00422AF4">
        <w:tab/>
      </w:r>
      <w:r w:rsidR="006941F3" w:rsidRPr="009F566E">
        <w:rPr>
          <w:noProof/>
        </w:rPr>
        <w:t xml:space="preserve">Um die zunehmende Belastung der nationalen Haushalte zu mildern, wurden mit der Verordnung (EU) </w:t>
      </w:r>
      <w:r w:rsidR="006941F3" w:rsidRPr="002C6368">
        <w:rPr>
          <w:noProof/>
        </w:rPr>
        <w:t>2022</w:t>
      </w:r>
      <w:r w:rsidR="006941F3" w:rsidRPr="009F566E">
        <w:rPr>
          <w:noProof/>
        </w:rPr>
        <w:t>/</w:t>
      </w:r>
      <w:r w:rsidR="006941F3" w:rsidRPr="002C6368">
        <w:rPr>
          <w:noProof/>
        </w:rPr>
        <w:t>562</w:t>
      </w:r>
      <w:r w:rsidR="006941F3" w:rsidRPr="009F566E">
        <w:rPr>
          <w:noProof/>
        </w:rPr>
        <w:t xml:space="preserve"> des Europäischen Parlaments und des Rates</w:t>
      </w:r>
      <w:r w:rsidR="006941F3" w:rsidRPr="009F566E">
        <w:rPr>
          <w:rStyle w:val="FootnoteReference"/>
          <w:noProof/>
        </w:rPr>
        <w:footnoteReference w:id="8"/>
      </w:r>
      <w:r w:rsidR="006941F3" w:rsidRPr="009F566E">
        <w:rPr>
          <w:noProof/>
        </w:rPr>
        <w:t xml:space="preserve"> einige gezielte Änderungen an den Verordnungen (EU) Nr. </w:t>
      </w:r>
      <w:r w:rsidR="006941F3" w:rsidRPr="002C6368">
        <w:rPr>
          <w:noProof/>
        </w:rPr>
        <w:t>1303</w:t>
      </w:r>
      <w:r w:rsidR="006941F3" w:rsidRPr="009F566E">
        <w:rPr>
          <w:noProof/>
        </w:rPr>
        <w:t>/</w:t>
      </w:r>
      <w:r w:rsidR="006941F3" w:rsidRPr="002C6368">
        <w:rPr>
          <w:noProof/>
        </w:rPr>
        <w:t>2013</w:t>
      </w:r>
      <w:r w:rsidR="006941F3" w:rsidRPr="009F566E">
        <w:rPr>
          <w:rStyle w:val="FootnoteReference"/>
          <w:noProof/>
        </w:rPr>
        <w:footnoteReference w:id="9"/>
      </w:r>
      <w:r w:rsidR="006941F3" w:rsidRPr="009F566E">
        <w:rPr>
          <w:noProof/>
        </w:rPr>
        <w:t xml:space="preserve"> und (EU) Nr. </w:t>
      </w:r>
      <w:r w:rsidR="006941F3" w:rsidRPr="002C6368">
        <w:rPr>
          <w:noProof/>
        </w:rPr>
        <w:t>223</w:t>
      </w:r>
      <w:r w:rsidR="006941F3" w:rsidRPr="009F566E">
        <w:rPr>
          <w:noProof/>
        </w:rPr>
        <w:t>/</w:t>
      </w:r>
      <w:r w:rsidR="006941F3" w:rsidRPr="002C6368">
        <w:rPr>
          <w:noProof/>
        </w:rPr>
        <w:t>2014</w:t>
      </w:r>
      <w:r w:rsidR="006941F3" w:rsidRPr="009F566E">
        <w:rPr>
          <w:rStyle w:val="FootnoteReference"/>
          <w:noProof/>
        </w:rPr>
        <w:footnoteReference w:id="10"/>
      </w:r>
      <w:r w:rsidR="006941F3" w:rsidRPr="009F566E">
        <w:rPr>
          <w:noProof/>
        </w:rPr>
        <w:t xml:space="preserve"> des Europäischen Parlaments und des Rates vorgenommen, damit die Mitgliedstaaten ihre verbleibenden Zuweisungen aus dem Europäischen Fonds für regionale Entwicklung (EFRE), dem Europäischen Sozialfonds (ESF) und dem Europäischen Hilfsfonds für die am stärksten benachteiligten Personen (FEAD) aus dem mehrjährigen Finanzrahmen </w:t>
      </w:r>
      <w:r w:rsidR="006941F3" w:rsidRPr="002C6368">
        <w:rPr>
          <w:noProof/>
        </w:rPr>
        <w:t>2014</w:t>
      </w:r>
      <w:r w:rsidR="006941F3" w:rsidRPr="009F566E">
        <w:rPr>
          <w:noProof/>
        </w:rPr>
        <w:t>-</w:t>
      </w:r>
      <w:r w:rsidR="006941F3" w:rsidRPr="002C6368">
        <w:rPr>
          <w:noProof/>
        </w:rPr>
        <w:t>2020</w:t>
      </w:r>
      <w:r w:rsidR="006941F3" w:rsidRPr="009F566E">
        <w:rPr>
          <w:noProof/>
        </w:rPr>
        <w:t xml:space="preserve"> sowie die Mittel aus REACT-EU leichter nutzen können, um die Migrationsherausforderungen infolge der militärischen Aggression der Russischen Föderation so wirksam und so rasch wie möglich zu bewältigen.</w:t>
      </w:r>
    </w:p>
    <w:p w14:paraId="63D61958" w14:textId="21D45A3A" w:rsidR="00D91CF7" w:rsidRPr="009F566E" w:rsidRDefault="00422AF4" w:rsidP="00422AF4">
      <w:pPr>
        <w:pStyle w:val="ManualConsidrant"/>
        <w:rPr>
          <w:noProof/>
        </w:rPr>
      </w:pPr>
      <w:r w:rsidRPr="00422AF4">
        <w:t>(3)</w:t>
      </w:r>
      <w:r w:rsidRPr="00422AF4">
        <w:tab/>
      </w:r>
      <w:r w:rsidR="001E71F7" w:rsidRPr="009F566E">
        <w:rPr>
          <w:noProof/>
        </w:rPr>
        <w:t xml:space="preserve">Mit der Verordnung (EU) </w:t>
      </w:r>
      <w:r w:rsidR="001E71F7" w:rsidRPr="002C6368">
        <w:rPr>
          <w:noProof/>
        </w:rPr>
        <w:t>2022</w:t>
      </w:r>
      <w:r w:rsidR="001E71F7" w:rsidRPr="009F566E">
        <w:rPr>
          <w:noProof/>
        </w:rPr>
        <w:t>/</w:t>
      </w:r>
      <w:r w:rsidR="001E71F7" w:rsidRPr="002C6368">
        <w:rPr>
          <w:noProof/>
        </w:rPr>
        <w:t>613</w:t>
      </w:r>
      <w:r w:rsidR="001E71F7" w:rsidRPr="009F566E">
        <w:rPr>
          <w:noProof/>
        </w:rPr>
        <w:t xml:space="preserve"> des Europäischen Parlaments und des Rates</w:t>
      </w:r>
      <w:r w:rsidR="001E71F7" w:rsidRPr="009F566E">
        <w:rPr>
          <w:rStyle w:val="FootnoteReference"/>
          <w:noProof/>
        </w:rPr>
        <w:footnoteReference w:id="11"/>
      </w:r>
      <w:r w:rsidR="001E71F7" w:rsidRPr="009F566E">
        <w:rPr>
          <w:noProof/>
        </w:rPr>
        <w:t xml:space="preserve"> wurden zudem zusätzliche Möglichkeiten zur raschen Mobilisierung von Mitteln geschaffen, um die unmittelbar entstehenden Haushaltsausgaben der Mitgliedstaaten auszugleichen, und es wurden Einheitskosten festgelegt, um die Finanzierung der grundlegenden Bedürfnisse und der Unterstützung von Personen zu erleichtern, denen vorübergehender Schutz gewährt wurde. </w:t>
      </w:r>
    </w:p>
    <w:p w14:paraId="279730B8" w14:textId="39202912" w:rsidR="00020FF8" w:rsidRPr="009F566E" w:rsidRDefault="00422AF4" w:rsidP="00422AF4">
      <w:pPr>
        <w:pStyle w:val="ManualConsidrant"/>
        <w:rPr>
          <w:noProof/>
        </w:rPr>
      </w:pPr>
      <w:r w:rsidRPr="00422AF4">
        <w:t>(4)</w:t>
      </w:r>
      <w:r w:rsidRPr="00422AF4">
        <w:tab/>
      </w:r>
      <w:r w:rsidR="00F36932" w:rsidRPr="009F566E">
        <w:rPr>
          <w:noProof/>
        </w:rPr>
        <w:t xml:space="preserve">Da die russische Invasion immer noch andauert, sollten jedoch weitere Ausnahmeregelungen getroffen werden, um die Mitgliedstaaten in die Lage zu versetzen, sich auf die notwendige Reaktion auf die nie da gewesene sozioökonomische Situation zu konzentrieren, insbesondere im Hinblick auf Maßnahmen zur Bewältigung der Migrationsherausforderungen infolge der militärischen Aggression durch die Russische Föderation. </w:t>
      </w:r>
    </w:p>
    <w:p w14:paraId="6E34BDF6" w14:textId="3EF787C3" w:rsidR="00020FF8" w:rsidRPr="009F566E" w:rsidRDefault="00422AF4" w:rsidP="00422AF4">
      <w:pPr>
        <w:pStyle w:val="ManualConsidrant"/>
        <w:rPr>
          <w:noProof/>
        </w:rPr>
      </w:pPr>
      <w:r w:rsidRPr="00422AF4">
        <w:t>(5)</w:t>
      </w:r>
      <w:r w:rsidRPr="00422AF4">
        <w:tab/>
      </w:r>
      <w:r w:rsidR="00D06C6A" w:rsidRPr="009F566E">
        <w:rPr>
          <w:noProof/>
        </w:rPr>
        <w:t>Angesichts der zusätzlichen Belastung der öffentlichen Haushalte durch die militärische Aggression durch die Russische Föderation sollte die Flexibilität in Bezug auf die Verwendung von EFRE- und ESF-Mitteln gemäß Artikel </w:t>
      </w:r>
      <w:r w:rsidR="00D06C6A" w:rsidRPr="002C6368">
        <w:rPr>
          <w:noProof/>
        </w:rPr>
        <w:t>98</w:t>
      </w:r>
      <w:r w:rsidR="00D06C6A" w:rsidRPr="009F566E">
        <w:rPr>
          <w:noProof/>
        </w:rPr>
        <w:t xml:space="preserve"> Absatz </w:t>
      </w:r>
      <w:r w:rsidR="00D06C6A" w:rsidRPr="002C6368">
        <w:rPr>
          <w:noProof/>
        </w:rPr>
        <w:t>4</w:t>
      </w:r>
      <w:r w:rsidR="00D06C6A" w:rsidRPr="009F566E">
        <w:rPr>
          <w:noProof/>
        </w:rPr>
        <w:t xml:space="preserve"> der Verordnung (EU) Nr. </w:t>
      </w:r>
      <w:r w:rsidR="00D06C6A" w:rsidRPr="002C6368">
        <w:rPr>
          <w:noProof/>
        </w:rPr>
        <w:t>1303</w:t>
      </w:r>
      <w:r w:rsidR="00D06C6A" w:rsidRPr="009F566E">
        <w:rPr>
          <w:noProof/>
        </w:rPr>
        <w:t>/</w:t>
      </w:r>
      <w:r w:rsidR="00D06C6A" w:rsidRPr="002C6368">
        <w:rPr>
          <w:noProof/>
        </w:rPr>
        <w:t>2013</w:t>
      </w:r>
      <w:r w:rsidR="00D06C6A" w:rsidRPr="009F566E">
        <w:rPr>
          <w:noProof/>
        </w:rPr>
        <w:t xml:space="preserve"> für solche Maßnahmen auch auf den Kohäsionsfonds ausgeweitet werden, damit die Mittel des Fonds auch zur Unterstützung von Vorhaben verwendet werden können, die gemäß den geltenden Vorschriften in den Geltungsbereich des EFRE oder ESF fallen. Außerdem ist es angemessen, die vereinfachten Anforderungen an die Begleitung gemäß Artikel </w:t>
      </w:r>
      <w:r w:rsidR="00D06C6A" w:rsidRPr="002C6368">
        <w:rPr>
          <w:noProof/>
        </w:rPr>
        <w:t>98</w:t>
      </w:r>
      <w:r w:rsidR="00D06C6A" w:rsidRPr="009F566E">
        <w:rPr>
          <w:noProof/>
        </w:rPr>
        <w:t xml:space="preserve"> Absatz </w:t>
      </w:r>
      <w:r w:rsidR="00D06C6A" w:rsidRPr="002C6368">
        <w:rPr>
          <w:noProof/>
        </w:rPr>
        <w:t>4</w:t>
      </w:r>
      <w:r w:rsidR="00D06C6A" w:rsidRPr="009F566E">
        <w:rPr>
          <w:noProof/>
        </w:rPr>
        <w:t xml:space="preserve"> der Verordnung (EU) Nr. </w:t>
      </w:r>
      <w:r w:rsidR="00D06C6A" w:rsidRPr="002C6368">
        <w:rPr>
          <w:noProof/>
        </w:rPr>
        <w:t>1303</w:t>
      </w:r>
      <w:r w:rsidR="00D06C6A" w:rsidRPr="009F566E">
        <w:rPr>
          <w:noProof/>
        </w:rPr>
        <w:t>/</w:t>
      </w:r>
      <w:r w:rsidR="00D06C6A" w:rsidRPr="002C6368">
        <w:rPr>
          <w:noProof/>
        </w:rPr>
        <w:t>2013</w:t>
      </w:r>
      <w:r w:rsidR="00D06C6A" w:rsidRPr="009F566E">
        <w:rPr>
          <w:noProof/>
        </w:rPr>
        <w:t xml:space="preserve"> auf ESF-geförderte Vorhaben zur Bewältigung der Migrationsherausforderungen auszuweiten, wenn diese Vorhaben im Rahmen einer Prioritätsachse unterstützt werden, die ausschließlich auf die Bewältigung dieser Herausforderungen abstellt. Des Weiteren sollte die Möglichkeit eingeführt werden, auf Prioritäten zur Förderung der sozioökonomischen Integration von Drittstaatsangehörigen, einschließlich für Vorhaben zur Bewältigung von Migrationsherausforderungen infolge der russischen Aggression, in beiden Programmplanungszeiträumen einen Kofinanzierungssatz von </w:t>
      </w:r>
      <w:r w:rsidR="00D06C6A" w:rsidRPr="002C6368">
        <w:rPr>
          <w:noProof/>
        </w:rPr>
        <w:t>100</w:t>
      </w:r>
      <w:r w:rsidR="00D06C6A" w:rsidRPr="009F566E">
        <w:rPr>
          <w:noProof/>
        </w:rPr>
        <w:t xml:space="preserve"> % anzuwenden, um den Mitgliedstaaten zu helfen, die Vertriebenen jetzt und künftig zu unterstützen. Aus dem gleichen Grund sollte der Betrag der Einheitskosten zur Finanzierung der Grundbedürfnisse und der Unterstützung von Flüchtlingen erhöht und seine Geltungsdauer verlängert werden. </w:t>
      </w:r>
    </w:p>
    <w:p w14:paraId="78686C44" w14:textId="31EBD282" w:rsidR="00821190" w:rsidRPr="009F566E" w:rsidRDefault="00422AF4" w:rsidP="00422AF4">
      <w:pPr>
        <w:pStyle w:val="ManualConsidrant"/>
        <w:rPr>
          <w:noProof/>
        </w:rPr>
      </w:pPr>
      <w:r w:rsidRPr="00422AF4">
        <w:t>(6)</w:t>
      </w:r>
      <w:r w:rsidRPr="00422AF4">
        <w:tab/>
      </w:r>
      <w:r w:rsidR="00D06C6A" w:rsidRPr="009F566E">
        <w:rPr>
          <w:noProof/>
        </w:rPr>
        <w:t xml:space="preserve">Außerdem hat sich der </w:t>
      </w:r>
      <w:r w:rsidR="00D06C6A" w:rsidRPr="002C6368">
        <w:rPr>
          <w:noProof/>
        </w:rPr>
        <w:t>24</w:t>
      </w:r>
      <w:r w:rsidR="00D06C6A" w:rsidRPr="009F566E">
        <w:rPr>
          <w:noProof/>
        </w:rPr>
        <w:t xml:space="preserve">. Februar </w:t>
      </w:r>
      <w:r w:rsidR="00D06C6A" w:rsidRPr="002C6368">
        <w:rPr>
          <w:noProof/>
        </w:rPr>
        <w:t>2022</w:t>
      </w:r>
      <w:r w:rsidR="00D06C6A" w:rsidRPr="009F566E">
        <w:rPr>
          <w:noProof/>
        </w:rPr>
        <w:t xml:space="preserve"> als Stichtag für Vorhaben zur Bewältigung der Migrationsherausforderungen infolge des militärischen Angriffs der Russischen Föderation nicht als zweckdienlich erwiesen, um alle einschlägigen Vorhaben zur Bewältigung dieser Herausforderungen aus den Fonds unterstützen zu können. Es ist daher angezeigt, ausnahmsweise zu gestatten, dass solche Vorhaben ausgewählt werden, bevor eine entsprechende Programmänderung genehmigt wurde, und die Förderfähigkeit von Ausgaben solcher Vorhaben zuzulassen, die bereits physisch abgeschlossen sind oder vollständig durchgeführt wurden. Diese Flexibilität sollte auch für aus dem EMFF unterstützte Vorhaben gelten, die der Bewältigung von Auswirkungen der russischen Aggression auf den Fischerei- und Aquakultursektor gelten. Ferner sollte es angesichts der begrenzten Mittel, die in den am stärksten betroffenen Regionen zur Verfügung stehen, möglich sein, Vorhaben über die Grenzen des Programmgebiets hinaus innerhalb eines bestimmten Mitgliedstaats zu fördern, da die Tatsache, dass die Personen, die vor dem russischen Angriff fliehen, sich zwischen und innerhalb von Mitgliedstaaten bewegen, eine Herausforderung für den wirtschaftlichen, sozialen und territorialen Zusammenhalt der gesamten Union darstellt. Solche Vorhaben sollten daher unabhängig davon förderfähig sein, ob sie innerhalb eines bestimmten Mitgliedstaats durchführt werden, da ihr Standort letztlich kein entscheidendes Kriterium für die Deckung des unmittelbaren Bedarfs ist.</w:t>
      </w:r>
    </w:p>
    <w:p w14:paraId="590E6E1A" w14:textId="20427E16" w:rsidR="00E8243D" w:rsidRPr="009F566E" w:rsidRDefault="00422AF4" w:rsidP="00422AF4">
      <w:pPr>
        <w:pStyle w:val="ManualConsidrant"/>
        <w:rPr>
          <w:noProof/>
        </w:rPr>
      </w:pPr>
      <w:r w:rsidRPr="00422AF4">
        <w:t>(7)</w:t>
      </w:r>
      <w:r w:rsidRPr="00422AF4">
        <w:tab/>
      </w:r>
      <w:r w:rsidR="00E8243D" w:rsidRPr="009F566E">
        <w:rPr>
          <w:noProof/>
        </w:rPr>
        <w:t xml:space="preserve">Da besonders die lokalen Behörden und die in den lokalen Gemeinschaften aktiven Organisationen der Zivilgesellschaft durch die Migrationsherausforderungen infolge des militärischen Angriffs der Russischen Föderation belastet werden, sollten mindestens </w:t>
      </w:r>
      <w:r w:rsidR="00E8243D" w:rsidRPr="002C6368">
        <w:rPr>
          <w:noProof/>
        </w:rPr>
        <w:t>30</w:t>
      </w:r>
      <w:r w:rsidR="00E8243D" w:rsidRPr="009F566E">
        <w:rPr>
          <w:noProof/>
        </w:rPr>
        <w:t> % der Mittel, die zur Förderung von Vorhaben verwendet werden, welche gemäß Artikel </w:t>
      </w:r>
      <w:r w:rsidR="00E8243D" w:rsidRPr="002C6368">
        <w:rPr>
          <w:noProof/>
        </w:rPr>
        <w:t>98</w:t>
      </w:r>
      <w:r w:rsidR="00E8243D" w:rsidRPr="009F566E">
        <w:rPr>
          <w:noProof/>
        </w:rPr>
        <w:t xml:space="preserve"> Absatz </w:t>
      </w:r>
      <w:r w:rsidR="00E8243D" w:rsidRPr="002C6368">
        <w:rPr>
          <w:noProof/>
        </w:rPr>
        <w:t>4</w:t>
      </w:r>
      <w:r w:rsidR="00E8243D" w:rsidRPr="009F566E">
        <w:rPr>
          <w:noProof/>
        </w:rPr>
        <w:t xml:space="preserve"> Unterabsätze </w:t>
      </w:r>
      <w:r w:rsidR="00E8243D" w:rsidRPr="002C6368">
        <w:rPr>
          <w:noProof/>
        </w:rPr>
        <w:t>1</w:t>
      </w:r>
      <w:r w:rsidR="00E8243D" w:rsidRPr="009F566E">
        <w:rPr>
          <w:noProof/>
        </w:rPr>
        <w:t xml:space="preserve"> und </w:t>
      </w:r>
      <w:r w:rsidR="00E8243D" w:rsidRPr="002C6368">
        <w:rPr>
          <w:noProof/>
        </w:rPr>
        <w:t>2</w:t>
      </w:r>
      <w:r w:rsidR="00E8243D" w:rsidRPr="009F566E">
        <w:rPr>
          <w:noProof/>
        </w:rPr>
        <w:t xml:space="preserve"> der Verordnung (EU) Nr. </w:t>
      </w:r>
      <w:r w:rsidR="00E8243D" w:rsidRPr="002C6368">
        <w:rPr>
          <w:noProof/>
        </w:rPr>
        <w:t>1303</w:t>
      </w:r>
      <w:r w:rsidR="00E8243D" w:rsidRPr="009F566E">
        <w:rPr>
          <w:noProof/>
        </w:rPr>
        <w:t>/</w:t>
      </w:r>
      <w:r w:rsidR="00E8243D" w:rsidRPr="002C6368">
        <w:rPr>
          <w:noProof/>
        </w:rPr>
        <w:t>2013</w:t>
      </w:r>
      <w:r w:rsidR="00E8243D" w:rsidRPr="009F566E">
        <w:rPr>
          <w:noProof/>
        </w:rPr>
        <w:t xml:space="preserve"> in den Geltungsbereich des EFRE oder des ESF fallen, zur Unterstützung dieser Stellen vorbehalten werden. </w:t>
      </w:r>
    </w:p>
    <w:p w14:paraId="19A2CFF6" w14:textId="1EFB0D86" w:rsidR="00F36932" w:rsidRPr="009F566E" w:rsidRDefault="00422AF4" w:rsidP="00422AF4">
      <w:pPr>
        <w:pStyle w:val="ManualConsidrant"/>
        <w:rPr>
          <w:noProof/>
        </w:rPr>
      </w:pPr>
      <w:r w:rsidRPr="00422AF4">
        <w:t>(8)</w:t>
      </w:r>
      <w:r w:rsidRPr="00422AF4">
        <w:tab/>
      </w:r>
      <w:r w:rsidR="00F37942" w:rsidRPr="009F566E">
        <w:rPr>
          <w:noProof/>
        </w:rPr>
        <w:t xml:space="preserve">Um den Verwaltungsaufwand für die Mitgliedstaaten zu verringern, was die Anpassung an die sich ändernden Bedürfnisse oder die Einhaltung der Mittelzuweisungen in einem operationellen Programm angeht, sollte eine allgemeine Maßnahme eingeführt werden, um das Erfordernis einer förmlichen Änderung eines operationellen Programms im Programmplanungszeitraums </w:t>
      </w:r>
      <w:r w:rsidR="00F37942" w:rsidRPr="002C6368">
        <w:rPr>
          <w:noProof/>
        </w:rPr>
        <w:t>2014</w:t>
      </w:r>
      <w:r w:rsidR="00F37942" w:rsidRPr="009F566E">
        <w:rPr>
          <w:noProof/>
        </w:rPr>
        <w:t>-</w:t>
      </w:r>
      <w:r w:rsidR="00F37942" w:rsidRPr="002C6368">
        <w:rPr>
          <w:noProof/>
        </w:rPr>
        <w:t>2020</w:t>
      </w:r>
      <w:r w:rsidR="00F37942" w:rsidRPr="009F566E">
        <w:rPr>
          <w:noProof/>
        </w:rPr>
        <w:t xml:space="preserve"> abzuschaffen, damit Mittelübertragungen zwischen thematischen Zielen innerhalb einer Priorität desselben Fonds und derselben Regionenkategorie möglich werden. </w:t>
      </w:r>
    </w:p>
    <w:p w14:paraId="1610D527" w14:textId="12A6AB01" w:rsidR="00C35C28" w:rsidRPr="009F566E" w:rsidRDefault="00422AF4" w:rsidP="00422AF4">
      <w:pPr>
        <w:pStyle w:val="ManualConsidrant"/>
        <w:rPr>
          <w:noProof/>
        </w:rPr>
      </w:pPr>
      <w:r w:rsidRPr="00422AF4">
        <w:t>(9)</w:t>
      </w:r>
      <w:r w:rsidRPr="00422AF4">
        <w:tab/>
      </w:r>
      <w:r w:rsidR="003C0C5B" w:rsidRPr="009F566E">
        <w:rPr>
          <w:noProof/>
        </w:rPr>
        <w:t xml:space="preserve">Um schließlich die Mittelzuweisungen </w:t>
      </w:r>
      <w:r w:rsidR="003C0C5B" w:rsidRPr="002C6368">
        <w:rPr>
          <w:noProof/>
        </w:rPr>
        <w:t>2014</w:t>
      </w:r>
      <w:r w:rsidR="003C0C5B" w:rsidRPr="009F566E">
        <w:rPr>
          <w:noProof/>
        </w:rPr>
        <w:t>-</w:t>
      </w:r>
      <w:r w:rsidR="003C0C5B" w:rsidRPr="002C6368">
        <w:rPr>
          <w:noProof/>
        </w:rPr>
        <w:t>2020</w:t>
      </w:r>
      <w:r w:rsidR="003C0C5B" w:rsidRPr="009F566E">
        <w:rPr>
          <w:noProof/>
        </w:rPr>
        <w:t xml:space="preserve"> im Zusammenhang mit dem Abschluss der Programme des Zeitraums </w:t>
      </w:r>
      <w:r w:rsidR="003C0C5B" w:rsidRPr="002C6368">
        <w:rPr>
          <w:noProof/>
        </w:rPr>
        <w:t>2014</w:t>
      </w:r>
      <w:r w:rsidR="003C0C5B" w:rsidRPr="009F566E">
        <w:rPr>
          <w:noProof/>
        </w:rPr>
        <w:t>-</w:t>
      </w:r>
      <w:r w:rsidR="003C0C5B" w:rsidRPr="002C6368">
        <w:rPr>
          <w:noProof/>
        </w:rPr>
        <w:t>2020</w:t>
      </w:r>
      <w:r w:rsidR="003C0C5B" w:rsidRPr="009F566E">
        <w:rPr>
          <w:noProof/>
        </w:rPr>
        <w:t xml:space="preserve"> optimal zu nutzen, sollte die Obergrenze für die Flexibilität zwischen den Prioritäten für die Berechnung der Restzahlung des Beitrags aus den Fonds angehoben werden.</w:t>
      </w:r>
    </w:p>
    <w:p w14:paraId="1ECE0945" w14:textId="7B8E06C5" w:rsidR="00911BF5" w:rsidRPr="009F566E" w:rsidRDefault="00422AF4" w:rsidP="00422AF4">
      <w:pPr>
        <w:pStyle w:val="ManualConsidrant"/>
        <w:rPr>
          <w:noProof/>
        </w:rPr>
      </w:pPr>
      <w:r w:rsidRPr="00422AF4">
        <w:t>(10)</w:t>
      </w:r>
      <w:r w:rsidRPr="00422AF4">
        <w:tab/>
      </w:r>
      <w:r w:rsidR="00F677CA" w:rsidRPr="009F566E">
        <w:rPr>
          <w:noProof/>
        </w:rPr>
        <w:t xml:space="preserve">Eine gewisse Flexibilität zur Bewältigung der beispiellosen Situation sollte auch im Rechtsrahmen für die Programme des Programmplanungszeitraums </w:t>
      </w:r>
      <w:r w:rsidR="00F677CA" w:rsidRPr="002C6368">
        <w:rPr>
          <w:noProof/>
        </w:rPr>
        <w:t>2021</w:t>
      </w:r>
      <w:r w:rsidR="00F677CA" w:rsidRPr="009F566E">
        <w:rPr>
          <w:noProof/>
        </w:rPr>
        <w:t>-</w:t>
      </w:r>
      <w:r w:rsidR="00F677CA" w:rsidRPr="002C6368">
        <w:rPr>
          <w:noProof/>
        </w:rPr>
        <w:t>2027</w:t>
      </w:r>
      <w:r w:rsidR="00F677CA" w:rsidRPr="009F566E">
        <w:rPr>
          <w:noProof/>
        </w:rPr>
        <w:t xml:space="preserve"> vorgesehen werden. Zur weiteren Verringerung des Drucks auf die nationalen Haushalte sollten Vorfinanzierungszahlungen für Programme des Ziels „Investitionen in Beschäftigung und Wachstum“ erhöht werden. Aufgrund der Herausforderungen infolge der Vertreibung von Menschen und der notwendigen integrierten Reaktion durch die Mitgliedstaaten sollte ferner ein Mitgliedstaat, der eine Priorität im Rahmen eines seiner Kohäsionsprogramme </w:t>
      </w:r>
      <w:r w:rsidR="00F677CA" w:rsidRPr="002C6368">
        <w:rPr>
          <w:noProof/>
        </w:rPr>
        <w:t>2021</w:t>
      </w:r>
      <w:r w:rsidR="00F677CA" w:rsidRPr="009F566E">
        <w:rPr>
          <w:noProof/>
        </w:rPr>
        <w:t>-</w:t>
      </w:r>
      <w:r w:rsidR="00F677CA" w:rsidRPr="002C6368">
        <w:rPr>
          <w:noProof/>
        </w:rPr>
        <w:t>2027</w:t>
      </w:r>
      <w:r w:rsidR="00F677CA" w:rsidRPr="009F566E">
        <w:rPr>
          <w:noProof/>
        </w:rPr>
        <w:t xml:space="preserve"> der Förderung der sozioökonomischen Integration von Drittstaatsangehörigen widmet, bis zum </w:t>
      </w:r>
      <w:r w:rsidR="00F677CA" w:rsidRPr="002C6368">
        <w:rPr>
          <w:noProof/>
        </w:rPr>
        <w:t>30</w:t>
      </w:r>
      <w:r w:rsidR="00F677CA" w:rsidRPr="009F566E">
        <w:rPr>
          <w:noProof/>
        </w:rPr>
        <w:t xml:space="preserve">. Juni </w:t>
      </w:r>
      <w:r w:rsidR="00F677CA" w:rsidRPr="002C6368">
        <w:rPr>
          <w:noProof/>
        </w:rPr>
        <w:t>2024</w:t>
      </w:r>
      <w:r w:rsidR="00F677CA" w:rsidRPr="009F566E">
        <w:rPr>
          <w:noProof/>
        </w:rPr>
        <w:t xml:space="preserve"> für diese Priorität einen Kofinanzierungssatz von bis zu </w:t>
      </w:r>
      <w:r w:rsidR="00F677CA" w:rsidRPr="002C6368">
        <w:rPr>
          <w:noProof/>
        </w:rPr>
        <w:t>100</w:t>
      </w:r>
      <w:r w:rsidR="00F677CA" w:rsidRPr="009F566E">
        <w:rPr>
          <w:noProof/>
        </w:rPr>
        <w:t xml:space="preserve"> % in Anspruch nehmen können, sofern ein angemessenes Maß an Unterstützung den lokalen Behörden und den in den lokalen Gemeinschaften aktiven Organisationen der Zivilgesellschaft vorbehalten wird und der im Rahmen dieser Prioritäten geplante Gesamtbetrag in einem Mitgliedstaat </w:t>
      </w:r>
      <w:r w:rsidR="00F677CA" w:rsidRPr="002C6368">
        <w:rPr>
          <w:noProof/>
        </w:rPr>
        <w:t>5</w:t>
      </w:r>
      <w:r w:rsidR="00F677CA" w:rsidRPr="009F566E">
        <w:rPr>
          <w:noProof/>
        </w:rPr>
        <w:t xml:space="preserve"> % der ursprünglichen nationalen Zuweisungen des jeweiligen Mitgliedstaats aus dem EFRE und dem ESF+ zusammengenommen nicht übersteigt. Dies gilt unbeschadet der Möglichkeit für die Mitgliedstaaten, zusätzliche Beträge für diese Prioritäten zu regulären Kofinanzierungssätzen einzuplanen. Angesichts der Störungen zum Ende des Programmplanungszeitraums </w:t>
      </w:r>
      <w:r w:rsidR="00F677CA" w:rsidRPr="002C6368">
        <w:rPr>
          <w:noProof/>
        </w:rPr>
        <w:t>2014</w:t>
      </w:r>
      <w:r w:rsidR="00F677CA" w:rsidRPr="009F566E">
        <w:rPr>
          <w:noProof/>
        </w:rPr>
        <w:t>-</w:t>
      </w:r>
      <w:r w:rsidR="00F677CA" w:rsidRPr="002C6368">
        <w:rPr>
          <w:noProof/>
        </w:rPr>
        <w:t>2020</w:t>
      </w:r>
      <w:r w:rsidR="00F677CA" w:rsidRPr="009F566E">
        <w:rPr>
          <w:noProof/>
        </w:rPr>
        <w:t xml:space="preserve"> aufgrund der militärischen Aggression durch Russland, die zu den langfristigen Auswirkungen der Pandemie auf die Projektdurchführung und den anhaltenden Unterbrechungen der Wertschöpfungsketten hinzukommen, sollte zudem für zusätzliche Flexibilität gesorgt werden, damit Vorhaben, mit deren Umsetzung im Einklang mit dem Rechtsrahmen für den Zeitraum </w:t>
      </w:r>
      <w:r w:rsidR="00F677CA" w:rsidRPr="002C6368">
        <w:rPr>
          <w:noProof/>
        </w:rPr>
        <w:t>2014</w:t>
      </w:r>
      <w:r w:rsidR="00F677CA" w:rsidRPr="009F566E">
        <w:rPr>
          <w:noProof/>
        </w:rPr>
        <w:t>-</w:t>
      </w:r>
      <w:r w:rsidR="00F677CA" w:rsidRPr="002C6368">
        <w:rPr>
          <w:noProof/>
        </w:rPr>
        <w:t>2020</w:t>
      </w:r>
      <w:r w:rsidR="00F677CA" w:rsidRPr="009F566E">
        <w:rPr>
          <w:noProof/>
        </w:rPr>
        <w:t xml:space="preserve"> vor dem vorliegenden Legislativvorschlag begonnen wurde, direkte Unterstützung erhalten und abgeschlossen werden können, auch wenn sie im Programmplanungszeitraum </w:t>
      </w:r>
      <w:r w:rsidR="00F677CA" w:rsidRPr="002C6368">
        <w:rPr>
          <w:noProof/>
        </w:rPr>
        <w:t>2021</w:t>
      </w:r>
      <w:r w:rsidR="00F677CA" w:rsidRPr="009F566E">
        <w:rPr>
          <w:noProof/>
        </w:rPr>
        <w:t>-</w:t>
      </w:r>
      <w:r w:rsidR="00F677CA" w:rsidRPr="002C6368">
        <w:rPr>
          <w:noProof/>
        </w:rPr>
        <w:t>2027</w:t>
      </w:r>
      <w:r w:rsidR="00F677CA" w:rsidRPr="009F566E">
        <w:rPr>
          <w:noProof/>
        </w:rPr>
        <w:t xml:space="preserve"> nicht in den Geltungsbereich des betreffenden Fonds fallen, es sei denn, die Fonds wurden gemäß Artikel </w:t>
      </w:r>
      <w:r w:rsidR="00F677CA" w:rsidRPr="002C6368">
        <w:rPr>
          <w:noProof/>
        </w:rPr>
        <w:t>98</w:t>
      </w:r>
      <w:r w:rsidR="00F677CA" w:rsidRPr="009F566E">
        <w:rPr>
          <w:noProof/>
        </w:rPr>
        <w:t xml:space="preserve"> Absatz </w:t>
      </w:r>
      <w:r w:rsidR="00F677CA" w:rsidRPr="002C6368">
        <w:rPr>
          <w:noProof/>
        </w:rPr>
        <w:t>4</w:t>
      </w:r>
      <w:r w:rsidR="00F677CA" w:rsidRPr="009F566E">
        <w:rPr>
          <w:noProof/>
        </w:rPr>
        <w:t xml:space="preserve"> Unterabsatz </w:t>
      </w:r>
      <w:r w:rsidR="00F677CA" w:rsidRPr="002C6368">
        <w:rPr>
          <w:noProof/>
        </w:rPr>
        <w:t>1</w:t>
      </w:r>
      <w:r w:rsidR="00F677CA" w:rsidRPr="009F566E">
        <w:rPr>
          <w:noProof/>
        </w:rPr>
        <w:t xml:space="preserve"> oder </w:t>
      </w:r>
      <w:r w:rsidR="00F677CA" w:rsidRPr="002C6368">
        <w:rPr>
          <w:noProof/>
        </w:rPr>
        <w:t>2</w:t>
      </w:r>
      <w:r w:rsidR="00F677CA" w:rsidRPr="009F566E">
        <w:rPr>
          <w:noProof/>
        </w:rPr>
        <w:t xml:space="preserve"> der Verordnung (EU) Nr. </w:t>
      </w:r>
      <w:r w:rsidR="00F677CA" w:rsidRPr="002C6368">
        <w:rPr>
          <w:noProof/>
        </w:rPr>
        <w:t>1303</w:t>
      </w:r>
      <w:r w:rsidR="00F677CA" w:rsidRPr="009F566E">
        <w:rPr>
          <w:noProof/>
        </w:rPr>
        <w:t>/</w:t>
      </w:r>
      <w:r w:rsidR="00F677CA" w:rsidRPr="002C6368">
        <w:rPr>
          <w:noProof/>
        </w:rPr>
        <w:t>2013</w:t>
      </w:r>
      <w:r w:rsidR="00F677CA" w:rsidRPr="009F566E">
        <w:rPr>
          <w:noProof/>
        </w:rPr>
        <w:t xml:space="preserve"> eingesetzt. Damit diese Vorhaben einer Interventionsart zugeordnet werden können, sollte Anhang I der Verordnung (EU) </w:t>
      </w:r>
      <w:r w:rsidR="00F677CA" w:rsidRPr="002C6368">
        <w:rPr>
          <w:noProof/>
        </w:rPr>
        <w:t>2021</w:t>
      </w:r>
      <w:r w:rsidR="00F677CA" w:rsidRPr="009F566E">
        <w:rPr>
          <w:noProof/>
        </w:rPr>
        <w:t>/</w:t>
      </w:r>
      <w:r w:rsidR="00F677CA" w:rsidRPr="002C6368">
        <w:rPr>
          <w:noProof/>
        </w:rPr>
        <w:t>1060</w:t>
      </w:r>
      <w:r w:rsidR="00F677CA" w:rsidRPr="009F566E">
        <w:rPr>
          <w:noProof/>
        </w:rPr>
        <w:t xml:space="preserve"> des Europäischen Parlaments und des Rates</w:t>
      </w:r>
      <w:r w:rsidR="00F677CA" w:rsidRPr="009F566E">
        <w:rPr>
          <w:rStyle w:val="FootnoteReference"/>
          <w:noProof/>
        </w:rPr>
        <w:footnoteReference w:id="12"/>
      </w:r>
      <w:r w:rsidR="00F677CA" w:rsidRPr="009F566E">
        <w:rPr>
          <w:noProof/>
        </w:rPr>
        <w:t xml:space="preserve"> entsprechend geändert werden. Die Unterstützung dieser Vorhaben sollte die Verpflichtung der Mitgliedstaaten, die Anforderungen an die thematische Konzentration und die Klimaschutzbeiträge einzuhalten, nicht berühren.</w:t>
      </w:r>
    </w:p>
    <w:p w14:paraId="61465636" w14:textId="4129CC43" w:rsidR="00C1332E" w:rsidRPr="009F566E" w:rsidRDefault="00422AF4" w:rsidP="00422AF4">
      <w:pPr>
        <w:pStyle w:val="ManualConsidrant"/>
        <w:rPr>
          <w:noProof/>
        </w:rPr>
      </w:pPr>
      <w:r w:rsidRPr="00422AF4">
        <w:t>(11)</w:t>
      </w:r>
      <w:r w:rsidRPr="00422AF4">
        <w:tab/>
      </w:r>
      <w:r w:rsidR="00586D7D" w:rsidRPr="009F566E">
        <w:rPr>
          <w:noProof/>
        </w:rPr>
        <w:t>Da das Ziel der vorliegenden Verordnung, nämlich die Mitgliedstaaten bei der Bewältigung der Herausforderungen infolge der außerordentlich hohen Zahl an Menschen, die vor der militärischen Aggression der Ukraine durch die Russische Föderation flüchten, und bei ihren anhaltenden Bemühungen um den Übergang zu einer stabilen Erholung der Wirtschaft von der COVID-</w:t>
      </w:r>
      <w:r w:rsidR="00586D7D" w:rsidRPr="002C6368">
        <w:rPr>
          <w:noProof/>
        </w:rPr>
        <w:t>19</w:t>
      </w:r>
      <w:r w:rsidR="00586D7D" w:rsidRPr="009F566E">
        <w:rPr>
          <w:noProof/>
        </w:rPr>
        <w:t>-Pandemie zu unterstützen, wegen des Umfangs und der Auswirkungen der vorgeschlagenen Maßnahme auf Unionsebene besser zu verwirklichen ist, kann die Union im Einklang mit dem in Artikel </w:t>
      </w:r>
      <w:r w:rsidR="00586D7D" w:rsidRPr="002C6368">
        <w:rPr>
          <w:noProof/>
        </w:rPr>
        <w:t>5</w:t>
      </w:r>
      <w:r w:rsidR="00586D7D" w:rsidRPr="009F566E">
        <w:rPr>
          <w:noProof/>
        </w:rPr>
        <w:t xml:space="preserve"> des Vertrags über die Europäische Union (EUV) verankerten Subsidiaritätsprinzip tätig werden. Entsprechend dem in demselben Artikel genannten Grundsatz der Verhältnismäßigkeit geht diese Verordnung nicht über das zur Erreichung dieser Ziele erforderliche Maß hinaus.</w:t>
      </w:r>
    </w:p>
    <w:p w14:paraId="62662DA8" w14:textId="7803B453" w:rsidR="00C1332E" w:rsidRPr="009F566E" w:rsidRDefault="00422AF4" w:rsidP="00422AF4">
      <w:pPr>
        <w:pStyle w:val="ManualConsidrant"/>
        <w:rPr>
          <w:noProof/>
        </w:rPr>
      </w:pPr>
      <w:r w:rsidRPr="00422AF4">
        <w:t>(12)</w:t>
      </w:r>
      <w:r w:rsidRPr="00422AF4">
        <w:tab/>
      </w:r>
      <w:r w:rsidR="00586D7D" w:rsidRPr="009F566E">
        <w:rPr>
          <w:noProof/>
        </w:rPr>
        <w:t>Die Verordnungen (EU) </w:t>
      </w:r>
      <w:r w:rsidR="00586D7D" w:rsidRPr="002C6368">
        <w:rPr>
          <w:noProof/>
        </w:rPr>
        <w:t>1303</w:t>
      </w:r>
      <w:r w:rsidR="00586D7D" w:rsidRPr="009F566E">
        <w:rPr>
          <w:noProof/>
        </w:rPr>
        <w:t>/</w:t>
      </w:r>
      <w:r w:rsidR="00586D7D" w:rsidRPr="002C6368">
        <w:rPr>
          <w:noProof/>
        </w:rPr>
        <w:t>2013</w:t>
      </w:r>
      <w:r w:rsidR="00586D7D" w:rsidRPr="009F566E">
        <w:rPr>
          <w:noProof/>
        </w:rPr>
        <w:t xml:space="preserve"> und (EU) </w:t>
      </w:r>
      <w:r w:rsidR="00586D7D" w:rsidRPr="002C6368">
        <w:rPr>
          <w:noProof/>
        </w:rPr>
        <w:t>2021</w:t>
      </w:r>
      <w:r w:rsidR="00586D7D" w:rsidRPr="009F566E">
        <w:rPr>
          <w:noProof/>
        </w:rPr>
        <w:t>/</w:t>
      </w:r>
      <w:r w:rsidR="00586D7D" w:rsidRPr="002C6368">
        <w:rPr>
          <w:noProof/>
        </w:rPr>
        <w:t>1060</w:t>
      </w:r>
      <w:r w:rsidR="00586D7D" w:rsidRPr="009F566E">
        <w:rPr>
          <w:noProof/>
        </w:rPr>
        <w:t xml:space="preserve"> sollten daher jeweils entsprechend geändert werden.</w:t>
      </w:r>
    </w:p>
    <w:p w14:paraId="04F27049" w14:textId="7E9011B1" w:rsidR="00E2601F" w:rsidRPr="009F566E" w:rsidRDefault="00422AF4" w:rsidP="00422AF4">
      <w:pPr>
        <w:pStyle w:val="ManualConsidrant"/>
        <w:rPr>
          <w:noProof/>
        </w:rPr>
      </w:pPr>
      <w:r w:rsidRPr="00422AF4">
        <w:t>(13)</w:t>
      </w:r>
      <w:r w:rsidRPr="00422AF4">
        <w:tab/>
      </w:r>
      <w:r w:rsidR="00E2601F" w:rsidRPr="009F566E">
        <w:rPr>
          <w:noProof/>
        </w:rPr>
        <w:t>Wegen der Dringlichkeit, die öffentlichen Haushalte im Hinblick auf die Fähigkeit der Mitgliedstaaten zur Unterstützung der Erholung der Volkswirtschaften rasch zu entlasten, wird es als angemessen erachtet, sich auf die Ausnahme von der Achtwochenfrist gemäß Artikel </w:t>
      </w:r>
      <w:r w:rsidR="00E2601F" w:rsidRPr="002C6368">
        <w:rPr>
          <w:noProof/>
        </w:rPr>
        <w:t>4</w:t>
      </w:r>
      <w:r w:rsidR="00E2601F" w:rsidRPr="009F566E">
        <w:rPr>
          <w:noProof/>
        </w:rPr>
        <w:t xml:space="preserve"> des dem EUV, dem Vertrag über die Arbeitsweise der Europäischen Union und dem Vertrag zur Gründung der Europäischen Atomgemeinschaft beigefügten Protokolls Nr. </w:t>
      </w:r>
      <w:r w:rsidR="00E2601F" w:rsidRPr="002C6368">
        <w:rPr>
          <w:noProof/>
        </w:rPr>
        <w:t>1</w:t>
      </w:r>
      <w:r w:rsidR="00E2601F" w:rsidRPr="009F566E">
        <w:rPr>
          <w:noProof/>
        </w:rPr>
        <w:t xml:space="preserve"> über die Rolle der nationalen Parlamente in der Europäischen Union zu berufen.</w:t>
      </w:r>
    </w:p>
    <w:p w14:paraId="63CA435C" w14:textId="17F0739D" w:rsidR="00C1332E" w:rsidRPr="009F566E" w:rsidRDefault="00422AF4" w:rsidP="00422AF4">
      <w:pPr>
        <w:pStyle w:val="ManualConsidrant"/>
        <w:rPr>
          <w:noProof/>
        </w:rPr>
      </w:pPr>
      <w:r w:rsidRPr="00422AF4">
        <w:t>(14)</w:t>
      </w:r>
      <w:r w:rsidRPr="00422AF4">
        <w:tab/>
      </w:r>
      <w:r w:rsidR="00E2601F" w:rsidRPr="009F566E">
        <w:rPr>
          <w:noProof/>
        </w:rPr>
        <w:t xml:space="preserve">Angesichts der Notwendigkeit, die öffentlichen Haushalte rasch zu entlasten, damit die Mitgliedstaaten die Erholung der Wirtschaft weiterhin unterstützen können, und eine rasche Planung der stufenweisen Durchführung von Vorhaben im Programmplanungszeitraum </w:t>
      </w:r>
      <w:r w:rsidR="00E2601F" w:rsidRPr="002C6368">
        <w:rPr>
          <w:noProof/>
        </w:rPr>
        <w:t>2021</w:t>
      </w:r>
      <w:r w:rsidR="00E2601F" w:rsidRPr="009F566E">
        <w:rPr>
          <w:noProof/>
        </w:rPr>
        <w:t>-</w:t>
      </w:r>
      <w:r w:rsidR="00E2601F" w:rsidRPr="002C6368">
        <w:rPr>
          <w:noProof/>
        </w:rPr>
        <w:t>2027</w:t>
      </w:r>
      <w:r w:rsidR="00E2601F" w:rsidRPr="009F566E">
        <w:rPr>
          <w:noProof/>
        </w:rPr>
        <w:t xml:space="preserve"> zu ermöglichen, sollte diese Verordnung aus Gründen der Dringlichkeit am Tag nach ihrer Veröffentlichung im </w:t>
      </w:r>
      <w:r w:rsidR="00E2601F" w:rsidRPr="009F566E">
        <w:rPr>
          <w:i/>
          <w:noProof/>
        </w:rPr>
        <w:t>Amtsblatt der Europäischen Union</w:t>
      </w:r>
      <w:r w:rsidR="00E2601F" w:rsidRPr="009F566E">
        <w:rPr>
          <w:noProof/>
        </w:rPr>
        <w:t xml:space="preserve"> in Kraft treten —</w:t>
      </w:r>
    </w:p>
    <w:p w14:paraId="61870C04" w14:textId="77777777" w:rsidR="00C1332E" w:rsidRPr="009F566E" w:rsidRDefault="00586D7D">
      <w:pPr>
        <w:pStyle w:val="Formuledadoption"/>
        <w:rPr>
          <w:noProof/>
        </w:rPr>
      </w:pPr>
      <w:r w:rsidRPr="009F566E">
        <w:rPr>
          <w:noProof/>
        </w:rPr>
        <w:t>HABEN FOLGENDE VERORDNUNG ERLASSEN:</w:t>
      </w:r>
    </w:p>
    <w:p w14:paraId="14E4EF5D" w14:textId="77777777" w:rsidR="00C1332E" w:rsidRPr="009F566E" w:rsidRDefault="00586D7D">
      <w:pPr>
        <w:pStyle w:val="Titrearticle"/>
        <w:rPr>
          <w:noProof/>
        </w:rPr>
      </w:pPr>
      <w:r w:rsidRPr="009F566E">
        <w:rPr>
          <w:noProof/>
        </w:rPr>
        <w:t>Artikel </w:t>
      </w:r>
      <w:r w:rsidRPr="002C6368">
        <w:rPr>
          <w:noProof/>
        </w:rPr>
        <w:t>1</w:t>
      </w:r>
    </w:p>
    <w:p w14:paraId="2DBF8A91" w14:textId="77777777" w:rsidR="00C71348" w:rsidRPr="009F566E" w:rsidRDefault="00C71348" w:rsidP="00C71348">
      <w:pPr>
        <w:jc w:val="center"/>
        <w:rPr>
          <w:b/>
          <w:noProof/>
        </w:rPr>
      </w:pPr>
      <w:r w:rsidRPr="009F566E">
        <w:rPr>
          <w:b/>
          <w:noProof/>
        </w:rPr>
        <w:t>Änderungen der Verordnung (EU) Nr. </w:t>
      </w:r>
      <w:r w:rsidRPr="002C6368">
        <w:rPr>
          <w:b/>
          <w:noProof/>
        </w:rPr>
        <w:t>1303</w:t>
      </w:r>
      <w:r w:rsidRPr="009F566E">
        <w:rPr>
          <w:b/>
          <w:noProof/>
        </w:rPr>
        <w:t>/</w:t>
      </w:r>
      <w:r w:rsidRPr="002C6368">
        <w:rPr>
          <w:b/>
          <w:noProof/>
        </w:rPr>
        <w:t>2013</w:t>
      </w:r>
    </w:p>
    <w:p w14:paraId="2833B6F7" w14:textId="77777777" w:rsidR="00396995" w:rsidRPr="009F566E" w:rsidRDefault="00396995" w:rsidP="00396995">
      <w:pPr>
        <w:jc w:val="left"/>
        <w:rPr>
          <w:noProof/>
        </w:rPr>
      </w:pPr>
      <w:r w:rsidRPr="009F566E">
        <w:rPr>
          <w:noProof/>
        </w:rPr>
        <w:t>Die Verordnung (EU) Nr. </w:t>
      </w:r>
      <w:r w:rsidRPr="002C6368">
        <w:rPr>
          <w:noProof/>
        </w:rPr>
        <w:t>1303</w:t>
      </w:r>
      <w:r w:rsidRPr="009F566E">
        <w:rPr>
          <w:noProof/>
        </w:rPr>
        <w:t>/</w:t>
      </w:r>
      <w:r w:rsidRPr="002C6368">
        <w:rPr>
          <w:noProof/>
        </w:rPr>
        <w:t>2013</w:t>
      </w:r>
      <w:r w:rsidRPr="009F566E">
        <w:rPr>
          <w:noProof/>
        </w:rPr>
        <w:t xml:space="preserve"> wird wie folgt geändert:</w:t>
      </w:r>
    </w:p>
    <w:p w14:paraId="62FEF6D9" w14:textId="77777777" w:rsidR="00E220EC" w:rsidRPr="009F566E" w:rsidRDefault="00E220EC" w:rsidP="00E220EC">
      <w:pPr>
        <w:pStyle w:val="Point0"/>
        <w:rPr>
          <w:noProof/>
        </w:rPr>
      </w:pPr>
      <w:r w:rsidRPr="009F566E">
        <w:rPr>
          <w:noProof/>
        </w:rPr>
        <w:t>(</w:t>
      </w:r>
      <w:r w:rsidRPr="002C6368">
        <w:rPr>
          <w:noProof/>
        </w:rPr>
        <w:t>1</w:t>
      </w:r>
      <w:r w:rsidRPr="009F566E">
        <w:rPr>
          <w:noProof/>
        </w:rPr>
        <w:t>)</w:t>
      </w:r>
      <w:r w:rsidRPr="009F566E">
        <w:rPr>
          <w:noProof/>
        </w:rPr>
        <w:tab/>
        <w:t>In Artikel </w:t>
      </w:r>
      <w:r w:rsidRPr="002C6368">
        <w:rPr>
          <w:noProof/>
        </w:rPr>
        <w:t>30</w:t>
      </w:r>
      <w:r w:rsidRPr="009F566E">
        <w:rPr>
          <w:noProof/>
        </w:rPr>
        <w:t xml:space="preserve"> werden folgende Absätze angefügt: </w:t>
      </w:r>
    </w:p>
    <w:p w14:paraId="6A50C9DB" w14:textId="77777777" w:rsidR="00E220EC" w:rsidRPr="009F566E" w:rsidRDefault="00E220EC" w:rsidP="003E0E5F">
      <w:pPr>
        <w:pStyle w:val="Text1"/>
        <w:rPr>
          <w:noProof/>
        </w:rPr>
      </w:pPr>
      <w:r w:rsidRPr="009F566E">
        <w:rPr>
          <w:noProof/>
        </w:rPr>
        <w:t>„(</w:t>
      </w:r>
      <w:r w:rsidRPr="002C6368">
        <w:rPr>
          <w:noProof/>
        </w:rPr>
        <w:t>6</w:t>
      </w:r>
      <w:r w:rsidRPr="009F566E">
        <w:rPr>
          <w:noProof/>
        </w:rPr>
        <w:t>) Abweichend von den Absätzen </w:t>
      </w:r>
      <w:r w:rsidRPr="002C6368">
        <w:rPr>
          <w:noProof/>
        </w:rPr>
        <w:t>1</w:t>
      </w:r>
      <w:r w:rsidRPr="009F566E">
        <w:rPr>
          <w:noProof/>
        </w:rPr>
        <w:t xml:space="preserve"> und </w:t>
      </w:r>
      <w:r w:rsidRPr="002C6368">
        <w:rPr>
          <w:noProof/>
        </w:rPr>
        <w:t>2</w:t>
      </w:r>
      <w:r w:rsidRPr="009F566E">
        <w:rPr>
          <w:noProof/>
        </w:rPr>
        <w:t xml:space="preserve"> kann der Mitgliedstaat für aus dem EFRE, dem ESF oder dem Kohäsionsfonds unterstützte Programme Mittelzuweisungen zwischen verschiedenen thematischen Zielen innerhalb derselben Priorität desselben Fonds und derselben Regionenkategorie desselben Programms übertragen. </w:t>
      </w:r>
    </w:p>
    <w:p w14:paraId="385CCD65" w14:textId="77777777" w:rsidR="004700C1" w:rsidRPr="009F566E" w:rsidRDefault="00E220EC" w:rsidP="003E0E5F">
      <w:pPr>
        <w:pStyle w:val="Text1"/>
        <w:rPr>
          <w:noProof/>
        </w:rPr>
      </w:pPr>
      <w:r w:rsidRPr="009F566E">
        <w:rPr>
          <w:noProof/>
        </w:rPr>
        <w:t>Solche Übertragungen gelten als nicht substanziell und erfordern keinen Kommissionsbeschluss zur Änderung des Programms. Sie müssen jedoch allen regulatorischen Anforderungen entsprechen und im Voraus vom Begleitausschuss genehmigt werden. Der Mitgliedstaat übermittelt der Kommission die überarbeiteten Finanztabellen.</w:t>
      </w:r>
    </w:p>
    <w:p w14:paraId="5B4078AD" w14:textId="77777777" w:rsidR="00E220EC" w:rsidRPr="009F566E" w:rsidRDefault="004700C1" w:rsidP="003E0E5F">
      <w:pPr>
        <w:pStyle w:val="Text1"/>
        <w:rPr>
          <w:noProof/>
        </w:rPr>
      </w:pPr>
      <w:r w:rsidRPr="009F566E">
        <w:rPr>
          <w:noProof/>
        </w:rPr>
        <w:t>(</w:t>
      </w:r>
      <w:r w:rsidRPr="002C6368">
        <w:rPr>
          <w:noProof/>
        </w:rPr>
        <w:t>7</w:t>
      </w:r>
      <w:r w:rsidRPr="009F566E">
        <w:rPr>
          <w:noProof/>
        </w:rPr>
        <w:t>) Abweichend von den Absätzen </w:t>
      </w:r>
      <w:r w:rsidRPr="002C6368">
        <w:rPr>
          <w:noProof/>
        </w:rPr>
        <w:t>1</w:t>
      </w:r>
      <w:r w:rsidRPr="009F566E">
        <w:rPr>
          <w:noProof/>
        </w:rPr>
        <w:t xml:space="preserve"> und </w:t>
      </w:r>
      <w:r w:rsidRPr="002C6368">
        <w:rPr>
          <w:noProof/>
        </w:rPr>
        <w:t>2</w:t>
      </w:r>
      <w:r w:rsidRPr="009F566E">
        <w:rPr>
          <w:noProof/>
        </w:rPr>
        <w:t xml:space="preserve"> erfordert die Anwendung eines Kofinanzierungssatzes von bis zu </w:t>
      </w:r>
      <w:r w:rsidRPr="002C6368">
        <w:rPr>
          <w:noProof/>
        </w:rPr>
        <w:t>100</w:t>
      </w:r>
      <w:r w:rsidRPr="009F566E">
        <w:rPr>
          <w:noProof/>
        </w:rPr>
        <w:t> % gemäß Artikel </w:t>
      </w:r>
      <w:r w:rsidRPr="002C6368">
        <w:rPr>
          <w:noProof/>
        </w:rPr>
        <w:t>120</w:t>
      </w:r>
      <w:r w:rsidRPr="009F566E">
        <w:rPr>
          <w:noProof/>
        </w:rPr>
        <w:t xml:space="preserve"> Absatz </w:t>
      </w:r>
      <w:r w:rsidRPr="002C6368">
        <w:rPr>
          <w:noProof/>
        </w:rPr>
        <w:t>9</w:t>
      </w:r>
      <w:r w:rsidRPr="009F566E">
        <w:rPr>
          <w:noProof/>
        </w:rPr>
        <w:t xml:space="preserve"> auf eine Prioritätsachse zur Förderung der sozioökonomischen Integration von Drittstaatsangehörigen, die innerhalb eines Programms eingerichtet wurde, einschließlich derjenigen Prioritätsachsen, die Vorhaben zur Bewältigung von Migrationsherausforderungen infolge der militärischen Aggression der Russischen Föderation gewidmet sind, keinen Kommissionsbeschluss zur Änderung des Programms. Die Änderung wird im Voraus vom Begleitausschuss genehmigt. Der Mitgliedstaat übermittelt der Kommission die überarbeiteten Finanztabellen.“ </w:t>
      </w:r>
    </w:p>
    <w:p w14:paraId="53626EA5" w14:textId="77777777" w:rsidR="0000018F" w:rsidRPr="009F566E" w:rsidRDefault="0000018F" w:rsidP="00E8673D">
      <w:pPr>
        <w:pStyle w:val="Point0"/>
        <w:rPr>
          <w:noProof/>
        </w:rPr>
      </w:pPr>
      <w:r w:rsidRPr="009F566E">
        <w:rPr>
          <w:noProof/>
        </w:rPr>
        <w:t>(</w:t>
      </w:r>
      <w:r w:rsidRPr="002C6368">
        <w:rPr>
          <w:noProof/>
        </w:rPr>
        <w:t>2</w:t>
      </w:r>
      <w:r w:rsidRPr="009F566E">
        <w:rPr>
          <w:noProof/>
        </w:rPr>
        <w:t>)</w:t>
      </w:r>
      <w:r w:rsidRPr="009F566E">
        <w:rPr>
          <w:noProof/>
        </w:rPr>
        <w:tab/>
        <w:t>In Artikel </w:t>
      </w:r>
      <w:r w:rsidRPr="002C6368">
        <w:rPr>
          <w:noProof/>
        </w:rPr>
        <w:t>65</w:t>
      </w:r>
      <w:r w:rsidRPr="009F566E">
        <w:rPr>
          <w:noProof/>
        </w:rPr>
        <w:t xml:space="preserve"> wird folgender Absatz eingefügt: </w:t>
      </w:r>
    </w:p>
    <w:p w14:paraId="023B9C11" w14:textId="3BDE3308" w:rsidR="0000018F" w:rsidRPr="009F566E" w:rsidRDefault="0000018F" w:rsidP="003E0E5F">
      <w:pPr>
        <w:pStyle w:val="Text1"/>
        <w:rPr>
          <w:noProof/>
        </w:rPr>
      </w:pPr>
      <w:r w:rsidRPr="009F566E">
        <w:rPr>
          <w:noProof/>
        </w:rPr>
        <w:t>„(</w:t>
      </w:r>
      <w:r w:rsidRPr="002C6368">
        <w:rPr>
          <w:noProof/>
        </w:rPr>
        <w:t>10</w:t>
      </w:r>
      <w:r w:rsidRPr="009F566E">
        <w:rPr>
          <w:noProof/>
        </w:rPr>
        <w:t>a) Absatz </w:t>
      </w:r>
      <w:r w:rsidRPr="002C6368">
        <w:rPr>
          <w:noProof/>
        </w:rPr>
        <w:t>6</w:t>
      </w:r>
      <w:r w:rsidRPr="009F566E">
        <w:rPr>
          <w:noProof/>
        </w:rPr>
        <w:t xml:space="preserve"> gilt nicht für Vorhaben zur Bewältigung der Migrationsherausforderungen infolge der militärischen Aggression durch die Russische Föderation. </w:t>
      </w:r>
    </w:p>
    <w:p w14:paraId="22BEA765" w14:textId="52CCF0CD" w:rsidR="003D2470" w:rsidRPr="009F566E" w:rsidRDefault="003D2470" w:rsidP="003D2470">
      <w:pPr>
        <w:pStyle w:val="Text1"/>
        <w:rPr>
          <w:noProof/>
        </w:rPr>
      </w:pPr>
      <w:r w:rsidRPr="009F566E">
        <w:rPr>
          <w:noProof/>
        </w:rPr>
        <w:t>Absatz </w:t>
      </w:r>
      <w:r w:rsidRPr="002C6368">
        <w:rPr>
          <w:noProof/>
        </w:rPr>
        <w:t>6</w:t>
      </w:r>
      <w:r w:rsidRPr="009F566E">
        <w:rPr>
          <w:noProof/>
        </w:rPr>
        <w:t xml:space="preserve"> gilt auch nicht für aus dem EMFF unterstützte Vorhaben zur Bewältigung der Auswirkungen dieser Aggression auf den Fischerei- und Aquakultursektor.</w:t>
      </w:r>
    </w:p>
    <w:p w14:paraId="43DEEFC6" w14:textId="4E2781FD" w:rsidR="0000018F" w:rsidRPr="009F566E" w:rsidRDefault="0000018F" w:rsidP="003E0E5F">
      <w:pPr>
        <w:pStyle w:val="Text1"/>
        <w:rPr>
          <w:noProof/>
        </w:rPr>
      </w:pPr>
      <w:r w:rsidRPr="009F566E">
        <w:rPr>
          <w:noProof/>
        </w:rPr>
        <w:t>Abweichend von Artikel </w:t>
      </w:r>
      <w:r w:rsidRPr="002C6368">
        <w:rPr>
          <w:noProof/>
        </w:rPr>
        <w:t>125</w:t>
      </w:r>
      <w:r w:rsidRPr="009F566E">
        <w:rPr>
          <w:noProof/>
        </w:rPr>
        <w:t xml:space="preserve"> Absatz </w:t>
      </w:r>
      <w:r w:rsidRPr="002C6368">
        <w:rPr>
          <w:noProof/>
        </w:rPr>
        <w:t>3</w:t>
      </w:r>
      <w:r w:rsidRPr="009F566E">
        <w:rPr>
          <w:noProof/>
        </w:rPr>
        <w:t xml:space="preserve"> Buchstabe b können solche Vorhaben vor der Genehmigung des geänderten Programms für eine Unterstützung aus dem EFRE, dem ESF, dem Kohäsionsfonds oder dem EMFF ausgewählt werden.“</w:t>
      </w:r>
    </w:p>
    <w:p w14:paraId="5AA1503A" w14:textId="77777777" w:rsidR="00BB305B" w:rsidRPr="009F566E" w:rsidRDefault="00BB305B" w:rsidP="00BB305B">
      <w:pPr>
        <w:pStyle w:val="Point0"/>
        <w:tabs>
          <w:tab w:val="left" w:pos="851"/>
        </w:tabs>
        <w:rPr>
          <w:noProof/>
        </w:rPr>
      </w:pPr>
      <w:r w:rsidRPr="009F566E">
        <w:rPr>
          <w:noProof/>
        </w:rPr>
        <w:t>(</w:t>
      </w:r>
      <w:r w:rsidRPr="002C6368">
        <w:rPr>
          <w:noProof/>
        </w:rPr>
        <w:t>3</w:t>
      </w:r>
      <w:r w:rsidRPr="009F566E">
        <w:rPr>
          <w:noProof/>
        </w:rPr>
        <w:t>)</w:t>
      </w:r>
      <w:r w:rsidRPr="009F566E">
        <w:rPr>
          <w:noProof/>
        </w:rPr>
        <w:tab/>
        <w:t>Artikel </w:t>
      </w:r>
      <w:r w:rsidRPr="002C6368">
        <w:rPr>
          <w:noProof/>
        </w:rPr>
        <w:t>68</w:t>
      </w:r>
      <w:r w:rsidRPr="009F566E">
        <w:rPr>
          <w:noProof/>
        </w:rPr>
        <w:t>c Unterabsatz </w:t>
      </w:r>
      <w:r w:rsidRPr="002C6368">
        <w:rPr>
          <w:noProof/>
        </w:rPr>
        <w:t>1</w:t>
      </w:r>
      <w:r w:rsidRPr="009F566E">
        <w:rPr>
          <w:noProof/>
        </w:rPr>
        <w:t xml:space="preserve"> erhält folgende Fassung:  </w:t>
      </w:r>
    </w:p>
    <w:p w14:paraId="798FB4FB" w14:textId="30A8BC80" w:rsidR="00BB305B" w:rsidRPr="009F566E" w:rsidRDefault="00BB305B" w:rsidP="003E0E5F">
      <w:pPr>
        <w:pStyle w:val="Text1"/>
        <w:rPr>
          <w:noProof/>
        </w:rPr>
      </w:pPr>
      <w:r w:rsidRPr="009F566E">
        <w:rPr>
          <w:noProof/>
        </w:rPr>
        <w:t xml:space="preserve">„Für die Durchführung von Vorhaben zur Bewältigung der Migrationsherausforderungen infolge der militärischen Aggression der Russischen Föderation können die Mitgliedstaaten in die in Zahlungsanträgen geltend gemachten Ausgaben Einheitskosten für die grundlegenden Bedürfnisse und die Unterstützung von Personen aufnehmen, denen vorübergehender Schutz oder ein anderer angemessener Schutz nach nationalem Recht gemäß dem Durchführungsbeschluss (EU) </w:t>
      </w:r>
      <w:r w:rsidRPr="002C6368">
        <w:rPr>
          <w:noProof/>
        </w:rPr>
        <w:t>2022</w:t>
      </w:r>
      <w:r w:rsidRPr="009F566E">
        <w:rPr>
          <w:noProof/>
        </w:rPr>
        <w:t>/</w:t>
      </w:r>
      <w:r w:rsidRPr="002C6368">
        <w:rPr>
          <w:noProof/>
        </w:rPr>
        <w:t>382</w:t>
      </w:r>
      <w:r w:rsidRPr="009F566E">
        <w:rPr>
          <w:noProof/>
        </w:rPr>
        <w:t xml:space="preserve"> des Rates</w:t>
      </w:r>
      <w:r w:rsidRPr="009F566E">
        <w:rPr>
          <w:rStyle w:val="FootnoteReference"/>
          <w:noProof/>
        </w:rPr>
        <w:footnoteReference w:id="13"/>
      </w:r>
      <w:r w:rsidRPr="009F566E">
        <w:rPr>
          <w:noProof/>
        </w:rPr>
        <w:t xml:space="preserve"> und der Richtlinie </w:t>
      </w:r>
      <w:r w:rsidRPr="002C6368">
        <w:rPr>
          <w:noProof/>
        </w:rPr>
        <w:t>2001</w:t>
      </w:r>
      <w:r w:rsidRPr="009F566E">
        <w:rPr>
          <w:noProof/>
        </w:rPr>
        <w:t>/</w:t>
      </w:r>
      <w:r w:rsidRPr="002C6368">
        <w:rPr>
          <w:noProof/>
        </w:rPr>
        <w:t>55</w:t>
      </w:r>
      <w:r w:rsidRPr="009F566E">
        <w:rPr>
          <w:noProof/>
        </w:rPr>
        <w:t>/EG des Rates</w:t>
      </w:r>
      <w:r w:rsidRPr="009F566E">
        <w:rPr>
          <w:rStyle w:val="FootnoteReference"/>
          <w:noProof/>
        </w:rPr>
        <w:footnoteReference w:id="14"/>
      </w:r>
      <w:r w:rsidRPr="009F566E">
        <w:rPr>
          <w:noProof/>
        </w:rPr>
        <w:t xml:space="preserve"> gewährt wurde. Diese Einheitskosten betragen </w:t>
      </w:r>
      <w:r w:rsidRPr="002C6368">
        <w:rPr>
          <w:noProof/>
        </w:rPr>
        <w:t>100</w:t>
      </w:r>
      <w:r w:rsidRPr="009F566E">
        <w:rPr>
          <w:noProof/>
        </w:rPr>
        <w:t xml:space="preserve"> EUR pro voller bzw. angefangener Woche, in der sich eine Person in einem Mitgliedstaat aufhält. Die Einheitskosten können für insgesamt höchstens </w:t>
      </w:r>
      <w:r w:rsidRPr="002C6368">
        <w:rPr>
          <w:noProof/>
        </w:rPr>
        <w:t>26</w:t>
      </w:r>
      <w:r w:rsidRPr="009F566E">
        <w:rPr>
          <w:noProof/>
        </w:rPr>
        <w:t> Wochen ab dem Tag der Ankunft der Person in der Union angewandt werden.“</w:t>
      </w:r>
    </w:p>
    <w:p w14:paraId="191F0150" w14:textId="77777777" w:rsidR="00F27244" w:rsidRPr="009F566E" w:rsidRDefault="00F27244" w:rsidP="00F37942">
      <w:pPr>
        <w:pStyle w:val="Point0"/>
        <w:ind w:left="0" w:firstLine="1"/>
        <w:rPr>
          <w:noProof/>
        </w:rPr>
      </w:pPr>
      <w:r w:rsidRPr="009F566E">
        <w:rPr>
          <w:noProof/>
        </w:rPr>
        <w:t>(</w:t>
      </w:r>
      <w:r w:rsidRPr="002C6368">
        <w:rPr>
          <w:noProof/>
        </w:rPr>
        <w:t>4</w:t>
      </w:r>
      <w:r w:rsidRPr="009F566E">
        <w:rPr>
          <w:noProof/>
        </w:rPr>
        <w:t>)</w:t>
      </w:r>
      <w:r w:rsidRPr="009F566E">
        <w:rPr>
          <w:noProof/>
        </w:rPr>
        <w:tab/>
        <w:t>In Artikel </w:t>
      </w:r>
      <w:r w:rsidRPr="002C6368">
        <w:rPr>
          <w:noProof/>
        </w:rPr>
        <w:t>70</w:t>
      </w:r>
      <w:r w:rsidRPr="009F566E">
        <w:rPr>
          <w:noProof/>
        </w:rPr>
        <w:t xml:space="preserve"> Absatz </w:t>
      </w:r>
      <w:r w:rsidRPr="002C6368">
        <w:rPr>
          <w:noProof/>
        </w:rPr>
        <w:t>2</w:t>
      </w:r>
      <w:r w:rsidRPr="009F566E">
        <w:rPr>
          <w:noProof/>
        </w:rPr>
        <w:t xml:space="preserve"> wird folgender Unterabsatz angefügt:</w:t>
      </w:r>
    </w:p>
    <w:p w14:paraId="558224EA" w14:textId="77777777" w:rsidR="00F27244" w:rsidRPr="009F566E" w:rsidRDefault="00111C25" w:rsidP="00925880">
      <w:pPr>
        <w:pStyle w:val="Text1"/>
        <w:rPr>
          <w:noProof/>
        </w:rPr>
      </w:pPr>
      <w:r w:rsidRPr="009F566E">
        <w:rPr>
          <w:noProof/>
        </w:rPr>
        <w:t>„Werden Vorhaben zur Bewältigung von Migrationsherausforderungen infolge der militärischen Aggression der Russischen Föderation, die aus dem EFRE, dem ESF oder dem Kohäsionsfonds unterstützt werden, außerhalb des Programmgebiets, aber innerhalb des Mitgliedstaats durchgeführt, so gilt nur Unterabsatz </w:t>
      </w:r>
      <w:r w:rsidRPr="002C6368">
        <w:rPr>
          <w:noProof/>
        </w:rPr>
        <w:t>1</w:t>
      </w:r>
      <w:r w:rsidRPr="009F566E">
        <w:rPr>
          <w:noProof/>
        </w:rPr>
        <w:t xml:space="preserve"> Buchstabe d dieses Absatzes.“</w:t>
      </w:r>
    </w:p>
    <w:p w14:paraId="7CCF1074" w14:textId="77777777" w:rsidR="00C3178C" w:rsidRPr="009F566E" w:rsidRDefault="00C93451" w:rsidP="0054591C">
      <w:pPr>
        <w:pStyle w:val="Point0"/>
        <w:tabs>
          <w:tab w:val="left" w:pos="851"/>
        </w:tabs>
        <w:ind w:left="0" w:firstLine="0"/>
        <w:rPr>
          <w:noProof/>
        </w:rPr>
      </w:pPr>
      <w:r w:rsidRPr="009F566E">
        <w:rPr>
          <w:noProof/>
        </w:rPr>
        <w:t>(</w:t>
      </w:r>
      <w:r w:rsidRPr="002C6368">
        <w:rPr>
          <w:noProof/>
        </w:rPr>
        <w:t>5</w:t>
      </w:r>
      <w:r w:rsidRPr="009F566E">
        <w:rPr>
          <w:noProof/>
        </w:rPr>
        <w:t>)</w:t>
      </w:r>
      <w:r w:rsidRPr="009F566E">
        <w:rPr>
          <w:noProof/>
        </w:rPr>
        <w:tab/>
        <w:t>Artikel </w:t>
      </w:r>
      <w:r w:rsidRPr="002C6368">
        <w:rPr>
          <w:noProof/>
        </w:rPr>
        <w:t>70</w:t>
      </w:r>
      <w:r w:rsidRPr="009F566E">
        <w:rPr>
          <w:noProof/>
        </w:rPr>
        <w:t xml:space="preserve"> Absatz </w:t>
      </w:r>
      <w:r w:rsidRPr="002C6368">
        <w:rPr>
          <w:noProof/>
        </w:rPr>
        <w:t>4</w:t>
      </w:r>
      <w:r w:rsidRPr="009F566E">
        <w:rPr>
          <w:noProof/>
        </w:rPr>
        <w:t xml:space="preserve"> erhält folgende Fassung: </w:t>
      </w:r>
    </w:p>
    <w:p w14:paraId="2EB71E1D" w14:textId="77777777" w:rsidR="00C3178C" w:rsidRPr="009F566E" w:rsidRDefault="00C3178C" w:rsidP="00C3178C">
      <w:pPr>
        <w:pStyle w:val="Text1"/>
        <w:rPr>
          <w:noProof/>
        </w:rPr>
      </w:pPr>
      <w:r w:rsidRPr="009F566E">
        <w:rPr>
          <w:noProof/>
        </w:rPr>
        <w:t>„(</w:t>
      </w:r>
      <w:r w:rsidRPr="002C6368">
        <w:rPr>
          <w:noProof/>
        </w:rPr>
        <w:t>4</w:t>
      </w:r>
      <w:r w:rsidRPr="009F566E">
        <w:rPr>
          <w:noProof/>
        </w:rPr>
        <w:t xml:space="preserve">) Die Absätze </w:t>
      </w:r>
      <w:r w:rsidRPr="002C6368">
        <w:rPr>
          <w:noProof/>
        </w:rPr>
        <w:t>1</w:t>
      </w:r>
      <w:r w:rsidRPr="009F566E">
        <w:rPr>
          <w:noProof/>
        </w:rPr>
        <w:t xml:space="preserve">, </w:t>
      </w:r>
      <w:r w:rsidRPr="002C6368">
        <w:rPr>
          <w:noProof/>
        </w:rPr>
        <w:t>2</w:t>
      </w:r>
      <w:r w:rsidRPr="009F566E">
        <w:rPr>
          <w:noProof/>
        </w:rPr>
        <w:t xml:space="preserve"> und </w:t>
      </w:r>
      <w:r w:rsidRPr="002C6368">
        <w:rPr>
          <w:noProof/>
        </w:rPr>
        <w:t>3</w:t>
      </w:r>
      <w:r w:rsidRPr="009F566E">
        <w:rPr>
          <w:noProof/>
        </w:rPr>
        <w:t xml:space="preserve"> finden keine Anwendung auf Programme im Rahmen des Ziels ‚Europäische territoriale Zusammenarbeit‘. Die Absätze </w:t>
      </w:r>
      <w:r w:rsidRPr="002C6368">
        <w:rPr>
          <w:noProof/>
        </w:rPr>
        <w:t>2</w:t>
      </w:r>
      <w:r w:rsidRPr="009F566E">
        <w:rPr>
          <w:noProof/>
        </w:rPr>
        <w:t xml:space="preserve"> und </w:t>
      </w:r>
      <w:r w:rsidRPr="002C6368">
        <w:rPr>
          <w:noProof/>
        </w:rPr>
        <w:t>3</w:t>
      </w:r>
      <w:r w:rsidRPr="009F566E">
        <w:rPr>
          <w:noProof/>
        </w:rPr>
        <w:t xml:space="preserve"> finden keine Anwendung auf Vorhaben, die durch den ESF unterstützt werden, mit Ausnahme von Absatz </w:t>
      </w:r>
      <w:r w:rsidRPr="002C6368">
        <w:rPr>
          <w:noProof/>
        </w:rPr>
        <w:t>2</w:t>
      </w:r>
      <w:r w:rsidRPr="009F566E">
        <w:rPr>
          <w:noProof/>
        </w:rPr>
        <w:t xml:space="preserve"> letzter Unterabsatz.“</w:t>
      </w:r>
    </w:p>
    <w:p w14:paraId="420B0EA2" w14:textId="77777777" w:rsidR="0054591C" w:rsidRPr="009F566E" w:rsidRDefault="00C3178C" w:rsidP="0054591C">
      <w:pPr>
        <w:pStyle w:val="Point0"/>
        <w:tabs>
          <w:tab w:val="left" w:pos="851"/>
        </w:tabs>
        <w:ind w:left="0" w:firstLine="0"/>
        <w:rPr>
          <w:noProof/>
        </w:rPr>
      </w:pPr>
      <w:r w:rsidRPr="009F566E">
        <w:rPr>
          <w:noProof/>
        </w:rPr>
        <w:t>(</w:t>
      </w:r>
      <w:r w:rsidRPr="002C6368">
        <w:rPr>
          <w:noProof/>
        </w:rPr>
        <w:t>6</w:t>
      </w:r>
      <w:r w:rsidRPr="009F566E">
        <w:rPr>
          <w:noProof/>
        </w:rPr>
        <w:t>)</w:t>
      </w:r>
      <w:r w:rsidRPr="009F566E">
        <w:rPr>
          <w:noProof/>
        </w:rPr>
        <w:tab/>
        <w:t>Artikel </w:t>
      </w:r>
      <w:r w:rsidRPr="002C6368">
        <w:rPr>
          <w:noProof/>
        </w:rPr>
        <w:t>96</w:t>
      </w:r>
      <w:r w:rsidRPr="009F566E">
        <w:rPr>
          <w:noProof/>
        </w:rPr>
        <w:t xml:space="preserve"> Absatz </w:t>
      </w:r>
      <w:r w:rsidRPr="002C6368">
        <w:rPr>
          <w:noProof/>
        </w:rPr>
        <w:t>10</w:t>
      </w:r>
      <w:r w:rsidRPr="009F566E">
        <w:rPr>
          <w:noProof/>
        </w:rPr>
        <w:t xml:space="preserve"> Unterabsatz </w:t>
      </w:r>
      <w:r w:rsidRPr="002C6368">
        <w:rPr>
          <w:noProof/>
        </w:rPr>
        <w:t>1</w:t>
      </w:r>
      <w:r w:rsidRPr="009F566E">
        <w:rPr>
          <w:noProof/>
        </w:rPr>
        <w:t xml:space="preserve"> erhält folgende Fassung: </w:t>
      </w:r>
    </w:p>
    <w:p w14:paraId="3D3D3D5C" w14:textId="77777777" w:rsidR="0054591C" w:rsidRPr="009F566E" w:rsidRDefault="0054591C" w:rsidP="003E0E5F">
      <w:pPr>
        <w:pStyle w:val="Text1"/>
        <w:rPr>
          <w:noProof/>
        </w:rPr>
      </w:pPr>
      <w:r w:rsidRPr="009F566E">
        <w:rPr>
          <w:noProof/>
        </w:rPr>
        <w:t>„(</w:t>
      </w:r>
      <w:r w:rsidRPr="002C6368">
        <w:rPr>
          <w:noProof/>
        </w:rPr>
        <w:t>10</w:t>
      </w:r>
      <w:r w:rsidRPr="009F566E">
        <w:rPr>
          <w:noProof/>
        </w:rPr>
        <w:t>) Unbeschadet von Artikel </w:t>
      </w:r>
      <w:r w:rsidRPr="002C6368">
        <w:rPr>
          <w:noProof/>
        </w:rPr>
        <w:t>30</w:t>
      </w:r>
      <w:r w:rsidRPr="009F566E">
        <w:rPr>
          <w:noProof/>
        </w:rPr>
        <w:t xml:space="preserve"> Absatz </w:t>
      </w:r>
      <w:r w:rsidRPr="002C6368">
        <w:rPr>
          <w:noProof/>
        </w:rPr>
        <w:t>5</w:t>
      </w:r>
      <w:r w:rsidRPr="009F566E">
        <w:rPr>
          <w:noProof/>
        </w:rPr>
        <w:t>, Artikel </w:t>
      </w:r>
      <w:r w:rsidRPr="002C6368">
        <w:rPr>
          <w:noProof/>
        </w:rPr>
        <w:t>30</w:t>
      </w:r>
      <w:r w:rsidRPr="009F566E">
        <w:rPr>
          <w:noProof/>
        </w:rPr>
        <w:t xml:space="preserve"> Absatz </w:t>
      </w:r>
      <w:r w:rsidRPr="002C6368">
        <w:rPr>
          <w:noProof/>
        </w:rPr>
        <w:t>6</w:t>
      </w:r>
      <w:r w:rsidRPr="009F566E">
        <w:rPr>
          <w:noProof/>
        </w:rPr>
        <w:t xml:space="preserve"> und Artikel </w:t>
      </w:r>
      <w:r w:rsidRPr="002C6368">
        <w:rPr>
          <w:noProof/>
        </w:rPr>
        <w:t>30</w:t>
      </w:r>
      <w:r w:rsidRPr="009F566E">
        <w:rPr>
          <w:noProof/>
        </w:rPr>
        <w:t xml:space="preserve"> Absatz </w:t>
      </w:r>
      <w:r w:rsidRPr="002C6368">
        <w:rPr>
          <w:noProof/>
        </w:rPr>
        <w:t>7</w:t>
      </w:r>
      <w:r w:rsidRPr="009F566E">
        <w:rPr>
          <w:noProof/>
        </w:rPr>
        <w:t xml:space="preserve"> erlässt die Kommission mit einem Durchführungsrechtsakt einen Beschluss zur Genehmigung aller unter diesen Artikel fallenden Elemente — einschließlich aller künftigen Änderungen derselben — des operationellen Programms, mit Ausnahme derjenigen Elemente, die unter Absatz </w:t>
      </w:r>
      <w:r w:rsidRPr="002C6368">
        <w:rPr>
          <w:noProof/>
        </w:rPr>
        <w:t>2</w:t>
      </w:r>
      <w:r w:rsidRPr="009F566E">
        <w:rPr>
          <w:noProof/>
        </w:rPr>
        <w:t xml:space="preserve"> Unterabsatz </w:t>
      </w:r>
      <w:r w:rsidRPr="002C6368">
        <w:rPr>
          <w:noProof/>
        </w:rPr>
        <w:t>1</w:t>
      </w:r>
      <w:r w:rsidRPr="009F566E">
        <w:rPr>
          <w:noProof/>
        </w:rPr>
        <w:t xml:space="preserve"> Buchstabe b Ziffer vi, Buchstabe c Ziffer v und Buchstabe e, Absätze </w:t>
      </w:r>
      <w:r w:rsidRPr="002C6368">
        <w:rPr>
          <w:noProof/>
        </w:rPr>
        <w:t>4</w:t>
      </w:r>
      <w:r w:rsidRPr="009F566E">
        <w:rPr>
          <w:noProof/>
        </w:rPr>
        <w:t xml:space="preserve"> und </w:t>
      </w:r>
      <w:r w:rsidRPr="002C6368">
        <w:rPr>
          <w:noProof/>
        </w:rPr>
        <w:t>5</w:t>
      </w:r>
      <w:r w:rsidRPr="009F566E">
        <w:rPr>
          <w:noProof/>
        </w:rPr>
        <w:t>, Absatz </w:t>
      </w:r>
      <w:r w:rsidRPr="002C6368">
        <w:rPr>
          <w:noProof/>
        </w:rPr>
        <w:t>6</w:t>
      </w:r>
      <w:r w:rsidRPr="009F566E">
        <w:rPr>
          <w:noProof/>
        </w:rPr>
        <w:t xml:space="preserve"> Buchstaben a und c sowie Absatz </w:t>
      </w:r>
      <w:r w:rsidRPr="002C6368">
        <w:rPr>
          <w:noProof/>
        </w:rPr>
        <w:t>7</w:t>
      </w:r>
      <w:r w:rsidRPr="009F566E">
        <w:rPr>
          <w:noProof/>
        </w:rPr>
        <w:t xml:space="preserve"> fallen, für die nach wie vor die Mitgliedstaaten zuständig sind.“</w:t>
      </w:r>
    </w:p>
    <w:p w14:paraId="7167CA76" w14:textId="77777777" w:rsidR="00C3178C" w:rsidRPr="009F566E" w:rsidRDefault="004E43DD" w:rsidP="0000018F">
      <w:pPr>
        <w:pStyle w:val="Point0"/>
        <w:rPr>
          <w:noProof/>
        </w:rPr>
      </w:pPr>
      <w:r w:rsidRPr="009F566E">
        <w:rPr>
          <w:noProof/>
        </w:rPr>
        <w:t>(</w:t>
      </w:r>
      <w:r w:rsidRPr="002C6368">
        <w:rPr>
          <w:noProof/>
        </w:rPr>
        <w:t>7</w:t>
      </w:r>
      <w:r w:rsidRPr="009F566E">
        <w:rPr>
          <w:noProof/>
        </w:rPr>
        <w:t>)</w:t>
      </w:r>
      <w:r w:rsidRPr="009F566E">
        <w:rPr>
          <w:noProof/>
        </w:rPr>
        <w:tab/>
        <w:t>Artikel </w:t>
      </w:r>
      <w:r w:rsidRPr="002C6368">
        <w:rPr>
          <w:noProof/>
        </w:rPr>
        <w:t>98</w:t>
      </w:r>
      <w:r w:rsidRPr="009F566E">
        <w:rPr>
          <w:noProof/>
        </w:rPr>
        <w:t xml:space="preserve"> Absatz </w:t>
      </w:r>
      <w:r w:rsidRPr="002C6368">
        <w:rPr>
          <w:noProof/>
        </w:rPr>
        <w:t>4</w:t>
      </w:r>
      <w:r w:rsidRPr="009F566E">
        <w:rPr>
          <w:noProof/>
        </w:rPr>
        <w:t xml:space="preserve"> wird wie folgt geändert:</w:t>
      </w:r>
    </w:p>
    <w:p w14:paraId="35CEFB1E" w14:textId="77777777" w:rsidR="00E45329" w:rsidRPr="009F566E" w:rsidRDefault="00C3178C" w:rsidP="00C3178C">
      <w:pPr>
        <w:pStyle w:val="Text1"/>
        <w:rPr>
          <w:noProof/>
        </w:rPr>
      </w:pPr>
      <w:r w:rsidRPr="009F566E">
        <w:rPr>
          <w:noProof/>
        </w:rPr>
        <w:t>a) Nach Unterabsatz </w:t>
      </w:r>
      <w:r w:rsidRPr="002C6368">
        <w:rPr>
          <w:noProof/>
        </w:rPr>
        <w:t>1</w:t>
      </w:r>
      <w:r w:rsidRPr="009F566E">
        <w:rPr>
          <w:noProof/>
        </w:rPr>
        <w:t xml:space="preserve"> wird folgender Unterabsatz eingefügt: </w:t>
      </w:r>
    </w:p>
    <w:p w14:paraId="60847740" w14:textId="77777777" w:rsidR="00601839" w:rsidRPr="009F566E" w:rsidRDefault="00E45329" w:rsidP="00654E80">
      <w:pPr>
        <w:pStyle w:val="Text1"/>
        <w:rPr>
          <w:noProof/>
        </w:rPr>
      </w:pPr>
      <w:r w:rsidRPr="009F566E">
        <w:rPr>
          <w:noProof/>
        </w:rPr>
        <w:t>„Zusätzlich können solche Vorhaben auch aus dem Kohäsionsfonds auf der Grundlage der für den EFRE oder den ESF geltenden Vorschriften finanziert werden.“</w:t>
      </w:r>
    </w:p>
    <w:p w14:paraId="54DFCBC8" w14:textId="77777777" w:rsidR="00215403" w:rsidRPr="009F566E" w:rsidRDefault="00C3178C" w:rsidP="00C3178C">
      <w:pPr>
        <w:pStyle w:val="Text1"/>
        <w:rPr>
          <w:noProof/>
        </w:rPr>
      </w:pPr>
      <w:r w:rsidRPr="009F566E">
        <w:rPr>
          <w:noProof/>
        </w:rPr>
        <w:t>b) Nach Unterabsatz </w:t>
      </w:r>
      <w:r w:rsidRPr="002C6368">
        <w:rPr>
          <w:noProof/>
        </w:rPr>
        <w:t>2</w:t>
      </w:r>
      <w:r w:rsidRPr="009F566E">
        <w:rPr>
          <w:noProof/>
        </w:rPr>
        <w:t xml:space="preserve"> wird der folgende Unterabsatz eingefügt:</w:t>
      </w:r>
    </w:p>
    <w:p w14:paraId="2899A953" w14:textId="5CB2A0BF" w:rsidR="00215403" w:rsidRPr="009F566E" w:rsidRDefault="00215403" w:rsidP="00654E80">
      <w:pPr>
        <w:pStyle w:val="Text1"/>
        <w:rPr>
          <w:noProof/>
        </w:rPr>
      </w:pPr>
      <w:r w:rsidRPr="009F566E">
        <w:rPr>
          <w:noProof/>
        </w:rPr>
        <w:t>„Wird für eine spezielle Prioritätsachse von der Möglichkeit nach Unterabsatz </w:t>
      </w:r>
      <w:r w:rsidRPr="002C6368">
        <w:rPr>
          <w:noProof/>
        </w:rPr>
        <w:t>1</w:t>
      </w:r>
      <w:r w:rsidRPr="009F566E">
        <w:rPr>
          <w:noProof/>
        </w:rPr>
        <w:t xml:space="preserve"> oder </w:t>
      </w:r>
      <w:r w:rsidRPr="002C6368">
        <w:rPr>
          <w:noProof/>
        </w:rPr>
        <w:t>2</w:t>
      </w:r>
      <w:r w:rsidRPr="009F566E">
        <w:rPr>
          <w:noProof/>
        </w:rPr>
        <w:t xml:space="preserve"> Gebrauch gemacht, so werden mindestens </w:t>
      </w:r>
      <w:r w:rsidRPr="002C6368">
        <w:rPr>
          <w:noProof/>
        </w:rPr>
        <w:t>30</w:t>
      </w:r>
      <w:r w:rsidRPr="009F566E">
        <w:rPr>
          <w:noProof/>
        </w:rPr>
        <w:t> % der Mittelzuweisung für diese Prioritätsachse Vorhaben zugewiesen, deren Begünstigte lokale Behörden und in lokalen Gemeinschaften aktive Organisationen der Zivilgesellschaft sind. Die Mitgliedstaaten geben in dem gemäß Artikel </w:t>
      </w:r>
      <w:r w:rsidRPr="002C6368">
        <w:rPr>
          <w:noProof/>
        </w:rPr>
        <w:t>50</w:t>
      </w:r>
      <w:r w:rsidRPr="009F566E">
        <w:rPr>
          <w:noProof/>
        </w:rPr>
        <w:t xml:space="preserve"> Absatz </w:t>
      </w:r>
      <w:r w:rsidRPr="002C6368">
        <w:rPr>
          <w:noProof/>
        </w:rPr>
        <w:t>1</w:t>
      </w:r>
      <w:r w:rsidRPr="009F566E">
        <w:rPr>
          <w:noProof/>
        </w:rPr>
        <w:t xml:space="preserve"> und Artikel </w:t>
      </w:r>
      <w:r w:rsidRPr="002C6368">
        <w:rPr>
          <w:noProof/>
        </w:rPr>
        <w:t>111</w:t>
      </w:r>
      <w:r w:rsidRPr="009F566E">
        <w:rPr>
          <w:noProof/>
        </w:rPr>
        <w:t xml:space="preserve"> vorgeschriebenen abschließenden Durchführungsbericht an, ob diese Bedingung erfüllt wird. Ist diese Bedingung nicht erfüllt, so wird die Erstattung durch die Kommission im Rahmen der betreffenden Prioritätsachse proportional gekürzt, um sicherzustellen, dass diese Bedingung bei der Berechnung der für das Programm zu leistenden Restzahlung eingehalten wird.“</w:t>
      </w:r>
    </w:p>
    <w:p w14:paraId="2A019DAF" w14:textId="77777777" w:rsidR="00EB007E" w:rsidRPr="009F566E" w:rsidRDefault="00C636B9" w:rsidP="002967E3">
      <w:pPr>
        <w:pStyle w:val="Text1"/>
        <w:rPr>
          <w:noProof/>
        </w:rPr>
      </w:pPr>
      <w:r w:rsidRPr="009F566E">
        <w:rPr>
          <w:noProof/>
        </w:rPr>
        <w:t>c) Unterabsatz </w:t>
      </w:r>
      <w:r w:rsidRPr="002C6368">
        <w:rPr>
          <w:noProof/>
        </w:rPr>
        <w:t>3</w:t>
      </w:r>
      <w:r w:rsidRPr="009F566E">
        <w:rPr>
          <w:noProof/>
        </w:rPr>
        <w:t xml:space="preserve"> erhält folgende Fassung:</w:t>
      </w:r>
    </w:p>
    <w:p w14:paraId="1B0B15D2" w14:textId="77777777" w:rsidR="00EB007E" w:rsidRPr="009F566E" w:rsidRDefault="0008111C" w:rsidP="002812B3">
      <w:pPr>
        <w:pStyle w:val="Text1"/>
        <w:rPr>
          <w:noProof/>
        </w:rPr>
      </w:pPr>
      <w:r w:rsidRPr="009F566E">
        <w:rPr>
          <w:noProof/>
          <w:color w:val="000000"/>
          <w:shd w:val="clear" w:color="auto" w:fill="FFFFFF"/>
        </w:rPr>
        <w:t>„Müssen Daten über Teilnehmer für Vorhaben im Rahmen der in Unterabsatz </w:t>
      </w:r>
      <w:r w:rsidRPr="002C6368">
        <w:rPr>
          <w:noProof/>
          <w:color w:val="000000"/>
          <w:shd w:val="clear" w:color="auto" w:fill="FFFFFF"/>
        </w:rPr>
        <w:t>3</w:t>
      </w:r>
      <w:r w:rsidRPr="009F566E">
        <w:rPr>
          <w:noProof/>
          <w:color w:val="000000"/>
          <w:shd w:val="clear" w:color="auto" w:fill="FFFFFF"/>
        </w:rPr>
        <w:t xml:space="preserve"> genannten Prioritätsachse gemeldet werden, so beruhen diese Daten auf fundierten Schätzungen und beschränken sich auf die Gesamtzahl der unterstützten Personen und die Zahl der Kinder unter </w:t>
      </w:r>
      <w:r w:rsidRPr="002C6368">
        <w:rPr>
          <w:noProof/>
          <w:color w:val="000000"/>
          <w:shd w:val="clear" w:color="auto" w:fill="FFFFFF"/>
        </w:rPr>
        <w:t>18</w:t>
      </w:r>
      <w:r w:rsidRPr="009F566E">
        <w:rPr>
          <w:noProof/>
          <w:color w:val="000000"/>
          <w:shd w:val="clear" w:color="auto" w:fill="FFFFFF"/>
        </w:rPr>
        <w:t> Jahren. Dieselben Berichterstattungsanforderungen gelten auch für andere aus dem ESF unterstützte Prioritätsachsen, in deren Rahmen ausschließlich Vorhaben zur Bewältigung von Migrationsherausforderungen infolge der militärischen Aggression der Russischen Föderation gefördert werden.“</w:t>
      </w:r>
    </w:p>
    <w:p w14:paraId="1350EB90" w14:textId="77777777" w:rsidR="00395481" w:rsidRPr="009F566E" w:rsidRDefault="00395481" w:rsidP="003E0E5F">
      <w:pPr>
        <w:pStyle w:val="Point0"/>
        <w:rPr>
          <w:noProof/>
        </w:rPr>
      </w:pPr>
      <w:r w:rsidRPr="009F566E">
        <w:rPr>
          <w:noProof/>
        </w:rPr>
        <w:t>(</w:t>
      </w:r>
      <w:r w:rsidRPr="002C6368">
        <w:rPr>
          <w:noProof/>
        </w:rPr>
        <w:t>8</w:t>
      </w:r>
      <w:r w:rsidRPr="009F566E">
        <w:rPr>
          <w:noProof/>
        </w:rPr>
        <w:t>)</w:t>
      </w:r>
      <w:r w:rsidRPr="009F566E">
        <w:rPr>
          <w:noProof/>
        </w:rPr>
        <w:tab/>
        <w:t>In Artikel </w:t>
      </w:r>
      <w:r w:rsidRPr="002C6368">
        <w:rPr>
          <w:noProof/>
        </w:rPr>
        <w:t>120</w:t>
      </w:r>
      <w:r w:rsidRPr="009F566E">
        <w:rPr>
          <w:noProof/>
        </w:rPr>
        <w:t xml:space="preserve"> wird folgender Absatz angefügt:</w:t>
      </w:r>
    </w:p>
    <w:p w14:paraId="2269B7B9" w14:textId="77777777" w:rsidR="00395481" w:rsidRPr="009F566E" w:rsidRDefault="00395481" w:rsidP="002812B3">
      <w:pPr>
        <w:pStyle w:val="Text1"/>
        <w:rPr>
          <w:noProof/>
        </w:rPr>
      </w:pPr>
      <w:r w:rsidRPr="009F566E">
        <w:rPr>
          <w:noProof/>
        </w:rPr>
        <w:t>„(</w:t>
      </w:r>
      <w:r w:rsidRPr="002C6368">
        <w:rPr>
          <w:noProof/>
        </w:rPr>
        <w:t>9</w:t>
      </w:r>
      <w:r w:rsidRPr="009F566E">
        <w:rPr>
          <w:noProof/>
        </w:rPr>
        <w:t xml:space="preserve">) Eine gesonderte Prioritätsachse zur Förderung der sozioökonomischen Integration von Drittstaatsangehörigen mit einem Kofinanzierungssatz von bis zu </w:t>
      </w:r>
      <w:r w:rsidRPr="002C6368">
        <w:rPr>
          <w:noProof/>
        </w:rPr>
        <w:t>100</w:t>
      </w:r>
      <w:r w:rsidRPr="009F566E">
        <w:rPr>
          <w:noProof/>
        </w:rPr>
        <w:t> % kann im Rahmen eines operationellen Programms eingerichtet werden. Eine solche Prioritätsachse darf vollständig Vorhaben zur Bewältigung von Migrationsherausforderungen infolge der militärischen Aggression der Russischen Föderation gewidmet sein, einschließlich der in Artikel </w:t>
      </w:r>
      <w:r w:rsidRPr="002C6368">
        <w:rPr>
          <w:noProof/>
        </w:rPr>
        <w:t>98</w:t>
      </w:r>
      <w:r w:rsidRPr="009F566E">
        <w:rPr>
          <w:noProof/>
        </w:rPr>
        <w:t xml:space="preserve"> Absatz </w:t>
      </w:r>
      <w:r w:rsidRPr="002C6368">
        <w:rPr>
          <w:noProof/>
        </w:rPr>
        <w:t>4</w:t>
      </w:r>
      <w:r w:rsidRPr="009F566E">
        <w:rPr>
          <w:noProof/>
        </w:rPr>
        <w:t xml:space="preserve"> Unterabsatz </w:t>
      </w:r>
      <w:r w:rsidRPr="002C6368">
        <w:rPr>
          <w:noProof/>
        </w:rPr>
        <w:t>3</w:t>
      </w:r>
      <w:r w:rsidRPr="009F566E">
        <w:rPr>
          <w:noProof/>
        </w:rPr>
        <w:t xml:space="preserve"> genannten speziellen Prioritätsachse.“</w:t>
      </w:r>
    </w:p>
    <w:p w14:paraId="4CBA07D4" w14:textId="77777777" w:rsidR="00D226DB" w:rsidRPr="009F566E" w:rsidRDefault="00F37942" w:rsidP="00035429">
      <w:pPr>
        <w:pStyle w:val="Point0"/>
        <w:rPr>
          <w:noProof/>
        </w:rPr>
      </w:pPr>
      <w:r w:rsidRPr="009F566E">
        <w:rPr>
          <w:noProof/>
        </w:rPr>
        <w:t>(</w:t>
      </w:r>
      <w:r w:rsidRPr="002C6368">
        <w:rPr>
          <w:noProof/>
        </w:rPr>
        <w:t>9</w:t>
      </w:r>
      <w:r w:rsidRPr="009F566E">
        <w:rPr>
          <w:noProof/>
        </w:rPr>
        <w:t>)</w:t>
      </w:r>
      <w:r w:rsidRPr="009F566E">
        <w:rPr>
          <w:noProof/>
        </w:rPr>
        <w:tab/>
        <w:t>Artikel </w:t>
      </w:r>
      <w:r w:rsidRPr="002C6368">
        <w:rPr>
          <w:noProof/>
        </w:rPr>
        <w:t>130</w:t>
      </w:r>
      <w:r w:rsidRPr="009F566E">
        <w:rPr>
          <w:noProof/>
        </w:rPr>
        <w:t xml:space="preserve"> Absatz </w:t>
      </w:r>
      <w:r w:rsidRPr="002C6368">
        <w:rPr>
          <w:noProof/>
        </w:rPr>
        <w:t>3</w:t>
      </w:r>
      <w:r w:rsidRPr="009F566E">
        <w:rPr>
          <w:noProof/>
        </w:rPr>
        <w:t xml:space="preserve"> Unterabsatz </w:t>
      </w:r>
      <w:r w:rsidRPr="002C6368">
        <w:rPr>
          <w:noProof/>
        </w:rPr>
        <w:t>1</w:t>
      </w:r>
      <w:r w:rsidRPr="009F566E">
        <w:rPr>
          <w:noProof/>
        </w:rPr>
        <w:t xml:space="preserve"> erhält folgende Fassung:</w:t>
      </w:r>
    </w:p>
    <w:p w14:paraId="17CB1EC5" w14:textId="77777777" w:rsidR="00182F8D" w:rsidRPr="009F566E" w:rsidRDefault="00CA5FF3" w:rsidP="00035429">
      <w:pPr>
        <w:pStyle w:val="Text1"/>
        <w:rPr>
          <w:noProof/>
        </w:rPr>
      </w:pPr>
      <w:r w:rsidRPr="009F566E">
        <w:rPr>
          <w:noProof/>
        </w:rPr>
        <w:t>„Abweichend von Absatz </w:t>
      </w:r>
      <w:r w:rsidRPr="002C6368">
        <w:rPr>
          <w:noProof/>
        </w:rPr>
        <w:t>2</w:t>
      </w:r>
      <w:r w:rsidRPr="009F566E">
        <w:rPr>
          <w:noProof/>
        </w:rPr>
        <w:t xml:space="preserve"> liegt der Beitrag aus den Fonds oder dem EMFF in Form von Restzahlungen für jede Priorität pro Fonds und pro Regionenkategorie im letzten Geschäftsjahr um nicht mehr als </w:t>
      </w:r>
      <w:r w:rsidRPr="002C6368">
        <w:rPr>
          <w:noProof/>
        </w:rPr>
        <w:t>15</w:t>
      </w:r>
      <w:r w:rsidRPr="009F566E">
        <w:rPr>
          <w:noProof/>
        </w:rPr>
        <w:t> % höher als der im Beschluss der Kommission zur Genehmigung des operationellen Programms festgelegte Beitrag aus den Fonds oder dem EMFF für jede Prioritätsachse pro Fonds und pro Regionenkategorie.“</w:t>
      </w:r>
    </w:p>
    <w:p w14:paraId="66681B5E" w14:textId="77777777" w:rsidR="00C71348" w:rsidRPr="009F566E" w:rsidRDefault="00C71348" w:rsidP="00C71348">
      <w:pPr>
        <w:pStyle w:val="Titrearticle"/>
        <w:rPr>
          <w:noProof/>
        </w:rPr>
      </w:pPr>
      <w:r w:rsidRPr="009F566E">
        <w:rPr>
          <w:noProof/>
        </w:rPr>
        <w:t>Artikel </w:t>
      </w:r>
      <w:r w:rsidRPr="002C6368">
        <w:rPr>
          <w:noProof/>
        </w:rPr>
        <w:t>2</w:t>
      </w:r>
    </w:p>
    <w:p w14:paraId="42EEE101" w14:textId="77777777" w:rsidR="00C71348" w:rsidRPr="009F566E" w:rsidRDefault="00C71348" w:rsidP="00C71348">
      <w:pPr>
        <w:jc w:val="center"/>
        <w:rPr>
          <w:b/>
          <w:noProof/>
        </w:rPr>
      </w:pPr>
      <w:r w:rsidRPr="009F566E">
        <w:rPr>
          <w:b/>
          <w:noProof/>
        </w:rPr>
        <w:t xml:space="preserve">Änderungen der Verordnung (EU) </w:t>
      </w:r>
      <w:r w:rsidRPr="002C6368">
        <w:rPr>
          <w:b/>
          <w:noProof/>
        </w:rPr>
        <w:t>2021</w:t>
      </w:r>
      <w:r w:rsidRPr="009F566E">
        <w:rPr>
          <w:b/>
          <w:noProof/>
        </w:rPr>
        <w:t>/</w:t>
      </w:r>
      <w:r w:rsidRPr="002C6368">
        <w:rPr>
          <w:b/>
          <w:noProof/>
        </w:rPr>
        <w:t>1060</w:t>
      </w:r>
    </w:p>
    <w:p w14:paraId="613AC6DE" w14:textId="77777777" w:rsidR="006C2F62" w:rsidRPr="009F566E" w:rsidRDefault="006C2F62" w:rsidP="006C2F62">
      <w:pPr>
        <w:jc w:val="left"/>
        <w:rPr>
          <w:noProof/>
        </w:rPr>
      </w:pPr>
      <w:r w:rsidRPr="009F566E">
        <w:rPr>
          <w:noProof/>
        </w:rPr>
        <w:t>Die Verordnung (EU) </w:t>
      </w:r>
      <w:r w:rsidRPr="002C6368">
        <w:rPr>
          <w:noProof/>
        </w:rPr>
        <w:t>2021</w:t>
      </w:r>
      <w:r w:rsidRPr="009F566E">
        <w:rPr>
          <w:noProof/>
        </w:rPr>
        <w:t>/</w:t>
      </w:r>
      <w:r w:rsidRPr="002C6368">
        <w:rPr>
          <w:noProof/>
        </w:rPr>
        <w:t>1060</w:t>
      </w:r>
      <w:r w:rsidRPr="009F566E">
        <w:rPr>
          <w:noProof/>
        </w:rPr>
        <w:t xml:space="preserve"> wird wie folgt geändert:</w:t>
      </w:r>
    </w:p>
    <w:p w14:paraId="26EC14E2" w14:textId="77777777" w:rsidR="00DA3892" w:rsidRPr="009F566E" w:rsidRDefault="00DA3892" w:rsidP="00DA3892">
      <w:pPr>
        <w:pStyle w:val="Text1"/>
        <w:ind w:left="851" w:hanging="851"/>
        <w:rPr>
          <w:noProof/>
        </w:rPr>
      </w:pPr>
      <w:r w:rsidRPr="009F566E">
        <w:rPr>
          <w:noProof/>
        </w:rPr>
        <w:t>(</w:t>
      </w:r>
      <w:r w:rsidRPr="002C6368">
        <w:rPr>
          <w:noProof/>
        </w:rPr>
        <w:t>1</w:t>
      </w:r>
      <w:r w:rsidRPr="009F566E">
        <w:rPr>
          <w:noProof/>
        </w:rPr>
        <w:t>)</w:t>
      </w:r>
      <w:r w:rsidRPr="009F566E">
        <w:rPr>
          <w:noProof/>
        </w:rPr>
        <w:tab/>
        <w:t>In Artikel </w:t>
      </w:r>
      <w:r w:rsidRPr="002C6368">
        <w:rPr>
          <w:noProof/>
        </w:rPr>
        <w:t>90</w:t>
      </w:r>
      <w:r w:rsidRPr="009F566E">
        <w:rPr>
          <w:noProof/>
        </w:rPr>
        <w:t xml:space="preserve"> Absatz </w:t>
      </w:r>
      <w:r w:rsidRPr="002C6368">
        <w:rPr>
          <w:noProof/>
        </w:rPr>
        <w:t>2</w:t>
      </w:r>
      <w:r w:rsidRPr="009F566E">
        <w:rPr>
          <w:noProof/>
        </w:rPr>
        <w:t xml:space="preserve"> wird der folgende Unterabsatz angefügt:</w:t>
      </w:r>
    </w:p>
    <w:p w14:paraId="49E9DA99" w14:textId="77777777" w:rsidR="00DA3892" w:rsidRPr="009F566E" w:rsidRDefault="00DA3892" w:rsidP="00DA3892">
      <w:pPr>
        <w:pStyle w:val="Text1"/>
        <w:ind w:left="851" w:hanging="131"/>
        <w:rPr>
          <w:noProof/>
        </w:rPr>
      </w:pPr>
      <w:r w:rsidRPr="009F566E">
        <w:rPr>
          <w:noProof/>
        </w:rPr>
        <w:t xml:space="preserve">„Für Programme, die aus dem EFRE, dem ESF+ oder dem Kohäsionsfonds im Rahmen des Ziels ‚Investitionen in Beschäftigung und Wachstum‘ unterstützt werden, wird </w:t>
      </w:r>
      <w:r w:rsidRPr="002C6368">
        <w:rPr>
          <w:noProof/>
        </w:rPr>
        <w:t>2022</w:t>
      </w:r>
      <w:r w:rsidRPr="009F566E">
        <w:rPr>
          <w:noProof/>
        </w:rPr>
        <w:t xml:space="preserve"> unmittelbar nach Inkrafttreten dieser Verordnung eine zusätzliche Vorfinanzierung in Höhe von </w:t>
      </w:r>
      <w:r w:rsidRPr="002C6368">
        <w:rPr>
          <w:noProof/>
        </w:rPr>
        <w:t>0</w:t>
      </w:r>
      <w:r w:rsidRPr="009F566E">
        <w:rPr>
          <w:noProof/>
        </w:rPr>
        <w:t>,</w:t>
      </w:r>
      <w:r w:rsidRPr="002C6368">
        <w:rPr>
          <w:noProof/>
        </w:rPr>
        <w:t>5</w:t>
      </w:r>
      <w:r w:rsidRPr="009F566E">
        <w:rPr>
          <w:noProof/>
        </w:rPr>
        <w:t xml:space="preserve"> % und </w:t>
      </w:r>
      <w:r w:rsidRPr="002C6368">
        <w:rPr>
          <w:noProof/>
        </w:rPr>
        <w:t>2023</w:t>
      </w:r>
      <w:r w:rsidRPr="009F566E">
        <w:rPr>
          <w:noProof/>
        </w:rPr>
        <w:t xml:space="preserve"> eine weitere zusätzliche Vorfinanzierung in Höhe von </w:t>
      </w:r>
      <w:r w:rsidRPr="002C6368">
        <w:rPr>
          <w:noProof/>
        </w:rPr>
        <w:t>0</w:t>
      </w:r>
      <w:r w:rsidRPr="009F566E">
        <w:rPr>
          <w:noProof/>
        </w:rPr>
        <w:t>,</w:t>
      </w:r>
      <w:r w:rsidRPr="002C6368">
        <w:rPr>
          <w:noProof/>
        </w:rPr>
        <w:t>5</w:t>
      </w:r>
      <w:r w:rsidRPr="009F566E">
        <w:rPr>
          <w:noProof/>
        </w:rPr>
        <w:t xml:space="preserve"> % gezahlt. Wird ein Programm nach dem </w:t>
      </w:r>
      <w:r w:rsidRPr="002C6368">
        <w:rPr>
          <w:noProof/>
        </w:rPr>
        <w:t>31</w:t>
      </w:r>
      <w:r w:rsidRPr="009F566E">
        <w:rPr>
          <w:noProof/>
        </w:rPr>
        <w:t xml:space="preserve">. Dezember </w:t>
      </w:r>
      <w:r w:rsidRPr="002C6368">
        <w:rPr>
          <w:noProof/>
        </w:rPr>
        <w:t>2022</w:t>
      </w:r>
      <w:r w:rsidRPr="009F566E">
        <w:rPr>
          <w:noProof/>
        </w:rPr>
        <w:t xml:space="preserve"> angenommen, so wird die Tranche für das Jahr </w:t>
      </w:r>
      <w:r w:rsidRPr="002C6368">
        <w:rPr>
          <w:noProof/>
        </w:rPr>
        <w:t>2022</w:t>
      </w:r>
      <w:r w:rsidRPr="009F566E">
        <w:rPr>
          <w:noProof/>
        </w:rPr>
        <w:t xml:space="preserve"> im Jahr der Annahme gezahlt.“</w:t>
      </w:r>
    </w:p>
    <w:p w14:paraId="2B73F7C6" w14:textId="77777777" w:rsidR="00B832CB" w:rsidRPr="009F566E" w:rsidRDefault="004700C1" w:rsidP="00DA3892">
      <w:pPr>
        <w:pStyle w:val="Point0"/>
        <w:rPr>
          <w:noProof/>
        </w:rPr>
      </w:pPr>
      <w:r w:rsidRPr="009F566E">
        <w:rPr>
          <w:noProof/>
        </w:rPr>
        <w:t>(</w:t>
      </w:r>
      <w:r w:rsidRPr="002C6368">
        <w:rPr>
          <w:noProof/>
        </w:rPr>
        <w:t>2</w:t>
      </w:r>
      <w:r w:rsidRPr="009F566E">
        <w:rPr>
          <w:noProof/>
        </w:rPr>
        <w:t>)</w:t>
      </w:r>
      <w:r w:rsidRPr="009F566E">
        <w:rPr>
          <w:noProof/>
        </w:rPr>
        <w:tab/>
        <w:t>Artikel </w:t>
      </w:r>
      <w:r w:rsidRPr="002C6368">
        <w:rPr>
          <w:noProof/>
        </w:rPr>
        <w:t>90</w:t>
      </w:r>
      <w:r w:rsidRPr="009F566E">
        <w:rPr>
          <w:noProof/>
        </w:rPr>
        <w:t xml:space="preserve"> Absatz </w:t>
      </w:r>
      <w:r w:rsidRPr="002C6368">
        <w:rPr>
          <w:noProof/>
        </w:rPr>
        <w:t>5</w:t>
      </w:r>
      <w:r w:rsidRPr="009F566E">
        <w:rPr>
          <w:noProof/>
        </w:rPr>
        <w:t xml:space="preserve"> Unterabsatz </w:t>
      </w:r>
      <w:r w:rsidRPr="002C6368">
        <w:rPr>
          <w:noProof/>
        </w:rPr>
        <w:t>1</w:t>
      </w:r>
      <w:r w:rsidRPr="009F566E">
        <w:rPr>
          <w:noProof/>
        </w:rPr>
        <w:t xml:space="preserve"> erhält folgende Fassung: </w:t>
      </w:r>
    </w:p>
    <w:p w14:paraId="1AF538C1" w14:textId="77777777" w:rsidR="00B832CB" w:rsidRPr="009F566E" w:rsidRDefault="00B832CB" w:rsidP="00301AC6">
      <w:pPr>
        <w:pStyle w:val="Text1"/>
        <w:ind w:left="851"/>
        <w:rPr>
          <w:noProof/>
        </w:rPr>
      </w:pPr>
      <w:r w:rsidRPr="009F566E">
        <w:rPr>
          <w:noProof/>
        </w:rPr>
        <w:t>„(</w:t>
      </w:r>
      <w:r w:rsidRPr="002C6368">
        <w:rPr>
          <w:noProof/>
        </w:rPr>
        <w:t>5</w:t>
      </w:r>
      <w:r w:rsidRPr="009F566E">
        <w:rPr>
          <w:noProof/>
        </w:rPr>
        <w:t xml:space="preserve">) Der als Vorfinanzierung gezahlte Betrag für die Jahre </w:t>
      </w:r>
      <w:r w:rsidRPr="002C6368">
        <w:rPr>
          <w:noProof/>
        </w:rPr>
        <w:t>2021</w:t>
      </w:r>
      <w:r w:rsidRPr="009F566E">
        <w:rPr>
          <w:noProof/>
        </w:rPr>
        <w:t xml:space="preserve"> und </w:t>
      </w:r>
      <w:r w:rsidRPr="002C6368">
        <w:rPr>
          <w:noProof/>
        </w:rPr>
        <w:t>2022</w:t>
      </w:r>
      <w:r w:rsidRPr="009F566E">
        <w:rPr>
          <w:noProof/>
        </w:rPr>
        <w:t xml:space="preserve"> mit Ausnahme der in Absatz </w:t>
      </w:r>
      <w:r w:rsidRPr="002C6368">
        <w:rPr>
          <w:noProof/>
        </w:rPr>
        <w:t>2</w:t>
      </w:r>
      <w:r w:rsidRPr="009F566E">
        <w:rPr>
          <w:noProof/>
        </w:rPr>
        <w:t xml:space="preserve"> letzter Unterabsatz genannten zusätzlichen Vorfinanzierung wird jedes Jahr in der Rechnungslegung der Kommission verbucht. Alle anderen als Vorfinanzierung gezahlten Beträge werden gemäß Artikel </w:t>
      </w:r>
      <w:r w:rsidRPr="002C6368">
        <w:rPr>
          <w:noProof/>
        </w:rPr>
        <w:t>100</w:t>
      </w:r>
      <w:r w:rsidRPr="009F566E">
        <w:rPr>
          <w:noProof/>
        </w:rPr>
        <w:t xml:space="preserve"> spätestens mit dem abschließenden Geschäftsjahr in der Rechnungslegung der Kommission verbucht.“</w:t>
      </w:r>
    </w:p>
    <w:p w14:paraId="4C8F0513" w14:textId="77777777" w:rsidR="00215403" w:rsidRPr="009F566E" w:rsidRDefault="00B832CB" w:rsidP="00DA3892">
      <w:pPr>
        <w:pStyle w:val="Point0"/>
        <w:rPr>
          <w:noProof/>
        </w:rPr>
      </w:pPr>
      <w:r w:rsidRPr="009F566E">
        <w:rPr>
          <w:noProof/>
        </w:rPr>
        <w:t>(</w:t>
      </w:r>
      <w:r w:rsidRPr="002C6368">
        <w:rPr>
          <w:noProof/>
        </w:rPr>
        <w:t>3</w:t>
      </w:r>
      <w:r w:rsidRPr="009F566E">
        <w:rPr>
          <w:noProof/>
        </w:rPr>
        <w:t>)</w:t>
      </w:r>
      <w:r w:rsidRPr="009F566E">
        <w:rPr>
          <w:noProof/>
        </w:rPr>
        <w:tab/>
        <w:t>In Artikel </w:t>
      </w:r>
      <w:r w:rsidRPr="002C6368">
        <w:rPr>
          <w:noProof/>
        </w:rPr>
        <w:t>112</w:t>
      </w:r>
      <w:r w:rsidRPr="009F566E">
        <w:rPr>
          <w:noProof/>
        </w:rPr>
        <w:t xml:space="preserve"> wird folgender Absatz angefügt: </w:t>
      </w:r>
    </w:p>
    <w:p w14:paraId="25C29640" w14:textId="624FEABB" w:rsidR="00DA3892" w:rsidRPr="009F566E" w:rsidRDefault="00215403" w:rsidP="00215403">
      <w:pPr>
        <w:pStyle w:val="Text1"/>
        <w:ind w:left="851"/>
        <w:rPr>
          <w:noProof/>
        </w:rPr>
      </w:pPr>
      <w:r w:rsidRPr="009F566E">
        <w:rPr>
          <w:noProof/>
        </w:rPr>
        <w:t>„(</w:t>
      </w:r>
      <w:r w:rsidRPr="002C6368">
        <w:rPr>
          <w:noProof/>
        </w:rPr>
        <w:t>7</w:t>
      </w:r>
      <w:r w:rsidRPr="009F566E">
        <w:rPr>
          <w:noProof/>
        </w:rPr>
        <w:t xml:space="preserve">) Wird im Rahmen eines Programms eine gesonderte Priorität eingerichtet, um Vorhaben zur Förderung der sozioökonomischen Integration von Drittstaatsangehörigen zu unterstützen, so gilt ein Kofinanzierungssatz von bis zu </w:t>
      </w:r>
      <w:r w:rsidRPr="002C6368">
        <w:rPr>
          <w:noProof/>
        </w:rPr>
        <w:t>100</w:t>
      </w:r>
      <w:r w:rsidRPr="009F566E">
        <w:rPr>
          <w:noProof/>
        </w:rPr>
        <w:t xml:space="preserve"> % für Ausgaben, die in den Zahlungsanträgen bis zum Ende des am </w:t>
      </w:r>
      <w:r w:rsidRPr="002C6368">
        <w:rPr>
          <w:noProof/>
        </w:rPr>
        <w:t>30</w:t>
      </w:r>
      <w:r w:rsidRPr="009F566E">
        <w:rPr>
          <w:noProof/>
        </w:rPr>
        <w:t xml:space="preserve">. Juni </w:t>
      </w:r>
      <w:r w:rsidRPr="002C6368">
        <w:rPr>
          <w:noProof/>
        </w:rPr>
        <w:t>2024</w:t>
      </w:r>
      <w:r w:rsidRPr="009F566E">
        <w:rPr>
          <w:noProof/>
        </w:rPr>
        <w:t xml:space="preserve"> endenden Geschäftsjahres geltend gemacht werden. Nach diesem Zeitpunkt gelten die im Programm festgelegten Kofinanzierungssätze entsprechend den in den Absätzen </w:t>
      </w:r>
      <w:r w:rsidRPr="002C6368">
        <w:rPr>
          <w:noProof/>
        </w:rPr>
        <w:t>3</w:t>
      </w:r>
      <w:r w:rsidRPr="009F566E">
        <w:rPr>
          <w:noProof/>
        </w:rPr>
        <w:t xml:space="preserve"> und </w:t>
      </w:r>
      <w:r w:rsidRPr="002C6368">
        <w:rPr>
          <w:noProof/>
        </w:rPr>
        <w:t>4</w:t>
      </w:r>
      <w:r w:rsidRPr="009F566E">
        <w:rPr>
          <w:noProof/>
        </w:rPr>
        <w:t xml:space="preserve"> festgelegten Höchstsätzen für die Kofinanzierung. </w:t>
      </w:r>
    </w:p>
    <w:p w14:paraId="350AE1C1" w14:textId="77777777" w:rsidR="003535D8" w:rsidRPr="009F566E" w:rsidRDefault="003535D8" w:rsidP="003535D8">
      <w:pPr>
        <w:pStyle w:val="Text1"/>
        <w:ind w:left="851"/>
        <w:rPr>
          <w:noProof/>
        </w:rPr>
      </w:pPr>
      <w:r w:rsidRPr="009F566E">
        <w:rPr>
          <w:noProof/>
        </w:rPr>
        <w:t xml:space="preserve">Der im Rahmen solcher Prioritäten in einem Mitgliedstaat vorgesehene Gesamtbetrag übersteigt nicht </w:t>
      </w:r>
      <w:r w:rsidRPr="002C6368">
        <w:rPr>
          <w:noProof/>
        </w:rPr>
        <w:t>5</w:t>
      </w:r>
      <w:r w:rsidRPr="009F566E">
        <w:rPr>
          <w:noProof/>
        </w:rPr>
        <w:t xml:space="preserve"> % der ursprünglichen nationalen Zuweisungen aus dem EFRE und dem ESF+ zusammengenommen. </w:t>
      </w:r>
    </w:p>
    <w:p w14:paraId="7D836E0B" w14:textId="77777777" w:rsidR="00DA3892" w:rsidRPr="009F566E" w:rsidRDefault="00DA3892" w:rsidP="00151187">
      <w:pPr>
        <w:pStyle w:val="Text1"/>
        <w:ind w:left="851"/>
        <w:rPr>
          <w:noProof/>
        </w:rPr>
      </w:pPr>
      <w:r w:rsidRPr="009F566E">
        <w:rPr>
          <w:noProof/>
        </w:rPr>
        <w:t xml:space="preserve">Die Kommission überprüft den Kofinanzierungssatz zum </w:t>
      </w:r>
      <w:r w:rsidRPr="002C6368">
        <w:rPr>
          <w:noProof/>
        </w:rPr>
        <w:t>30</w:t>
      </w:r>
      <w:r w:rsidRPr="009F566E">
        <w:rPr>
          <w:noProof/>
        </w:rPr>
        <w:t xml:space="preserve">. Juni </w:t>
      </w:r>
      <w:r w:rsidRPr="002C6368">
        <w:rPr>
          <w:noProof/>
        </w:rPr>
        <w:t>2024</w:t>
      </w:r>
      <w:r w:rsidRPr="009F566E">
        <w:rPr>
          <w:noProof/>
        </w:rPr>
        <w:t>.</w:t>
      </w:r>
    </w:p>
    <w:p w14:paraId="3621A065" w14:textId="4BCDB76C" w:rsidR="00DA3892" w:rsidRPr="009F566E" w:rsidRDefault="001B084D" w:rsidP="00DA3892">
      <w:pPr>
        <w:pStyle w:val="Text1"/>
        <w:ind w:left="851"/>
        <w:rPr>
          <w:noProof/>
        </w:rPr>
      </w:pPr>
      <w:r w:rsidRPr="009F566E">
        <w:rPr>
          <w:noProof/>
        </w:rPr>
        <w:t xml:space="preserve">Mindestens </w:t>
      </w:r>
      <w:r w:rsidRPr="002C6368">
        <w:rPr>
          <w:noProof/>
        </w:rPr>
        <w:t>30</w:t>
      </w:r>
      <w:r w:rsidRPr="009F566E">
        <w:rPr>
          <w:noProof/>
        </w:rPr>
        <w:t> % der Mittelzuweisungen für eine solche gesonderte Priorität werden Vorhaben zugewiesen, deren Begünstigte lokale Behörden und in den lokalen Gemeinschaften aktive Organisationen der Zivilgesellschaft sind. Die Mitgliedstaaten geben in dem gemäß Artikel </w:t>
      </w:r>
      <w:r w:rsidRPr="002C6368">
        <w:rPr>
          <w:noProof/>
        </w:rPr>
        <w:t>43</w:t>
      </w:r>
      <w:r w:rsidRPr="009F566E">
        <w:rPr>
          <w:noProof/>
        </w:rPr>
        <w:t xml:space="preserve"> vorgeschriebenen abschließenden Leistungsbericht an, ob diese Bedingung erfüllt wird. Ist diese Bedingung nicht erfüllt, so wird die Erstattung durch die Kommission im Rahmen der betreffenden Priorität proportional gekürzt, um sicherzustellen, dass diese Bedingung bei der Berechnung des für das Programm zu leistenden Restbetrags eingehalten wird.“</w:t>
      </w:r>
    </w:p>
    <w:p w14:paraId="43131B08" w14:textId="77777777" w:rsidR="00C520AE" w:rsidRPr="009F566E" w:rsidRDefault="00215403" w:rsidP="003E0E5F">
      <w:pPr>
        <w:pStyle w:val="Point0"/>
        <w:rPr>
          <w:noProof/>
        </w:rPr>
      </w:pPr>
      <w:r w:rsidRPr="009F566E">
        <w:rPr>
          <w:noProof/>
        </w:rPr>
        <w:t>(</w:t>
      </w:r>
      <w:r w:rsidRPr="002C6368">
        <w:rPr>
          <w:noProof/>
        </w:rPr>
        <w:t>4</w:t>
      </w:r>
      <w:r w:rsidRPr="009F566E">
        <w:rPr>
          <w:noProof/>
        </w:rPr>
        <w:t>)</w:t>
      </w:r>
      <w:r w:rsidRPr="009F566E">
        <w:rPr>
          <w:noProof/>
        </w:rPr>
        <w:tab/>
        <w:t>Folgender Artikel </w:t>
      </w:r>
      <w:r w:rsidRPr="002C6368">
        <w:rPr>
          <w:noProof/>
        </w:rPr>
        <w:t>118</w:t>
      </w:r>
      <w:r w:rsidRPr="009F566E">
        <w:rPr>
          <w:noProof/>
        </w:rPr>
        <w:t xml:space="preserve">a wird eingefügt: </w:t>
      </w:r>
    </w:p>
    <w:p w14:paraId="4F00E1AA" w14:textId="77777777" w:rsidR="00C520AE" w:rsidRPr="009F566E" w:rsidRDefault="00C520AE" w:rsidP="003E0E5F">
      <w:pPr>
        <w:pStyle w:val="Text1"/>
        <w:jc w:val="center"/>
        <w:rPr>
          <w:noProof/>
        </w:rPr>
      </w:pPr>
      <w:r w:rsidRPr="009F566E">
        <w:rPr>
          <w:noProof/>
        </w:rPr>
        <w:t>„</w:t>
      </w:r>
      <w:r w:rsidRPr="009F566E">
        <w:rPr>
          <w:i/>
          <w:noProof/>
        </w:rPr>
        <w:t>Artikel </w:t>
      </w:r>
      <w:r w:rsidRPr="002C6368">
        <w:rPr>
          <w:i/>
          <w:noProof/>
        </w:rPr>
        <w:t>118</w:t>
      </w:r>
      <w:r w:rsidRPr="009F566E">
        <w:rPr>
          <w:i/>
          <w:noProof/>
        </w:rPr>
        <w:t>a</w:t>
      </w:r>
    </w:p>
    <w:p w14:paraId="6FDE15D7" w14:textId="77777777" w:rsidR="00C520AE" w:rsidRPr="009F566E" w:rsidRDefault="00C520AE" w:rsidP="00136CB4">
      <w:pPr>
        <w:pStyle w:val="Text1"/>
        <w:rPr>
          <w:b/>
          <w:noProof/>
        </w:rPr>
      </w:pPr>
      <w:r w:rsidRPr="009F566E">
        <w:rPr>
          <w:b/>
          <w:noProof/>
        </w:rPr>
        <w:t xml:space="preserve">Bedingungen für in Phasen durchgeführte Vorhaben, die vor dem </w:t>
      </w:r>
      <w:r w:rsidRPr="002C6368">
        <w:rPr>
          <w:b/>
          <w:noProof/>
        </w:rPr>
        <w:t>29</w:t>
      </w:r>
      <w:r w:rsidRPr="009F566E">
        <w:rPr>
          <w:b/>
          <w:noProof/>
        </w:rPr>
        <w:t xml:space="preserve">. Juni </w:t>
      </w:r>
      <w:r w:rsidRPr="002C6368">
        <w:rPr>
          <w:b/>
          <w:noProof/>
        </w:rPr>
        <w:t>2022</w:t>
      </w:r>
      <w:r w:rsidRPr="009F566E">
        <w:rPr>
          <w:b/>
          <w:noProof/>
        </w:rPr>
        <w:t xml:space="preserve"> für eine Unterstützung nach der Verordnung (EU) Nr. </w:t>
      </w:r>
      <w:r w:rsidRPr="002C6368">
        <w:rPr>
          <w:b/>
          <w:noProof/>
        </w:rPr>
        <w:t>1303</w:t>
      </w:r>
      <w:r w:rsidRPr="009F566E">
        <w:rPr>
          <w:b/>
          <w:noProof/>
        </w:rPr>
        <w:t>/</w:t>
      </w:r>
      <w:r w:rsidRPr="002C6368">
        <w:rPr>
          <w:b/>
          <w:noProof/>
        </w:rPr>
        <w:t>2013</w:t>
      </w:r>
      <w:r w:rsidRPr="009F566E">
        <w:rPr>
          <w:b/>
          <w:noProof/>
        </w:rPr>
        <w:t xml:space="preserve"> ausgewählt wurden</w:t>
      </w:r>
    </w:p>
    <w:p w14:paraId="35F8C634" w14:textId="77777777" w:rsidR="00104D2B" w:rsidRPr="009F566E" w:rsidRDefault="00A822E1" w:rsidP="00136CB4">
      <w:pPr>
        <w:pStyle w:val="Text1"/>
        <w:rPr>
          <w:noProof/>
        </w:rPr>
      </w:pPr>
      <w:r w:rsidRPr="009F566E">
        <w:rPr>
          <w:noProof/>
        </w:rPr>
        <w:t>(</w:t>
      </w:r>
      <w:r w:rsidRPr="002C6368">
        <w:rPr>
          <w:noProof/>
        </w:rPr>
        <w:t>1</w:t>
      </w:r>
      <w:r w:rsidRPr="009F566E">
        <w:rPr>
          <w:noProof/>
        </w:rPr>
        <w:t>) Unbeschadet von Artikel </w:t>
      </w:r>
      <w:r w:rsidRPr="002C6368">
        <w:rPr>
          <w:noProof/>
        </w:rPr>
        <w:t>118</w:t>
      </w:r>
      <w:r w:rsidRPr="009F566E">
        <w:rPr>
          <w:noProof/>
        </w:rPr>
        <w:t xml:space="preserve"> kann ein Vorhaben mit Gesamtkosten von mehr als </w:t>
      </w:r>
      <w:r w:rsidRPr="002C6368">
        <w:rPr>
          <w:noProof/>
        </w:rPr>
        <w:t>1</w:t>
      </w:r>
      <w:r w:rsidRPr="009F566E">
        <w:rPr>
          <w:noProof/>
        </w:rPr>
        <w:t> </w:t>
      </w:r>
      <w:r w:rsidRPr="002C6368">
        <w:rPr>
          <w:noProof/>
        </w:rPr>
        <w:t>000</w:t>
      </w:r>
      <w:r w:rsidRPr="009F566E">
        <w:rPr>
          <w:noProof/>
        </w:rPr>
        <w:t> </w:t>
      </w:r>
      <w:r w:rsidRPr="002C6368">
        <w:rPr>
          <w:noProof/>
        </w:rPr>
        <w:t>000</w:t>
      </w:r>
      <w:r w:rsidRPr="009F566E">
        <w:rPr>
          <w:noProof/>
        </w:rPr>
        <w:t> EUR, das gemäß der Verordnung (EU) Nr. </w:t>
      </w:r>
      <w:r w:rsidRPr="002C6368">
        <w:rPr>
          <w:noProof/>
        </w:rPr>
        <w:t>1303</w:t>
      </w:r>
      <w:r w:rsidRPr="009F566E">
        <w:rPr>
          <w:noProof/>
        </w:rPr>
        <w:t>/</w:t>
      </w:r>
      <w:r w:rsidRPr="002C6368">
        <w:rPr>
          <w:noProof/>
        </w:rPr>
        <w:t>2013</w:t>
      </w:r>
      <w:r w:rsidRPr="009F566E">
        <w:rPr>
          <w:noProof/>
        </w:rPr>
        <w:t xml:space="preserve"> und den fondsspezifischen Verordnungen (EU) Nr. </w:t>
      </w:r>
      <w:r w:rsidRPr="002C6368">
        <w:rPr>
          <w:noProof/>
        </w:rPr>
        <w:t>1301</w:t>
      </w:r>
      <w:r w:rsidRPr="009F566E">
        <w:rPr>
          <w:noProof/>
        </w:rPr>
        <w:t>/</w:t>
      </w:r>
      <w:r w:rsidRPr="002C6368">
        <w:rPr>
          <w:noProof/>
        </w:rPr>
        <w:t>2013</w:t>
      </w:r>
      <w:r w:rsidRPr="009F566E">
        <w:rPr>
          <w:noProof/>
        </w:rPr>
        <w:t xml:space="preserve"> des Europäischen Parlaments und des Rates</w:t>
      </w:r>
      <w:r w:rsidRPr="009F566E">
        <w:rPr>
          <w:rStyle w:val="FootnoteReference"/>
          <w:noProof/>
        </w:rPr>
        <w:footnoteReference w:id="15"/>
      </w:r>
      <w:r w:rsidRPr="009F566E">
        <w:rPr>
          <w:noProof/>
        </w:rPr>
        <w:t>, (EU) Nr. </w:t>
      </w:r>
      <w:r w:rsidRPr="002C6368">
        <w:rPr>
          <w:noProof/>
        </w:rPr>
        <w:t>1304</w:t>
      </w:r>
      <w:r w:rsidRPr="009F566E">
        <w:rPr>
          <w:noProof/>
        </w:rPr>
        <w:t>/</w:t>
      </w:r>
      <w:r w:rsidRPr="002C6368">
        <w:rPr>
          <w:noProof/>
        </w:rPr>
        <w:t>2013</w:t>
      </w:r>
      <w:r w:rsidRPr="009F566E">
        <w:rPr>
          <w:noProof/>
        </w:rPr>
        <w:t xml:space="preserve"> des Europäischen Parlaments und des Rates</w:t>
      </w:r>
      <w:r w:rsidRPr="009F566E">
        <w:rPr>
          <w:rStyle w:val="FootnoteReference"/>
          <w:noProof/>
        </w:rPr>
        <w:footnoteReference w:id="16"/>
      </w:r>
      <w:r w:rsidRPr="009F566E">
        <w:rPr>
          <w:noProof/>
        </w:rPr>
        <w:t xml:space="preserve">, (EU) </w:t>
      </w:r>
      <w:r w:rsidRPr="002C6368">
        <w:rPr>
          <w:noProof/>
        </w:rPr>
        <w:t>1300</w:t>
      </w:r>
      <w:r w:rsidRPr="009F566E">
        <w:rPr>
          <w:noProof/>
        </w:rPr>
        <w:t>/</w:t>
      </w:r>
      <w:r w:rsidRPr="002C6368">
        <w:rPr>
          <w:noProof/>
        </w:rPr>
        <w:t>2013</w:t>
      </w:r>
      <w:r w:rsidRPr="009F566E">
        <w:rPr>
          <w:noProof/>
        </w:rPr>
        <w:t xml:space="preserve"> des Europäischen Parlaments und des Rates</w:t>
      </w:r>
      <w:r w:rsidRPr="009F566E">
        <w:rPr>
          <w:rStyle w:val="FootnoteReference"/>
          <w:noProof/>
        </w:rPr>
        <w:footnoteReference w:id="17"/>
      </w:r>
      <w:r w:rsidRPr="009F566E">
        <w:rPr>
          <w:noProof/>
        </w:rPr>
        <w:t>, (EU) Nr. </w:t>
      </w:r>
      <w:r w:rsidRPr="002C6368">
        <w:rPr>
          <w:noProof/>
        </w:rPr>
        <w:t>1299</w:t>
      </w:r>
      <w:r w:rsidRPr="009F566E">
        <w:rPr>
          <w:noProof/>
        </w:rPr>
        <w:t>/</w:t>
      </w:r>
      <w:r w:rsidRPr="002C6368">
        <w:rPr>
          <w:noProof/>
        </w:rPr>
        <w:t>2013</w:t>
      </w:r>
      <w:r w:rsidRPr="009F566E">
        <w:rPr>
          <w:noProof/>
        </w:rPr>
        <w:t xml:space="preserve"> des Europäischen Parlaments und des Rates</w:t>
      </w:r>
      <w:r w:rsidRPr="009F566E">
        <w:rPr>
          <w:rStyle w:val="FootnoteReference"/>
          <w:noProof/>
        </w:rPr>
        <w:footnoteReference w:id="18"/>
      </w:r>
      <w:r w:rsidRPr="009F566E">
        <w:rPr>
          <w:noProof/>
        </w:rPr>
        <w:t xml:space="preserve"> und (EU) Nr. </w:t>
      </w:r>
      <w:r w:rsidRPr="002C6368">
        <w:rPr>
          <w:noProof/>
        </w:rPr>
        <w:t>2014</w:t>
      </w:r>
      <w:r w:rsidRPr="009F566E">
        <w:rPr>
          <w:noProof/>
        </w:rPr>
        <w:t>/</w:t>
      </w:r>
      <w:r w:rsidRPr="002C6368">
        <w:rPr>
          <w:noProof/>
        </w:rPr>
        <w:t>508</w:t>
      </w:r>
      <w:r w:rsidRPr="009F566E">
        <w:rPr>
          <w:noProof/>
        </w:rPr>
        <w:t xml:space="preserve"> des Europäischen Parlaments und des Rates</w:t>
      </w:r>
      <w:r w:rsidRPr="009F566E">
        <w:rPr>
          <w:rStyle w:val="FootnoteReference"/>
          <w:noProof/>
        </w:rPr>
        <w:footnoteReference w:id="19"/>
      </w:r>
      <w:r w:rsidRPr="009F566E">
        <w:rPr>
          <w:noProof/>
        </w:rPr>
        <w:t xml:space="preserve"> für eine Unterstützung ausgewählt wurde und vor dem </w:t>
      </w:r>
      <w:r w:rsidRPr="002C6368">
        <w:rPr>
          <w:noProof/>
        </w:rPr>
        <w:t>29</w:t>
      </w:r>
      <w:r w:rsidRPr="009F566E">
        <w:rPr>
          <w:noProof/>
        </w:rPr>
        <w:t xml:space="preserve">. Juni </w:t>
      </w:r>
      <w:r w:rsidRPr="002C6368">
        <w:rPr>
          <w:noProof/>
        </w:rPr>
        <w:t>2022</w:t>
      </w:r>
      <w:r w:rsidRPr="009F566E">
        <w:rPr>
          <w:noProof/>
        </w:rPr>
        <w:t xml:space="preserve"> begonnen hat, für eine Unterstützung gemäß der vorliegenden Verordnung und den entsprechenden fondsspezifischen Verordnungen im Programmplanungszeitraum </w:t>
      </w:r>
      <w:r w:rsidRPr="002C6368">
        <w:rPr>
          <w:noProof/>
        </w:rPr>
        <w:t>2021</w:t>
      </w:r>
      <w:r w:rsidRPr="009F566E">
        <w:rPr>
          <w:noProof/>
        </w:rPr>
        <w:t>-</w:t>
      </w:r>
      <w:r w:rsidRPr="002C6368">
        <w:rPr>
          <w:noProof/>
        </w:rPr>
        <w:t>2027</w:t>
      </w:r>
      <w:r w:rsidRPr="009F566E">
        <w:rPr>
          <w:noProof/>
        </w:rPr>
        <w:t xml:space="preserve"> in Betracht kommen. </w:t>
      </w:r>
    </w:p>
    <w:p w14:paraId="23D87E5A" w14:textId="77777777" w:rsidR="004C6D45" w:rsidRPr="009F566E" w:rsidRDefault="009A7051" w:rsidP="00136CB4">
      <w:pPr>
        <w:pStyle w:val="Text1"/>
        <w:rPr>
          <w:noProof/>
        </w:rPr>
      </w:pPr>
      <w:r w:rsidRPr="009F566E">
        <w:rPr>
          <w:noProof/>
        </w:rPr>
        <w:t>Abweichend von Artikel </w:t>
      </w:r>
      <w:r w:rsidRPr="002C6368">
        <w:rPr>
          <w:noProof/>
        </w:rPr>
        <w:t>73</w:t>
      </w:r>
      <w:r w:rsidRPr="009F566E">
        <w:rPr>
          <w:noProof/>
        </w:rPr>
        <w:t xml:space="preserve"> Absätze </w:t>
      </w:r>
      <w:r w:rsidRPr="002C6368">
        <w:rPr>
          <w:noProof/>
        </w:rPr>
        <w:t>1</w:t>
      </w:r>
      <w:r w:rsidRPr="009F566E">
        <w:rPr>
          <w:noProof/>
        </w:rPr>
        <w:t xml:space="preserve"> und </w:t>
      </w:r>
      <w:r w:rsidRPr="002C6368">
        <w:rPr>
          <w:noProof/>
        </w:rPr>
        <w:t>2</w:t>
      </w:r>
      <w:r w:rsidRPr="009F566E">
        <w:rPr>
          <w:noProof/>
        </w:rPr>
        <w:t xml:space="preserve"> kann die Verwaltungsbehörde beschließen, direkt im Rahmen der vorliegenden Verordnung Unterstützung für ein solches Vorhaben zu gewähren, sofern die folgenden Bedingungen erfüllt sind: </w:t>
      </w:r>
    </w:p>
    <w:p w14:paraId="437404C8" w14:textId="77777777" w:rsidR="00616AEC" w:rsidRPr="009F566E" w:rsidRDefault="00136CB4" w:rsidP="00136CB4">
      <w:pPr>
        <w:pStyle w:val="Point1"/>
        <w:rPr>
          <w:noProof/>
        </w:rPr>
      </w:pPr>
      <w:r w:rsidRPr="009F566E">
        <w:rPr>
          <w:noProof/>
        </w:rPr>
        <w:t>a)</w:t>
      </w:r>
      <w:r w:rsidRPr="009F566E">
        <w:rPr>
          <w:noProof/>
        </w:rPr>
        <w:tab/>
        <w:t>Das Vorhaben umfasst zwei aus finanzieller Sicht identifizierbare Phasen mit separaten Prüfpfaden;</w:t>
      </w:r>
    </w:p>
    <w:p w14:paraId="54E84E70" w14:textId="77777777" w:rsidR="004C6D45" w:rsidRPr="009F566E" w:rsidRDefault="00136CB4" w:rsidP="00136CB4">
      <w:pPr>
        <w:pStyle w:val="Point1"/>
        <w:rPr>
          <w:noProof/>
        </w:rPr>
      </w:pPr>
      <w:r w:rsidRPr="009F566E">
        <w:rPr>
          <w:noProof/>
        </w:rPr>
        <w:t>b)</w:t>
      </w:r>
      <w:r w:rsidRPr="009F566E">
        <w:rPr>
          <w:noProof/>
        </w:rPr>
        <w:tab/>
        <w:t xml:space="preserve">das Vorhaben fällt unter die im Rahmen eines relevanten spezifischen Ziels geplanten Maßnahmen und ist einer Interventionskategorie nach Anhang I zugeordnet; </w:t>
      </w:r>
    </w:p>
    <w:p w14:paraId="6F15FA19" w14:textId="77777777" w:rsidR="00C520AE" w:rsidRPr="009F566E" w:rsidRDefault="00136CB4" w:rsidP="00136CB4">
      <w:pPr>
        <w:pStyle w:val="Point1"/>
        <w:rPr>
          <w:noProof/>
        </w:rPr>
      </w:pPr>
      <w:r w:rsidRPr="009F566E">
        <w:rPr>
          <w:noProof/>
        </w:rPr>
        <w:t>c)</w:t>
      </w:r>
      <w:r w:rsidRPr="009F566E">
        <w:rPr>
          <w:noProof/>
        </w:rPr>
        <w:tab/>
        <w:t xml:space="preserve">die in einem Zahlungsantrag für die erste Phase angegebenen Ausgaben werden in keinem weiteren Zahlungsantrag der zweiten Phase angegeben; </w:t>
      </w:r>
    </w:p>
    <w:p w14:paraId="39288200" w14:textId="77777777" w:rsidR="004C19FB" w:rsidRPr="009F566E" w:rsidRDefault="00136CB4" w:rsidP="00136CB4">
      <w:pPr>
        <w:pStyle w:val="Point1"/>
        <w:rPr>
          <w:noProof/>
        </w:rPr>
      </w:pPr>
      <w:r w:rsidRPr="009F566E">
        <w:rPr>
          <w:noProof/>
        </w:rPr>
        <w:t>d)</w:t>
      </w:r>
      <w:r w:rsidRPr="009F566E">
        <w:rPr>
          <w:noProof/>
        </w:rPr>
        <w:tab/>
        <w:t>der Mitgliedstaat verpflichtet sich im gemäß Artikel </w:t>
      </w:r>
      <w:r w:rsidRPr="002C6368">
        <w:rPr>
          <w:noProof/>
        </w:rPr>
        <w:t>141</w:t>
      </w:r>
      <w:r w:rsidRPr="009F566E">
        <w:rPr>
          <w:noProof/>
        </w:rPr>
        <w:t xml:space="preserve"> der Verordnung (EU) Nr. </w:t>
      </w:r>
      <w:r w:rsidRPr="002C6368">
        <w:rPr>
          <w:noProof/>
        </w:rPr>
        <w:t>1303</w:t>
      </w:r>
      <w:r w:rsidRPr="009F566E">
        <w:rPr>
          <w:noProof/>
        </w:rPr>
        <w:t>/</w:t>
      </w:r>
      <w:r w:rsidRPr="002C6368">
        <w:rPr>
          <w:noProof/>
        </w:rPr>
        <w:t>2013</w:t>
      </w:r>
      <w:r w:rsidRPr="009F566E">
        <w:rPr>
          <w:noProof/>
        </w:rPr>
        <w:t xml:space="preserve"> eingereichten abschließenden Durchführungsbericht bzw. — im Zusammenhang mit dem Europäischen Meeres- und Fischereifonds — im letzten jährlichen Durchführungsbericht, während des Programmplanungszeitraums die zweite und letzte Phase abzuschließen und einsatzbereit zu machen.</w:t>
      </w:r>
    </w:p>
    <w:p w14:paraId="621009A6" w14:textId="77777777" w:rsidR="00A822E1" w:rsidRPr="009F566E" w:rsidRDefault="00A822E1" w:rsidP="00A822E1">
      <w:pPr>
        <w:pStyle w:val="Text1"/>
        <w:rPr>
          <w:noProof/>
        </w:rPr>
      </w:pPr>
      <w:r w:rsidRPr="009F566E">
        <w:rPr>
          <w:noProof/>
        </w:rPr>
        <w:t>(</w:t>
      </w:r>
      <w:r w:rsidRPr="002C6368">
        <w:rPr>
          <w:noProof/>
        </w:rPr>
        <w:t>2</w:t>
      </w:r>
      <w:r w:rsidRPr="009F566E">
        <w:rPr>
          <w:noProof/>
        </w:rPr>
        <w:t>) Dieser Artikel gilt nicht für Vorhaben zur Bewältigung von Migrationsherausforderungen infolge der militärischen Aggression der Russischen Föderation, die unter Inanspruchnahme der Möglichkeiten nach Artikel </w:t>
      </w:r>
      <w:r w:rsidRPr="002C6368">
        <w:rPr>
          <w:noProof/>
        </w:rPr>
        <w:t>98</w:t>
      </w:r>
      <w:r w:rsidRPr="009F566E">
        <w:rPr>
          <w:noProof/>
        </w:rPr>
        <w:t xml:space="preserve"> Absatz </w:t>
      </w:r>
      <w:r w:rsidRPr="002C6368">
        <w:rPr>
          <w:noProof/>
        </w:rPr>
        <w:t>4</w:t>
      </w:r>
      <w:r w:rsidRPr="009F566E">
        <w:rPr>
          <w:noProof/>
        </w:rPr>
        <w:t xml:space="preserve"> Unterabsätze </w:t>
      </w:r>
      <w:r w:rsidRPr="002C6368">
        <w:rPr>
          <w:noProof/>
        </w:rPr>
        <w:t>1</w:t>
      </w:r>
      <w:r w:rsidRPr="009F566E">
        <w:rPr>
          <w:noProof/>
        </w:rPr>
        <w:t xml:space="preserve"> und </w:t>
      </w:r>
      <w:r w:rsidRPr="002C6368">
        <w:rPr>
          <w:noProof/>
        </w:rPr>
        <w:t>2</w:t>
      </w:r>
      <w:r w:rsidRPr="009F566E">
        <w:rPr>
          <w:noProof/>
        </w:rPr>
        <w:t xml:space="preserve"> der Verordnung (EU) Nr. </w:t>
      </w:r>
      <w:r w:rsidRPr="002C6368">
        <w:rPr>
          <w:noProof/>
        </w:rPr>
        <w:t>1303</w:t>
      </w:r>
      <w:r w:rsidRPr="009F566E">
        <w:rPr>
          <w:noProof/>
        </w:rPr>
        <w:t>/</w:t>
      </w:r>
      <w:r w:rsidRPr="002C6368">
        <w:rPr>
          <w:noProof/>
        </w:rPr>
        <w:t>2013</w:t>
      </w:r>
      <w:r w:rsidRPr="009F566E">
        <w:rPr>
          <w:noProof/>
        </w:rPr>
        <w:t xml:space="preserve"> unterstützt werden.“</w:t>
      </w:r>
    </w:p>
    <w:p w14:paraId="1C4F025E" w14:textId="77777777" w:rsidR="003261E3" w:rsidRPr="009F566E" w:rsidRDefault="00215403" w:rsidP="003E0E5F">
      <w:pPr>
        <w:pStyle w:val="Point0"/>
        <w:rPr>
          <w:noProof/>
        </w:rPr>
      </w:pPr>
      <w:r w:rsidRPr="009F566E">
        <w:rPr>
          <w:noProof/>
        </w:rPr>
        <w:t>(</w:t>
      </w:r>
      <w:r w:rsidRPr="002C6368">
        <w:rPr>
          <w:noProof/>
        </w:rPr>
        <w:t>5</w:t>
      </w:r>
      <w:r w:rsidRPr="009F566E">
        <w:rPr>
          <w:noProof/>
        </w:rPr>
        <w:t>)</w:t>
      </w:r>
      <w:r w:rsidRPr="009F566E">
        <w:rPr>
          <w:noProof/>
        </w:rPr>
        <w:tab/>
        <w:t>In Anhang I werden folgende Einträge am Ende der Tabelle </w:t>
      </w:r>
      <w:r w:rsidRPr="002C6368">
        <w:rPr>
          <w:noProof/>
        </w:rPr>
        <w:t>1</w:t>
      </w:r>
      <w:r w:rsidRPr="009F566E">
        <w:rPr>
          <w:noProof/>
        </w:rPr>
        <w:t xml:space="preserve"> angefügt:</w:t>
      </w:r>
    </w:p>
    <w:p w14:paraId="1E1A9A8E" w14:textId="77777777" w:rsidR="002463FA" w:rsidRPr="009F566E" w:rsidRDefault="0011607E" w:rsidP="00F37942">
      <w:pPr>
        <w:shd w:val="clear" w:color="auto" w:fill="FFFFFF"/>
        <w:spacing w:after="0" w:line="312" w:lineRule="atLeast"/>
        <w:rPr>
          <w:noProof/>
        </w:rPr>
      </w:pPr>
      <w:r w:rsidRPr="009F566E">
        <w:rPr>
          <w:noProof/>
        </w:rPr>
        <w:t>„</w:t>
      </w:r>
    </w:p>
    <w:tbl>
      <w:tblPr>
        <w:tblW w:w="0" w:type="auto"/>
        <w:tblCellMar>
          <w:left w:w="0" w:type="dxa"/>
          <w:right w:w="0" w:type="dxa"/>
        </w:tblCellMar>
        <w:tblLook w:val="04A0" w:firstRow="1" w:lastRow="0" w:firstColumn="1" w:lastColumn="0" w:noHBand="0" w:noVBand="1"/>
      </w:tblPr>
      <w:tblGrid>
        <w:gridCol w:w="576"/>
        <w:gridCol w:w="5196"/>
        <w:gridCol w:w="1829"/>
        <w:gridCol w:w="1688"/>
      </w:tblGrid>
      <w:tr w:rsidR="002463FA" w:rsidRPr="009F566E" w14:paraId="0F33731C" w14:textId="77777777" w:rsidTr="00B11792">
        <w:tc>
          <w:tcPr>
            <w:tcW w:w="577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A7FB38" w14:textId="77777777" w:rsidR="002463FA" w:rsidRPr="009F566E" w:rsidRDefault="002463FA" w:rsidP="002463FA">
            <w:pPr>
              <w:shd w:val="clear" w:color="auto" w:fill="FFFFFF"/>
              <w:spacing w:before="0" w:after="0"/>
              <w:jc w:val="center"/>
              <w:rPr>
                <w:noProof/>
              </w:rPr>
            </w:pPr>
            <w:r w:rsidRPr="009F566E">
              <w:rPr>
                <w:noProof/>
              </w:rPr>
              <w:t>INTERVENTIONSBEREICH</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05D980B" w14:textId="7C532975" w:rsidR="002463FA" w:rsidRPr="009F566E" w:rsidRDefault="002463FA" w:rsidP="002463FA">
            <w:pPr>
              <w:shd w:val="clear" w:color="auto" w:fill="FFFFFF"/>
              <w:spacing w:before="0" w:after="0"/>
              <w:jc w:val="center"/>
              <w:rPr>
                <w:noProof/>
              </w:rPr>
            </w:pPr>
            <w:r w:rsidRPr="009F566E">
              <w:rPr>
                <w:noProof/>
              </w:rPr>
              <w:t>Koeffizient für die Berechnung der Unterstützung der Klimaschutz</w:t>
            </w:r>
            <w:r w:rsidR="00D829E7">
              <w:rPr>
                <w:noProof/>
              </w:rPr>
              <w:softHyphen/>
            </w:r>
            <w:r w:rsidRPr="009F566E">
              <w:rPr>
                <w:noProof/>
              </w:rPr>
              <w:t>ziele</w:t>
            </w:r>
          </w:p>
        </w:tc>
        <w:tc>
          <w:tcPr>
            <w:tcW w:w="16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9EABDA" w14:textId="3A706984" w:rsidR="002463FA" w:rsidRPr="009F566E" w:rsidRDefault="002463FA" w:rsidP="002463FA">
            <w:pPr>
              <w:shd w:val="clear" w:color="auto" w:fill="FFFFFF"/>
              <w:spacing w:before="0" w:after="0"/>
              <w:jc w:val="center"/>
              <w:rPr>
                <w:noProof/>
              </w:rPr>
            </w:pPr>
            <w:r w:rsidRPr="009F566E">
              <w:rPr>
                <w:noProof/>
              </w:rPr>
              <w:t>Koeffizient für die Berechnung der Unterstützung der umwelt</w:t>
            </w:r>
            <w:r w:rsidR="00D829E7">
              <w:rPr>
                <w:noProof/>
              </w:rPr>
              <w:softHyphen/>
            </w:r>
            <w:r w:rsidRPr="009F566E">
              <w:rPr>
                <w:noProof/>
              </w:rPr>
              <w:t>politischen Ziele</w:t>
            </w:r>
          </w:p>
        </w:tc>
      </w:tr>
      <w:tr w:rsidR="002463FA" w:rsidRPr="009F566E" w14:paraId="2B95E257" w14:textId="77777777" w:rsidTr="002463FA">
        <w:tc>
          <w:tcPr>
            <w:tcW w:w="928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D3B364" w14:textId="77777777" w:rsidR="002463FA" w:rsidRPr="009F566E" w:rsidRDefault="002463FA" w:rsidP="002463FA">
            <w:pPr>
              <w:shd w:val="clear" w:color="auto" w:fill="FFFFFF"/>
              <w:spacing w:before="0" w:after="0"/>
              <w:rPr>
                <w:noProof/>
              </w:rPr>
            </w:pPr>
            <w:r w:rsidRPr="009F566E">
              <w:rPr>
                <w:noProof/>
              </w:rPr>
              <w:t>Andere Codes betreffend die in Phasen durchgeführten Vorhaben gemäß Artikel </w:t>
            </w:r>
            <w:r w:rsidRPr="002C6368">
              <w:rPr>
                <w:noProof/>
              </w:rPr>
              <w:t>118</w:t>
            </w:r>
            <w:r w:rsidRPr="009F566E">
              <w:rPr>
                <w:noProof/>
              </w:rPr>
              <w:t>a</w:t>
            </w:r>
          </w:p>
        </w:tc>
      </w:tr>
      <w:tr w:rsidR="002463FA" w:rsidRPr="009F566E" w14:paraId="074F525D"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8E35F" w14:textId="77777777" w:rsidR="002463FA" w:rsidRPr="009F566E" w:rsidRDefault="002463FA" w:rsidP="002463FA">
            <w:pPr>
              <w:shd w:val="clear" w:color="auto" w:fill="FFFFFF"/>
              <w:spacing w:before="0" w:after="0"/>
              <w:rPr>
                <w:noProof/>
              </w:rPr>
            </w:pPr>
            <w:r w:rsidRPr="002C6368">
              <w:rPr>
                <w:noProof/>
              </w:rPr>
              <w:t>183</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45D77D17" w14:textId="77777777" w:rsidR="002463FA" w:rsidRPr="009F566E" w:rsidRDefault="002463FA" w:rsidP="002463FA">
            <w:pPr>
              <w:shd w:val="clear" w:color="auto" w:fill="FFFFFF"/>
              <w:spacing w:before="0" w:after="0"/>
              <w:rPr>
                <w:noProof/>
              </w:rPr>
            </w:pPr>
            <w:r w:rsidRPr="009F566E">
              <w:rPr>
                <w:noProof/>
              </w:rPr>
              <w:t>Abfallbewirtschaftung für Hausmüll: Deponierung</w:t>
            </w:r>
          </w:p>
        </w:tc>
        <w:tc>
          <w:tcPr>
            <w:tcW w:w="1829" w:type="dxa"/>
            <w:tcBorders>
              <w:top w:val="nil"/>
              <w:left w:val="nil"/>
              <w:bottom w:val="single" w:sz="4" w:space="0" w:color="auto"/>
              <w:right w:val="single" w:sz="8" w:space="0" w:color="auto"/>
            </w:tcBorders>
            <w:tcMar>
              <w:top w:w="0" w:type="dxa"/>
              <w:left w:w="108" w:type="dxa"/>
              <w:bottom w:w="0" w:type="dxa"/>
              <w:right w:w="108" w:type="dxa"/>
            </w:tcMar>
            <w:hideMark/>
          </w:tcPr>
          <w:p w14:paraId="76E6C36E" w14:textId="77777777" w:rsidR="002463FA" w:rsidRPr="009F566E" w:rsidRDefault="002463FA" w:rsidP="002463FA">
            <w:pPr>
              <w:shd w:val="clear" w:color="auto" w:fill="FFFFFF"/>
              <w:spacing w:before="0" w:after="0"/>
              <w:rPr>
                <w:noProof/>
              </w:rPr>
            </w:pPr>
            <w:r w:rsidRPr="002C6368">
              <w:rPr>
                <w:noProof/>
              </w:rPr>
              <w:t>0</w:t>
            </w:r>
            <w:r w:rsidRPr="009F566E">
              <w:rPr>
                <w:noProof/>
              </w:rPr>
              <w:t>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0DE43844" w14:textId="77777777" w:rsidR="002463FA" w:rsidRPr="009F566E" w:rsidRDefault="002463FA" w:rsidP="002463FA">
            <w:pPr>
              <w:shd w:val="clear" w:color="auto" w:fill="FFFFFF"/>
              <w:spacing w:before="0" w:after="0"/>
              <w:rPr>
                <w:noProof/>
              </w:rPr>
            </w:pPr>
            <w:r w:rsidRPr="002C6368">
              <w:rPr>
                <w:noProof/>
              </w:rPr>
              <w:t>100</w:t>
            </w:r>
            <w:r w:rsidRPr="009F566E">
              <w:rPr>
                <w:noProof/>
              </w:rPr>
              <w:t> %</w:t>
            </w:r>
          </w:p>
        </w:tc>
      </w:tr>
      <w:tr w:rsidR="002463FA" w:rsidRPr="009F566E" w14:paraId="1D69CFF9"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75C1B" w14:textId="77777777" w:rsidR="002463FA" w:rsidRPr="009F566E" w:rsidRDefault="002463FA" w:rsidP="002463FA">
            <w:pPr>
              <w:shd w:val="clear" w:color="auto" w:fill="FFFFFF"/>
              <w:spacing w:before="0" w:after="0"/>
              <w:rPr>
                <w:noProof/>
              </w:rPr>
            </w:pPr>
            <w:r w:rsidRPr="002C6368">
              <w:rPr>
                <w:noProof/>
              </w:rPr>
              <w:t>184</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603532A0" w14:textId="77777777" w:rsidR="002463FA" w:rsidRPr="009F566E" w:rsidRDefault="002463FA" w:rsidP="002463FA">
            <w:pPr>
              <w:shd w:val="clear" w:color="auto" w:fill="FFFFFF"/>
              <w:spacing w:before="0" w:after="0"/>
              <w:rPr>
                <w:noProof/>
              </w:rPr>
            </w:pPr>
            <w:r w:rsidRPr="009F566E">
              <w:rPr>
                <w:noProof/>
              </w:rPr>
              <w:t>Stromspeicherung und -übertragung</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3E41484" w14:textId="77777777" w:rsidR="002463FA" w:rsidRPr="009F566E" w:rsidRDefault="002463FA" w:rsidP="002463FA">
            <w:pPr>
              <w:shd w:val="clear" w:color="auto" w:fill="FFFFFF"/>
              <w:spacing w:before="0" w:after="0"/>
              <w:rPr>
                <w:noProof/>
              </w:rPr>
            </w:pPr>
            <w:r w:rsidRPr="002C6368">
              <w:rPr>
                <w:noProof/>
              </w:rPr>
              <w:t>100</w:t>
            </w:r>
            <w:r w:rsidRPr="009F566E">
              <w:rPr>
                <w:noProof/>
              </w:rPr>
              <w:t>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0FF3F77A" w14:textId="77777777" w:rsidR="002463FA" w:rsidRPr="009F566E" w:rsidRDefault="002463FA" w:rsidP="002463FA">
            <w:pPr>
              <w:shd w:val="clear" w:color="auto" w:fill="FFFFFF"/>
              <w:spacing w:before="0" w:after="0"/>
              <w:rPr>
                <w:noProof/>
              </w:rPr>
            </w:pPr>
            <w:r w:rsidRPr="002C6368">
              <w:rPr>
                <w:noProof/>
              </w:rPr>
              <w:t>40</w:t>
            </w:r>
            <w:r w:rsidRPr="009F566E">
              <w:rPr>
                <w:noProof/>
              </w:rPr>
              <w:t> %</w:t>
            </w:r>
          </w:p>
        </w:tc>
      </w:tr>
      <w:tr w:rsidR="002463FA" w:rsidRPr="009F566E" w14:paraId="399E3A52"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C5653" w14:textId="77777777" w:rsidR="002463FA" w:rsidRPr="009F566E" w:rsidRDefault="002463FA" w:rsidP="002463FA">
            <w:pPr>
              <w:shd w:val="clear" w:color="auto" w:fill="FFFFFF"/>
              <w:spacing w:before="0" w:after="0"/>
              <w:rPr>
                <w:noProof/>
              </w:rPr>
            </w:pPr>
            <w:r w:rsidRPr="002C6368">
              <w:rPr>
                <w:noProof/>
              </w:rPr>
              <w:t>185</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1468AA50" w14:textId="77777777" w:rsidR="002463FA" w:rsidRPr="009F566E" w:rsidRDefault="002463FA" w:rsidP="002463FA">
            <w:pPr>
              <w:shd w:val="clear" w:color="auto" w:fill="FFFFFF"/>
              <w:spacing w:before="0" w:after="0"/>
              <w:rPr>
                <w:noProof/>
              </w:rPr>
            </w:pPr>
            <w:r w:rsidRPr="009F566E">
              <w:rPr>
                <w:noProof/>
              </w:rPr>
              <w:t>Erdgas: Speicherung, Übertragung und Verteilung</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0E5A71CB" w14:textId="77777777" w:rsidR="002463FA" w:rsidRPr="009F566E" w:rsidRDefault="002463FA" w:rsidP="002463FA">
            <w:pPr>
              <w:shd w:val="clear" w:color="auto" w:fill="FFFFFF"/>
              <w:spacing w:before="0" w:after="0"/>
              <w:rPr>
                <w:noProof/>
              </w:rPr>
            </w:pPr>
            <w:r w:rsidRPr="002C6368">
              <w:rPr>
                <w:noProof/>
              </w:rPr>
              <w:t>0</w:t>
            </w:r>
            <w:r w:rsidRPr="009F566E">
              <w:rPr>
                <w:noProof/>
              </w:rPr>
              <w:t>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3ECC2B19" w14:textId="77777777" w:rsidR="002463FA" w:rsidRPr="009F566E" w:rsidRDefault="002463FA" w:rsidP="002463FA">
            <w:pPr>
              <w:shd w:val="clear" w:color="auto" w:fill="FFFFFF"/>
              <w:spacing w:before="0" w:after="0"/>
              <w:rPr>
                <w:noProof/>
              </w:rPr>
            </w:pPr>
            <w:r w:rsidRPr="002C6368">
              <w:rPr>
                <w:noProof/>
              </w:rPr>
              <w:t>0</w:t>
            </w:r>
            <w:r w:rsidRPr="009F566E">
              <w:rPr>
                <w:noProof/>
              </w:rPr>
              <w:t> %</w:t>
            </w:r>
          </w:p>
        </w:tc>
      </w:tr>
      <w:tr w:rsidR="002463FA" w:rsidRPr="009F566E" w14:paraId="611775E1" w14:textId="77777777" w:rsidTr="008872C1">
        <w:tc>
          <w:tcPr>
            <w:tcW w:w="5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302646" w14:textId="77777777" w:rsidR="002463FA" w:rsidRPr="009F566E" w:rsidRDefault="002463FA" w:rsidP="002463FA">
            <w:pPr>
              <w:shd w:val="clear" w:color="auto" w:fill="FFFFFF"/>
              <w:spacing w:before="0" w:after="0"/>
              <w:rPr>
                <w:noProof/>
              </w:rPr>
            </w:pPr>
            <w:r w:rsidRPr="002C6368">
              <w:rPr>
                <w:noProof/>
              </w:rPr>
              <w:t>186</w:t>
            </w:r>
          </w:p>
        </w:tc>
        <w:tc>
          <w:tcPr>
            <w:tcW w:w="5196" w:type="dxa"/>
            <w:tcBorders>
              <w:top w:val="nil"/>
              <w:left w:val="nil"/>
              <w:bottom w:val="single" w:sz="4" w:space="0" w:color="auto"/>
              <w:right w:val="single" w:sz="8" w:space="0" w:color="auto"/>
            </w:tcBorders>
            <w:tcMar>
              <w:top w:w="0" w:type="dxa"/>
              <w:left w:w="108" w:type="dxa"/>
              <w:bottom w:w="0" w:type="dxa"/>
              <w:right w:w="108" w:type="dxa"/>
            </w:tcMar>
            <w:hideMark/>
          </w:tcPr>
          <w:p w14:paraId="0038EDAD" w14:textId="77777777" w:rsidR="002463FA" w:rsidRPr="009F566E" w:rsidRDefault="002463FA" w:rsidP="002463FA">
            <w:pPr>
              <w:shd w:val="clear" w:color="auto" w:fill="FFFFFF"/>
              <w:spacing w:before="0" w:after="0"/>
              <w:rPr>
                <w:noProof/>
              </w:rPr>
            </w:pPr>
            <w:r w:rsidRPr="009F566E">
              <w:rPr>
                <w:noProof/>
              </w:rPr>
              <w:t>Flughäfen</w:t>
            </w:r>
          </w:p>
        </w:tc>
        <w:tc>
          <w:tcPr>
            <w:tcW w:w="1829" w:type="dxa"/>
            <w:tcBorders>
              <w:top w:val="nil"/>
              <w:left w:val="nil"/>
              <w:bottom w:val="single" w:sz="4" w:space="0" w:color="auto"/>
              <w:right w:val="single" w:sz="8" w:space="0" w:color="auto"/>
            </w:tcBorders>
            <w:tcMar>
              <w:top w:w="0" w:type="dxa"/>
              <w:left w:w="108" w:type="dxa"/>
              <w:bottom w:w="0" w:type="dxa"/>
              <w:right w:w="108" w:type="dxa"/>
            </w:tcMar>
            <w:hideMark/>
          </w:tcPr>
          <w:p w14:paraId="2302B9B3" w14:textId="77777777" w:rsidR="002463FA" w:rsidRPr="009F566E" w:rsidRDefault="002463FA" w:rsidP="002463FA">
            <w:pPr>
              <w:shd w:val="clear" w:color="auto" w:fill="FFFFFF"/>
              <w:spacing w:before="0" w:after="0"/>
              <w:rPr>
                <w:noProof/>
              </w:rPr>
            </w:pPr>
            <w:r w:rsidRPr="002C6368">
              <w:rPr>
                <w:noProof/>
              </w:rPr>
              <w:t>0</w:t>
            </w:r>
            <w:r w:rsidRPr="009F566E">
              <w:rPr>
                <w:noProof/>
              </w:rPr>
              <w:t> %</w:t>
            </w:r>
          </w:p>
        </w:tc>
        <w:tc>
          <w:tcPr>
            <w:tcW w:w="1688" w:type="dxa"/>
            <w:tcBorders>
              <w:top w:val="nil"/>
              <w:left w:val="nil"/>
              <w:bottom w:val="single" w:sz="4" w:space="0" w:color="auto"/>
              <w:right w:val="single" w:sz="8" w:space="0" w:color="auto"/>
            </w:tcBorders>
            <w:tcMar>
              <w:top w:w="0" w:type="dxa"/>
              <w:left w:w="108" w:type="dxa"/>
              <w:bottom w:w="0" w:type="dxa"/>
              <w:right w:w="108" w:type="dxa"/>
            </w:tcMar>
            <w:hideMark/>
          </w:tcPr>
          <w:p w14:paraId="3A9AD62E" w14:textId="77777777" w:rsidR="002463FA" w:rsidRPr="009F566E" w:rsidRDefault="002463FA" w:rsidP="002463FA">
            <w:pPr>
              <w:shd w:val="clear" w:color="auto" w:fill="FFFFFF"/>
              <w:spacing w:before="0" w:after="0"/>
              <w:rPr>
                <w:noProof/>
              </w:rPr>
            </w:pPr>
            <w:r w:rsidRPr="002C6368">
              <w:rPr>
                <w:noProof/>
              </w:rPr>
              <w:t>0</w:t>
            </w:r>
            <w:r w:rsidRPr="009F566E">
              <w:rPr>
                <w:noProof/>
              </w:rPr>
              <w:t> %</w:t>
            </w:r>
          </w:p>
        </w:tc>
      </w:tr>
      <w:tr w:rsidR="008872C1" w:rsidRPr="009F566E" w14:paraId="48DA8CDE" w14:textId="77777777" w:rsidTr="008872C1">
        <w:tc>
          <w:tcPr>
            <w:tcW w:w="5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C122A67" w14:textId="77777777" w:rsidR="008872C1" w:rsidRPr="009F566E" w:rsidRDefault="008872C1" w:rsidP="002463FA">
            <w:pPr>
              <w:shd w:val="clear" w:color="auto" w:fill="FFFFFF"/>
              <w:spacing w:before="0" w:after="0"/>
              <w:rPr>
                <w:noProof/>
              </w:rPr>
            </w:pPr>
            <w:r w:rsidRPr="002C6368">
              <w:rPr>
                <w:noProof/>
              </w:rPr>
              <w:t>187</w:t>
            </w:r>
          </w:p>
        </w:tc>
        <w:tc>
          <w:tcPr>
            <w:tcW w:w="51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F1A050" w14:textId="77777777" w:rsidR="008872C1" w:rsidRPr="009F566E" w:rsidRDefault="008872C1" w:rsidP="002463FA">
            <w:pPr>
              <w:shd w:val="clear" w:color="auto" w:fill="FFFFFF"/>
              <w:spacing w:before="0" w:after="0"/>
              <w:rPr>
                <w:noProof/>
              </w:rPr>
            </w:pPr>
            <w:r w:rsidRPr="009F566E">
              <w:rPr>
                <w:noProof/>
              </w:rPr>
              <w:t>Produktive Investitionen in große Unternehmen im Zusammenhang mit der CO</w:t>
            </w:r>
            <w:r w:rsidRPr="002C6368">
              <w:rPr>
                <w:noProof/>
                <w:vertAlign w:val="subscript"/>
              </w:rPr>
              <w:t>2</w:t>
            </w:r>
            <w:r w:rsidRPr="009F566E">
              <w:rPr>
                <w:noProof/>
              </w:rPr>
              <w:t>-armen Wirtschaft</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39FF04F" w14:textId="77777777" w:rsidR="008872C1" w:rsidRPr="009F566E" w:rsidRDefault="00F36813" w:rsidP="002463FA">
            <w:pPr>
              <w:shd w:val="clear" w:color="auto" w:fill="FFFFFF"/>
              <w:spacing w:before="0" w:after="0"/>
              <w:rPr>
                <w:noProof/>
              </w:rPr>
            </w:pPr>
            <w:r w:rsidRPr="002C6368">
              <w:rPr>
                <w:noProof/>
              </w:rPr>
              <w:t>40</w:t>
            </w:r>
            <w:r w:rsidRPr="009F566E">
              <w:rPr>
                <w:noProof/>
              </w:rPr>
              <w:t> %</w:t>
            </w:r>
          </w:p>
        </w:tc>
        <w:tc>
          <w:tcPr>
            <w:tcW w:w="16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2D8F9" w14:textId="77777777" w:rsidR="008872C1" w:rsidRPr="009F566E" w:rsidRDefault="008872C1" w:rsidP="002463FA">
            <w:pPr>
              <w:shd w:val="clear" w:color="auto" w:fill="FFFFFF"/>
              <w:spacing w:before="0" w:after="0"/>
              <w:rPr>
                <w:noProof/>
              </w:rPr>
            </w:pPr>
            <w:r w:rsidRPr="002C6368">
              <w:rPr>
                <w:noProof/>
              </w:rPr>
              <w:t>0</w:t>
            </w:r>
            <w:r w:rsidRPr="009F566E">
              <w:rPr>
                <w:noProof/>
              </w:rPr>
              <w:t> %</w:t>
            </w:r>
          </w:p>
        </w:tc>
      </w:tr>
    </w:tbl>
    <w:p w14:paraId="035AF446" w14:textId="77777777" w:rsidR="002463FA" w:rsidRPr="009F566E" w:rsidRDefault="0011607E" w:rsidP="00F37942">
      <w:pPr>
        <w:shd w:val="clear" w:color="auto" w:fill="FFFFFF"/>
        <w:spacing w:after="0" w:line="312" w:lineRule="atLeast"/>
        <w:rPr>
          <w:noProof/>
        </w:rPr>
      </w:pPr>
      <w:r w:rsidRPr="009F566E">
        <w:rPr>
          <w:noProof/>
        </w:rPr>
        <w:t>“</w:t>
      </w:r>
    </w:p>
    <w:p w14:paraId="5359C9D1" w14:textId="77777777" w:rsidR="00F936C3" w:rsidRPr="009F566E" w:rsidRDefault="00D32C0F" w:rsidP="00F936C3">
      <w:pPr>
        <w:pStyle w:val="Titrearticle"/>
        <w:rPr>
          <w:noProof/>
        </w:rPr>
      </w:pPr>
      <w:r w:rsidRPr="009F566E">
        <w:rPr>
          <w:noProof/>
        </w:rPr>
        <w:t>Artikel </w:t>
      </w:r>
      <w:r w:rsidRPr="002C6368">
        <w:rPr>
          <w:noProof/>
        </w:rPr>
        <w:t>3</w:t>
      </w:r>
    </w:p>
    <w:p w14:paraId="36A02D18" w14:textId="77777777" w:rsidR="00F936C3" w:rsidRPr="009F566E" w:rsidRDefault="00F936C3" w:rsidP="00F936C3">
      <w:pPr>
        <w:rPr>
          <w:noProof/>
        </w:rPr>
      </w:pPr>
      <w:r w:rsidRPr="009F566E">
        <w:rPr>
          <w:noProof/>
        </w:rPr>
        <w:t xml:space="preserve">Diese Verordnung tritt am Tag nach ihrer Veröffentlichung im </w:t>
      </w:r>
      <w:r w:rsidRPr="009F566E">
        <w:rPr>
          <w:i/>
          <w:noProof/>
        </w:rPr>
        <w:t>Amtsblatt der Europäischen Union</w:t>
      </w:r>
      <w:r w:rsidRPr="009F566E">
        <w:rPr>
          <w:noProof/>
        </w:rPr>
        <w:t xml:space="preserve"> in Kraft.</w:t>
      </w:r>
    </w:p>
    <w:p w14:paraId="39EEC736" w14:textId="77777777" w:rsidR="00C1332E" w:rsidRPr="009F566E" w:rsidRDefault="00586D7D">
      <w:pPr>
        <w:pStyle w:val="Applicationdirecte"/>
        <w:rPr>
          <w:noProof/>
        </w:rPr>
      </w:pPr>
      <w:r w:rsidRPr="009F566E">
        <w:rPr>
          <w:noProof/>
        </w:rPr>
        <w:t>Diese Verordnung ist in allen ihren Teilen verbindlich und gilt unmittelbar in jedem Mitgliedstaat.</w:t>
      </w:r>
    </w:p>
    <w:p w14:paraId="185D4620" w14:textId="4BA278CF" w:rsidR="00C1332E" w:rsidRPr="009F566E" w:rsidRDefault="003C1002" w:rsidP="003D5627">
      <w:pPr>
        <w:pStyle w:val="Fait"/>
        <w:rPr>
          <w:noProof/>
        </w:rPr>
      </w:pPr>
      <w:r w:rsidRPr="003C1002">
        <w:t xml:space="preserve">Geschehen zu Brüssel am </w:t>
      </w:r>
      <w:r w:rsidRPr="003C1002">
        <w:rPr>
          <w:rStyle w:val="Marker"/>
        </w:rPr>
        <w:t>[…]</w:t>
      </w:r>
    </w:p>
    <w:p w14:paraId="4D57F57E" w14:textId="77777777" w:rsidR="00C1332E" w:rsidRPr="009F566E" w:rsidRDefault="00586D7D" w:rsidP="003D5627">
      <w:pPr>
        <w:pStyle w:val="Institutionquisigne"/>
        <w:rPr>
          <w:noProof/>
        </w:rPr>
      </w:pPr>
      <w:r w:rsidRPr="009F566E">
        <w:rPr>
          <w:noProof/>
        </w:rPr>
        <w:t>Im Namen des Europäischen Parlaments</w:t>
      </w:r>
      <w:r w:rsidRPr="009F566E">
        <w:rPr>
          <w:noProof/>
        </w:rPr>
        <w:tab/>
        <w:t>Im Namen des Rates</w:t>
      </w:r>
    </w:p>
    <w:p w14:paraId="4271C1A2" w14:textId="7859CEE4" w:rsidR="00C1332E" w:rsidRPr="009F566E" w:rsidRDefault="00DD4B5E" w:rsidP="00DD4B5E">
      <w:pPr>
        <w:pStyle w:val="Personnequisigne"/>
        <w:rPr>
          <w:noProof/>
        </w:rPr>
      </w:pPr>
      <w:r w:rsidRPr="009F566E">
        <w:rPr>
          <w:noProof/>
        </w:rPr>
        <w:t>Die Präsidentin</w:t>
      </w:r>
      <w:r w:rsidRPr="009F566E">
        <w:rPr>
          <w:noProof/>
        </w:rPr>
        <w:tab/>
        <w:t>Der Präsident /// Die Präsidentin</w:t>
      </w:r>
    </w:p>
    <w:p w14:paraId="211E3C0B" w14:textId="77777777" w:rsidR="00C1332E" w:rsidRPr="009F566E" w:rsidRDefault="00C1332E">
      <w:pPr>
        <w:rPr>
          <w:noProof/>
        </w:rPr>
        <w:sectPr w:rsidR="00C1332E" w:rsidRPr="009F566E" w:rsidSect="001E1836">
          <w:pgSz w:w="11907" w:h="16839"/>
          <w:pgMar w:top="1134" w:right="1417" w:bottom="1134" w:left="1417" w:header="709" w:footer="709" w:gutter="0"/>
          <w:cols w:space="720"/>
          <w:docGrid w:linePitch="360"/>
        </w:sectPr>
      </w:pPr>
    </w:p>
    <w:p w14:paraId="1FF243D2" w14:textId="77777777" w:rsidR="00E41E7D" w:rsidRPr="009F566E" w:rsidRDefault="00E41E7D" w:rsidP="009B3DB9">
      <w:pPr>
        <w:pStyle w:val="Fichefinanciretitre"/>
        <w:rPr>
          <w:noProof/>
        </w:rPr>
      </w:pPr>
      <w:bookmarkStart w:id="1" w:name="_Toc514938050"/>
      <w:bookmarkStart w:id="2" w:name="_Toc520485049"/>
      <w:r w:rsidRPr="009F566E">
        <w:rPr>
          <w:noProof/>
        </w:rPr>
        <w:t>FINANZBOGEN ZU RECHTSAKTEN</w:t>
      </w:r>
    </w:p>
    <w:p w14:paraId="2C209041" w14:textId="77777777" w:rsidR="00E41E7D" w:rsidRPr="009F566E" w:rsidRDefault="00212D2A" w:rsidP="00212D2A">
      <w:pPr>
        <w:pStyle w:val="ManualHeading1"/>
        <w:rPr>
          <w:noProof/>
        </w:rPr>
      </w:pPr>
      <w:bookmarkStart w:id="3" w:name="_Toc514938007"/>
      <w:bookmarkStart w:id="4" w:name="_Toc520485025"/>
      <w:r w:rsidRPr="002C6368">
        <w:rPr>
          <w:noProof/>
        </w:rPr>
        <w:t>1</w:t>
      </w:r>
      <w:r w:rsidRPr="009F566E">
        <w:rPr>
          <w:noProof/>
        </w:rPr>
        <w:t>.</w:t>
      </w:r>
      <w:r w:rsidRPr="009F566E">
        <w:rPr>
          <w:noProof/>
        </w:rPr>
        <w:tab/>
        <w:t>RAHMEN DES VORSCHLAGS/DER INITIATIVE</w:t>
      </w:r>
      <w:bookmarkEnd w:id="3"/>
      <w:bookmarkEnd w:id="4"/>
      <w:r w:rsidRPr="009F566E">
        <w:rPr>
          <w:noProof/>
        </w:rPr>
        <w:t xml:space="preserve"> </w:t>
      </w:r>
    </w:p>
    <w:p w14:paraId="784AD398" w14:textId="77777777" w:rsidR="00E41E7D" w:rsidRPr="009F566E" w:rsidRDefault="00212D2A" w:rsidP="00212D2A">
      <w:pPr>
        <w:pStyle w:val="ManualHeading2"/>
        <w:rPr>
          <w:noProof/>
        </w:rPr>
      </w:pPr>
      <w:bookmarkStart w:id="5" w:name="_Toc514938008"/>
      <w:bookmarkStart w:id="6" w:name="_Toc520485026"/>
      <w:r w:rsidRPr="002C6368">
        <w:rPr>
          <w:noProof/>
        </w:rPr>
        <w:t>1</w:t>
      </w:r>
      <w:r w:rsidRPr="009F566E">
        <w:rPr>
          <w:noProof/>
        </w:rPr>
        <w:t>.</w:t>
      </w:r>
      <w:r w:rsidRPr="002C6368">
        <w:rPr>
          <w:noProof/>
        </w:rPr>
        <w:t>1</w:t>
      </w:r>
      <w:r w:rsidRPr="009F566E">
        <w:rPr>
          <w:noProof/>
        </w:rPr>
        <w:t>.</w:t>
      </w:r>
      <w:r w:rsidRPr="009F566E">
        <w:rPr>
          <w:noProof/>
        </w:rPr>
        <w:tab/>
        <w:t>Bezeichnung des Vorschlags/der Initiative</w:t>
      </w:r>
      <w:bookmarkEnd w:id="5"/>
      <w:bookmarkEnd w:id="6"/>
    </w:p>
    <w:p w14:paraId="69A46115"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Vorschlag für eine</w:t>
      </w:r>
    </w:p>
    <w:p w14:paraId="622D4E00"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VERORDNUNG DES EUROPÄISCHEN PARLAMENTS UND DES RATES</w:t>
      </w:r>
    </w:p>
    <w:p w14:paraId="7F163B00" w14:textId="77777777" w:rsidR="00E41E7D" w:rsidRPr="009F566E" w:rsidRDefault="00AF7BC9" w:rsidP="00E41E7D">
      <w:pPr>
        <w:pStyle w:val="Text1"/>
        <w:pBdr>
          <w:top w:val="single" w:sz="4" w:space="1" w:color="auto"/>
          <w:left w:val="single" w:sz="4" w:space="4" w:color="auto"/>
          <w:bottom w:val="single" w:sz="4" w:space="1" w:color="auto"/>
          <w:right w:val="single" w:sz="4" w:space="4" w:color="auto"/>
        </w:pBdr>
        <w:rPr>
          <w:dstrike/>
          <w:noProof/>
        </w:rPr>
      </w:pPr>
      <w:r w:rsidRPr="009F566E">
        <w:rPr>
          <w:noProof/>
        </w:rPr>
        <w:t>zur Änderung der Verordnung (EU) Nr. </w:t>
      </w:r>
      <w:r w:rsidRPr="002C6368">
        <w:rPr>
          <w:noProof/>
        </w:rPr>
        <w:t>1303</w:t>
      </w:r>
      <w:r w:rsidRPr="009F566E">
        <w:rPr>
          <w:noProof/>
        </w:rPr>
        <w:t>/</w:t>
      </w:r>
      <w:r w:rsidRPr="002C6368">
        <w:rPr>
          <w:noProof/>
        </w:rPr>
        <w:t>2013</w:t>
      </w:r>
      <w:r w:rsidRPr="009F566E">
        <w:rPr>
          <w:noProof/>
        </w:rPr>
        <w:t xml:space="preserve"> und der Verordnung (EU) </w:t>
      </w:r>
      <w:r w:rsidRPr="002C6368">
        <w:rPr>
          <w:noProof/>
        </w:rPr>
        <w:t>2021</w:t>
      </w:r>
      <w:r w:rsidRPr="009F566E">
        <w:rPr>
          <w:noProof/>
        </w:rPr>
        <w:t>/</w:t>
      </w:r>
      <w:r w:rsidRPr="002C6368">
        <w:rPr>
          <w:noProof/>
        </w:rPr>
        <w:t>1060</w:t>
      </w:r>
      <w:r w:rsidRPr="009F566E">
        <w:rPr>
          <w:noProof/>
        </w:rPr>
        <w:t xml:space="preserve"> im Hinblick auf zusätzliche Flexibilität zur Bewältigung der Folgen des militärischen Angriffs durch die Russische Föderation</w:t>
      </w:r>
      <w:r w:rsidRPr="009F566E">
        <w:rPr>
          <w:noProof/>
        </w:rPr>
        <w:tab/>
        <w:t xml:space="preserve"> </w:t>
      </w:r>
      <w:r w:rsidRPr="009F566E">
        <w:rPr>
          <w:noProof/>
        </w:rPr>
        <w:br/>
        <w:t>FAST - CARE (Flexible Assistance for Territories – Flexible Unterstützung für Gebiete)</w:t>
      </w:r>
    </w:p>
    <w:p w14:paraId="12E26983"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p>
    <w:p w14:paraId="12F67978" w14:textId="77777777" w:rsidR="00E41E7D" w:rsidRPr="009F566E" w:rsidRDefault="00212D2A" w:rsidP="00212D2A">
      <w:pPr>
        <w:pStyle w:val="ManualHeading2"/>
        <w:rPr>
          <w:i/>
          <w:noProof/>
        </w:rPr>
      </w:pPr>
      <w:bookmarkStart w:id="7" w:name="_Toc514938011"/>
      <w:bookmarkStart w:id="8" w:name="_Toc520485027"/>
      <w:r w:rsidRPr="002C6368">
        <w:rPr>
          <w:noProof/>
        </w:rPr>
        <w:t>1</w:t>
      </w:r>
      <w:r w:rsidRPr="009F566E">
        <w:rPr>
          <w:noProof/>
        </w:rPr>
        <w:t>.</w:t>
      </w:r>
      <w:r w:rsidRPr="002C6368">
        <w:rPr>
          <w:noProof/>
        </w:rPr>
        <w:t>2</w:t>
      </w:r>
      <w:r w:rsidRPr="009F566E">
        <w:rPr>
          <w:noProof/>
        </w:rPr>
        <w:t>.</w:t>
      </w:r>
      <w:r w:rsidRPr="009F566E">
        <w:rPr>
          <w:noProof/>
        </w:rPr>
        <w:tab/>
        <w:t>Politikbereich(e)</w:t>
      </w:r>
      <w:bookmarkEnd w:id="7"/>
      <w:bookmarkEnd w:id="8"/>
      <w:r w:rsidRPr="009F566E">
        <w:rPr>
          <w:i/>
          <w:noProof/>
        </w:rPr>
        <w:t xml:space="preserve"> </w:t>
      </w:r>
    </w:p>
    <w:p w14:paraId="149EB0E3"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color w:val="000000" w:themeColor="text1"/>
        </w:rPr>
      </w:pPr>
      <w:r w:rsidRPr="002C6368">
        <w:rPr>
          <w:noProof/>
          <w:color w:val="000000" w:themeColor="text1"/>
        </w:rPr>
        <w:t>05</w:t>
      </w:r>
      <w:r w:rsidRPr="009F566E">
        <w:rPr>
          <w:noProof/>
          <w:color w:val="000000" w:themeColor="text1"/>
        </w:rPr>
        <w:t xml:space="preserve"> Regionale Entwicklung und Zusammenhalt</w:t>
      </w:r>
    </w:p>
    <w:p w14:paraId="26F4A219" w14:textId="77777777" w:rsidR="00E41E7D" w:rsidRPr="009F566E" w:rsidRDefault="00E41E7D" w:rsidP="00EF5081">
      <w:pPr>
        <w:pStyle w:val="Text1"/>
        <w:pBdr>
          <w:top w:val="single" w:sz="4" w:space="1" w:color="auto"/>
          <w:left w:val="single" w:sz="4" w:space="4" w:color="auto"/>
          <w:bottom w:val="single" w:sz="4" w:space="1" w:color="auto"/>
          <w:right w:val="single" w:sz="4" w:space="4" w:color="auto"/>
        </w:pBdr>
        <w:rPr>
          <w:noProof/>
          <w:color w:val="000000" w:themeColor="text1"/>
        </w:rPr>
      </w:pPr>
      <w:r w:rsidRPr="002C6368">
        <w:rPr>
          <w:noProof/>
          <w:color w:val="000000" w:themeColor="text1"/>
        </w:rPr>
        <w:t>07</w:t>
      </w:r>
      <w:r w:rsidRPr="009F566E">
        <w:rPr>
          <w:noProof/>
          <w:color w:val="000000" w:themeColor="text1"/>
        </w:rPr>
        <w:t xml:space="preserve"> In Menschen investieren, sozialer Zusammenhalt und Werte </w:t>
      </w:r>
    </w:p>
    <w:p w14:paraId="11FB6450" w14:textId="77777777" w:rsidR="00E41E7D" w:rsidRPr="009F566E" w:rsidRDefault="00212D2A" w:rsidP="00212D2A">
      <w:pPr>
        <w:pStyle w:val="ManualHeading2"/>
        <w:rPr>
          <w:bCs/>
          <w:noProof/>
          <w:szCs w:val="24"/>
        </w:rPr>
      </w:pPr>
      <w:bookmarkStart w:id="9" w:name="_Toc514938014"/>
      <w:bookmarkStart w:id="10" w:name="_Toc520485028"/>
      <w:r w:rsidRPr="002C6368">
        <w:rPr>
          <w:noProof/>
        </w:rPr>
        <w:t>1</w:t>
      </w:r>
      <w:r w:rsidRPr="009F566E">
        <w:rPr>
          <w:noProof/>
        </w:rPr>
        <w:t>.</w:t>
      </w:r>
      <w:r w:rsidRPr="002C6368">
        <w:rPr>
          <w:noProof/>
        </w:rPr>
        <w:t>3</w:t>
      </w:r>
      <w:r w:rsidRPr="009F566E">
        <w:rPr>
          <w:noProof/>
        </w:rPr>
        <w:t>.</w:t>
      </w:r>
      <w:r w:rsidRPr="009F566E">
        <w:rPr>
          <w:noProof/>
        </w:rPr>
        <w:tab/>
        <w:t>Der Vorschlag/Die Initiative betrifft</w:t>
      </w:r>
      <w:bookmarkEnd w:id="9"/>
      <w:bookmarkEnd w:id="10"/>
      <w:r w:rsidRPr="009F566E">
        <w:rPr>
          <w:noProof/>
        </w:rPr>
        <w:t xml:space="preserve"> </w:t>
      </w:r>
    </w:p>
    <w:p w14:paraId="7444129F" w14:textId="77777777" w:rsidR="00E41E7D" w:rsidRPr="009F566E" w:rsidRDefault="00E41E7D" w:rsidP="00E41E7D">
      <w:pPr>
        <w:pStyle w:val="Text1"/>
        <w:rPr>
          <w:b/>
          <w:noProof/>
          <w:sz w:val="22"/>
        </w:rPr>
      </w:pPr>
      <w:r w:rsidRPr="009F566E">
        <w:rPr>
          <w:noProof/>
          <w:sz w:val="22"/>
        </w:rPr>
        <w:sym w:font="Wingdings" w:char="F0A8"/>
      </w:r>
      <w:r w:rsidRPr="009F566E">
        <w:rPr>
          <w:b/>
          <w:i/>
          <w:noProof/>
          <w:sz w:val="22"/>
        </w:rPr>
        <w:t xml:space="preserve"> </w:t>
      </w:r>
      <w:r w:rsidRPr="009F566E">
        <w:rPr>
          <w:b/>
          <w:noProof/>
        </w:rPr>
        <w:t>eine neue Maßnahme</w:t>
      </w:r>
      <w:r w:rsidRPr="009F566E">
        <w:rPr>
          <w:b/>
          <w:noProof/>
          <w:sz w:val="22"/>
        </w:rPr>
        <w:t xml:space="preserve"> </w:t>
      </w:r>
    </w:p>
    <w:p w14:paraId="728B5B7D" w14:textId="77777777" w:rsidR="00E41E7D" w:rsidRPr="009F566E" w:rsidRDefault="00E41E7D" w:rsidP="00E41E7D">
      <w:pPr>
        <w:pStyle w:val="Text1"/>
        <w:rPr>
          <w:noProof/>
          <w:sz w:val="22"/>
        </w:rPr>
      </w:pPr>
      <w:r w:rsidRPr="009F566E">
        <w:rPr>
          <w:noProof/>
          <w:sz w:val="22"/>
        </w:rPr>
        <w:sym w:font="Wingdings" w:char="F0A8"/>
      </w:r>
      <w:r w:rsidRPr="009F566E">
        <w:rPr>
          <w:i/>
          <w:noProof/>
          <w:sz w:val="22"/>
        </w:rPr>
        <w:t xml:space="preserve"> </w:t>
      </w:r>
      <w:r w:rsidRPr="009F566E">
        <w:rPr>
          <w:b/>
          <w:noProof/>
        </w:rPr>
        <w:t>eine neue Maßnahme im Anschluss an ein Pilotprojekt/eine vorbereitende Maßnahme</w:t>
      </w:r>
      <w:r w:rsidRPr="009F566E">
        <w:rPr>
          <w:rStyle w:val="FootnoteReference"/>
          <w:noProof/>
        </w:rPr>
        <w:footnoteReference w:id="20"/>
      </w:r>
      <w:r w:rsidRPr="009F566E">
        <w:rPr>
          <w:noProof/>
          <w:sz w:val="22"/>
        </w:rPr>
        <w:t xml:space="preserve"> </w:t>
      </w:r>
    </w:p>
    <w:p w14:paraId="6741C2D1" w14:textId="77777777" w:rsidR="00E41E7D" w:rsidRPr="009F566E" w:rsidRDefault="00E41E7D" w:rsidP="00E41E7D">
      <w:pPr>
        <w:pStyle w:val="Text1"/>
        <w:rPr>
          <w:noProof/>
          <w:sz w:val="22"/>
        </w:rPr>
      </w:pPr>
      <w:r w:rsidRPr="009F566E">
        <w:rPr>
          <w:b/>
          <w:noProof/>
        </w:rPr>
        <w:t>X die Verlängerung einer bestehenden Maßnahme</w:t>
      </w:r>
      <w:r w:rsidRPr="009F566E">
        <w:rPr>
          <w:noProof/>
          <w:sz w:val="22"/>
        </w:rPr>
        <w:t xml:space="preserve"> </w:t>
      </w:r>
    </w:p>
    <w:p w14:paraId="60DBC83B" w14:textId="77777777" w:rsidR="00E41E7D" w:rsidRPr="009F566E" w:rsidRDefault="00E41E7D" w:rsidP="00E41E7D">
      <w:pPr>
        <w:pStyle w:val="Text1"/>
        <w:rPr>
          <w:noProof/>
        </w:rPr>
      </w:pPr>
      <w:r w:rsidRPr="009F566E">
        <w:rPr>
          <w:noProof/>
          <w:sz w:val="22"/>
        </w:rPr>
        <w:sym w:font="Wingdings" w:char="F0A8"/>
      </w:r>
      <w:r w:rsidRPr="009F566E">
        <w:rPr>
          <w:i/>
          <w:noProof/>
          <w:sz w:val="22"/>
        </w:rPr>
        <w:t xml:space="preserve"> </w:t>
      </w:r>
      <w:r w:rsidRPr="009F566E">
        <w:rPr>
          <w:b/>
          <w:noProof/>
        </w:rPr>
        <w:t>die Zusammenführung mehrerer Maßnahmen oder die Neuausrichtung mindestens einer Maßnahme</w:t>
      </w:r>
      <w:r w:rsidRPr="009F566E">
        <w:rPr>
          <w:noProof/>
        </w:rPr>
        <w:t xml:space="preserve"> </w:t>
      </w:r>
    </w:p>
    <w:p w14:paraId="6A9D6662" w14:textId="77777777" w:rsidR="00E41E7D" w:rsidRPr="009F566E" w:rsidRDefault="00212D2A" w:rsidP="00212D2A">
      <w:pPr>
        <w:pStyle w:val="ManualHeading2"/>
        <w:rPr>
          <w:bCs/>
          <w:noProof/>
          <w:szCs w:val="24"/>
        </w:rPr>
      </w:pPr>
      <w:bookmarkStart w:id="11" w:name="_Toc514938015"/>
      <w:bookmarkStart w:id="12" w:name="_Toc520485029"/>
      <w:r w:rsidRPr="002C6368">
        <w:rPr>
          <w:noProof/>
        </w:rPr>
        <w:t>1</w:t>
      </w:r>
      <w:r w:rsidRPr="009F566E">
        <w:rPr>
          <w:noProof/>
        </w:rPr>
        <w:t>.</w:t>
      </w:r>
      <w:r w:rsidRPr="002C6368">
        <w:rPr>
          <w:noProof/>
        </w:rPr>
        <w:t>4</w:t>
      </w:r>
      <w:r w:rsidRPr="009F566E">
        <w:rPr>
          <w:noProof/>
        </w:rPr>
        <w:t>.</w:t>
      </w:r>
      <w:r w:rsidRPr="009F566E">
        <w:rPr>
          <w:noProof/>
        </w:rPr>
        <w:tab/>
        <w:t>Ziel(e)</w:t>
      </w:r>
      <w:bookmarkEnd w:id="11"/>
      <w:bookmarkEnd w:id="12"/>
    </w:p>
    <w:p w14:paraId="336DAD78" w14:textId="77777777" w:rsidR="00E41E7D" w:rsidRPr="009F566E" w:rsidRDefault="00212D2A" w:rsidP="00212D2A">
      <w:pPr>
        <w:pStyle w:val="ManualHeading3"/>
        <w:rPr>
          <w:noProof/>
        </w:rPr>
      </w:pPr>
      <w:bookmarkStart w:id="13" w:name="_Toc514938016"/>
      <w:bookmarkStart w:id="14" w:name="_Toc520485030"/>
      <w:r w:rsidRPr="002C6368">
        <w:rPr>
          <w:noProof/>
        </w:rPr>
        <w:t>1</w:t>
      </w:r>
      <w:r w:rsidRPr="009F566E">
        <w:rPr>
          <w:noProof/>
        </w:rPr>
        <w:t>.</w:t>
      </w:r>
      <w:r w:rsidRPr="002C6368">
        <w:rPr>
          <w:noProof/>
        </w:rPr>
        <w:t>4</w:t>
      </w:r>
      <w:r w:rsidRPr="009F566E">
        <w:rPr>
          <w:noProof/>
        </w:rPr>
        <w:t>.</w:t>
      </w:r>
      <w:r w:rsidRPr="002C6368">
        <w:rPr>
          <w:noProof/>
        </w:rPr>
        <w:t>1</w:t>
      </w:r>
      <w:r w:rsidRPr="009F566E">
        <w:rPr>
          <w:noProof/>
        </w:rPr>
        <w:t>.</w:t>
      </w:r>
      <w:r w:rsidRPr="009F566E">
        <w:rPr>
          <w:noProof/>
        </w:rPr>
        <w:tab/>
        <w:t>Allgemeine(s) Ziel(e)</w:t>
      </w:r>
      <w:bookmarkEnd w:id="13"/>
      <w:bookmarkEnd w:id="14"/>
    </w:p>
    <w:p w14:paraId="11A4B5B4"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76DB7D73" w14:textId="77777777" w:rsidR="00E41E7D" w:rsidRPr="009F566E" w:rsidRDefault="00212D2A" w:rsidP="00212D2A">
      <w:pPr>
        <w:pStyle w:val="ManualHeading3"/>
        <w:rPr>
          <w:bCs/>
          <w:noProof/>
          <w:szCs w:val="24"/>
        </w:rPr>
      </w:pPr>
      <w:bookmarkStart w:id="15" w:name="_Toc514938018"/>
      <w:bookmarkStart w:id="16" w:name="_Toc520485031"/>
      <w:r w:rsidRPr="002C6368">
        <w:rPr>
          <w:noProof/>
        </w:rPr>
        <w:t>1</w:t>
      </w:r>
      <w:r w:rsidRPr="009F566E">
        <w:rPr>
          <w:noProof/>
        </w:rPr>
        <w:t>.</w:t>
      </w:r>
      <w:r w:rsidRPr="002C6368">
        <w:rPr>
          <w:noProof/>
        </w:rPr>
        <w:t>4</w:t>
      </w:r>
      <w:r w:rsidRPr="009F566E">
        <w:rPr>
          <w:noProof/>
        </w:rPr>
        <w:t>.</w:t>
      </w:r>
      <w:r w:rsidRPr="002C6368">
        <w:rPr>
          <w:noProof/>
        </w:rPr>
        <w:t>2</w:t>
      </w:r>
      <w:r w:rsidRPr="009F566E">
        <w:rPr>
          <w:noProof/>
        </w:rPr>
        <w:t>.</w:t>
      </w:r>
      <w:r w:rsidRPr="009F566E">
        <w:rPr>
          <w:noProof/>
        </w:rPr>
        <w:tab/>
        <w:t>Einzelziel(e)</w:t>
      </w:r>
      <w:bookmarkEnd w:id="15"/>
      <w:bookmarkEnd w:id="16"/>
    </w:p>
    <w:p w14:paraId="5D68946B"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1012BF97" w14:textId="77777777" w:rsidR="00E41E7D" w:rsidRPr="009F566E" w:rsidRDefault="00212D2A" w:rsidP="00212D2A">
      <w:pPr>
        <w:pStyle w:val="ManualHeading3"/>
        <w:rPr>
          <w:noProof/>
        </w:rPr>
      </w:pPr>
      <w:bookmarkStart w:id="17" w:name="_Toc514938019"/>
      <w:bookmarkStart w:id="18" w:name="_Toc520485032"/>
      <w:r w:rsidRPr="002C6368">
        <w:rPr>
          <w:noProof/>
        </w:rPr>
        <w:t>1</w:t>
      </w:r>
      <w:r w:rsidRPr="009F566E">
        <w:rPr>
          <w:noProof/>
        </w:rPr>
        <w:t>.</w:t>
      </w:r>
      <w:r w:rsidRPr="002C6368">
        <w:rPr>
          <w:noProof/>
        </w:rPr>
        <w:t>4</w:t>
      </w:r>
      <w:r w:rsidRPr="009F566E">
        <w:rPr>
          <w:noProof/>
        </w:rPr>
        <w:t>.</w:t>
      </w:r>
      <w:r w:rsidRPr="002C6368">
        <w:rPr>
          <w:noProof/>
        </w:rPr>
        <w:t>3</w:t>
      </w:r>
      <w:r w:rsidRPr="009F566E">
        <w:rPr>
          <w:noProof/>
        </w:rPr>
        <w:t>.</w:t>
      </w:r>
      <w:r w:rsidRPr="009F566E">
        <w:rPr>
          <w:noProof/>
        </w:rPr>
        <w:tab/>
        <w:t>Erwartete Ergebnisse und Auswirkungen</w:t>
      </w:r>
      <w:bookmarkEnd w:id="17"/>
      <w:bookmarkEnd w:id="18"/>
    </w:p>
    <w:p w14:paraId="3A4CBADA" w14:textId="77777777" w:rsidR="00E41E7D" w:rsidRPr="009F566E" w:rsidRDefault="00E41E7D" w:rsidP="00E41E7D">
      <w:pPr>
        <w:pStyle w:val="Text1"/>
        <w:rPr>
          <w:i/>
          <w:noProof/>
          <w:sz w:val="20"/>
        </w:rPr>
      </w:pPr>
      <w:r w:rsidRPr="009F566E">
        <w:rPr>
          <w:i/>
          <w:noProof/>
          <w:sz w:val="20"/>
        </w:rPr>
        <w:t>Bitte geben Sie an, wie sich der Vorschlag/die Initiative auf die Begünstigten/Zielgruppen auswirken dürfte.</w:t>
      </w:r>
    </w:p>
    <w:p w14:paraId="2CA92379"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6FC2B078" w14:textId="77777777" w:rsidR="00E41E7D" w:rsidRPr="009F566E" w:rsidRDefault="00212D2A" w:rsidP="00212D2A">
      <w:pPr>
        <w:pStyle w:val="ManualHeading3"/>
        <w:rPr>
          <w:noProof/>
          <w:szCs w:val="24"/>
        </w:rPr>
      </w:pPr>
      <w:bookmarkStart w:id="19" w:name="_Toc514938023"/>
      <w:bookmarkStart w:id="20" w:name="_Toc520485033"/>
      <w:r w:rsidRPr="002C6368">
        <w:rPr>
          <w:noProof/>
        </w:rPr>
        <w:t>1</w:t>
      </w:r>
      <w:r w:rsidRPr="009F566E">
        <w:rPr>
          <w:noProof/>
        </w:rPr>
        <w:t>.</w:t>
      </w:r>
      <w:r w:rsidRPr="002C6368">
        <w:rPr>
          <w:noProof/>
        </w:rPr>
        <w:t>4</w:t>
      </w:r>
      <w:r w:rsidRPr="009F566E">
        <w:rPr>
          <w:noProof/>
        </w:rPr>
        <w:t>.</w:t>
      </w:r>
      <w:r w:rsidRPr="002C6368">
        <w:rPr>
          <w:noProof/>
        </w:rPr>
        <w:t>4</w:t>
      </w:r>
      <w:r w:rsidRPr="009F566E">
        <w:rPr>
          <w:noProof/>
        </w:rPr>
        <w:t>.</w:t>
      </w:r>
      <w:r w:rsidRPr="009F566E">
        <w:rPr>
          <w:noProof/>
        </w:rPr>
        <w:tab/>
        <w:t>Leistungsindikatoren</w:t>
      </w:r>
      <w:bookmarkEnd w:id="19"/>
      <w:bookmarkEnd w:id="20"/>
    </w:p>
    <w:p w14:paraId="1AF8F1CB" w14:textId="77777777" w:rsidR="00E41E7D" w:rsidRPr="009F566E" w:rsidRDefault="00E41E7D" w:rsidP="00E41E7D">
      <w:pPr>
        <w:pStyle w:val="Text1"/>
        <w:rPr>
          <w:i/>
          <w:noProof/>
          <w:sz w:val="20"/>
        </w:rPr>
      </w:pPr>
      <w:r w:rsidRPr="009F566E">
        <w:rPr>
          <w:i/>
          <w:noProof/>
          <w:sz w:val="20"/>
        </w:rPr>
        <w:t>Bitte geben Sie an, anhand welcher Indikatoren sich die Fortschritte und Ergebnisse verfolgen lassen.</w:t>
      </w:r>
    </w:p>
    <w:p w14:paraId="5B60B882"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2893432C" w14:textId="77777777" w:rsidR="00E41E7D" w:rsidRPr="009F566E" w:rsidRDefault="00E41E7D">
      <w:pPr>
        <w:spacing w:before="0" w:after="200" w:line="276" w:lineRule="auto"/>
        <w:jc w:val="left"/>
        <w:rPr>
          <w:rFonts w:eastAsiaTheme="majorEastAsia"/>
          <w:b/>
          <w:bCs/>
          <w:noProof/>
          <w:szCs w:val="26"/>
        </w:rPr>
      </w:pPr>
      <w:bookmarkStart w:id="21" w:name="_Toc514938025"/>
      <w:bookmarkStart w:id="22" w:name="_Toc520485034"/>
      <w:r w:rsidRPr="009F566E">
        <w:rPr>
          <w:noProof/>
        </w:rPr>
        <w:br w:type="page"/>
      </w:r>
    </w:p>
    <w:p w14:paraId="3484B0B3" w14:textId="77777777" w:rsidR="00E41E7D" w:rsidRPr="009F566E" w:rsidRDefault="00212D2A" w:rsidP="00212D2A">
      <w:pPr>
        <w:pStyle w:val="ManualHeading2"/>
        <w:rPr>
          <w:bCs/>
          <w:noProof/>
          <w:szCs w:val="24"/>
        </w:rPr>
      </w:pPr>
      <w:r w:rsidRPr="002C6368">
        <w:rPr>
          <w:noProof/>
        </w:rPr>
        <w:t>1</w:t>
      </w:r>
      <w:r w:rsidRPr="009F566E">
        <w:rPr>
          <w:noProof/>
        </w:rPr>
        <w:t>.</w:t>
      </w:r>
      <w:r w:rsidRPr="002C6368">
        <w:rPr>
          <w:noProof/>
        </w:rPr>
        <w:t>5</w:t>
      </w:r>
      <w:r w:rsidRPr="009F566E">
        <w:rPr>
          <w:noProof/>
        </w:rPr>
        <w:t>.</w:t>
      </w:r>
      <w:r w:rsidRPr="009F566E">
        <w:rPr>
          <w:noProof/>
        </w:rPr>
        <w:tab/>
        <w:t>Begründung des Vorschlags/der Initiative</w:t>
      </w:r>
      <w:bookmarkEnd w:id="21"/>
      <w:bookmarkEnd w:id="22"/>
      <w:r w:rsidRPr="009F566E">
        <w:rPr>
          <w:noProof/>
        </w:rPr>
        <w:t xml:space="preserve"> </w:t>
      </w:r>
    </w:p>
    <w:p w14:paraId="617B81F7" w14:textId="77777777" w:rsidR="00E41E7D" w:rsidRPr="009F566E" w:rsidRDefault="00212D2A" w:rsidP="00212D2A">
      <w:pPr>
        <w:pStyle w:val="ManualHeading3"/>
        <w:rPr>
          <w:noProof/>
        </w:rPr>
      </w:pPr>
      <w:bookmarkStart w:id="23" w:name="_Toc514938026"/>
      <w:bookmarkStart w:id="24" w:name="_Toc520485035"/>
      <w:r w:rsidRPr="002C6368">
        <w:rPr>
          <w:noProof/>
        </w:rPr>
        <w:t>1</w:t>
      </w:r>
      <w:r w:rsidRPr="009F566E">
        <w:rPr>
          <w:noProof/>
        </w:rPr>
        <w:t>.</w:t>
      </w:r>
      <w:r w:rsidRPr="002C6368">
        <w:rPr>
          <w:noProof/>
        </w:rPr>
        <w:t>5</w:t>
      </w:r>
      <w:r w:rsidRPr="009F566E">
        <w:rPr>
          <w:noProof/>
        </w:rPr>
        <w:t>.</w:t>
      </w:r>
      <w:r w:rsidRPr="002C6368">
        <w:rPr>
          <w:noProof/>
        </w:rPr>
        <w:t>1</w:t>
      </w:r>
      <w:r w:rsidRPr="009F566E">
        <w:rPr>
          <w:noProof/>
        </w:rPr>
        <w:t>.</w:t>
      </w:r>
      <w:r w:rsidRPr="009F566E">
        <w:rPr>
          <w:noProof/>
        </w:rPr>
        <w:tab/>
        <w:t>Kurz- oder langfristig zu deckender Bedarf, einschließlich einer detaillierten Zeitleiste für die Durchführung der Initiative</w:t>
      </w:r>
      <w:bookmarkEnd w:id="23"/>
      <w:bookmarkEnd w:id="24"/>
    </w:p>
    <w:p w14:paraId="5A35D0BF"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5D961E6E" w14:textId="77777777" w:rsidR="00E41E7D" w:rsidRPr="009F566E" w:rsidRDefault="00212D2A" w:rsidP="00212D2A">
      <w:pPr>
        <w:pStyle w:val="ManualHeading3"/>
        <w:rPr>
          <w:bCs/>
          <w:noProof/>
          <w:szCs w:val="24"/>
        </w:rPr>
      </w:pPr>
      <w:bookmarkStart w:id="25" w:name="_Toc514938029"/>
      <w:bookmarkStart w:id="26" w:name="_Toc520485036"/>
      <w:r w:rsidRPr="002C6368">
        <w:rPr>
          <w:noProof/>
        </w:rPr>
        <w:t>1</w:t>
      </w:r>
      <w:r w:rsidRPr="009F566E">
        <w:rPr>
          <w:noProof/>
        </w:rPr>
        <w:t>.</w:t>
      </w:r>
      <w:r w:rsidRPr="002C6368">
        <w:rPr>
          <w:noProof/>
        </w:rPr>
        <w:t>5</w:t>
      </w:r>
      <w:r w:rsidRPr="009F566E">
        <w:rPr>
          <w:noProof/>
        </w:rPr>
        <w:t>.</w:t>
      </w:r>
      <w:r w:rsidRPr="002C6368">
        <w:rPr>
          <w:noProof/>
        </w:rPr>
        <w:t>2</w:t>
      </w:r>
      <w:r w:rsidRPr="009F566E">
        <w:rPr>
          <w:noProof/>
        </w:rPr>
        <w:t>.</w:t>
      </w:r>
      <w:r w:rsidRPr="009F566E">
        <w:rPr>
          <w:noProof/>
        </w:rPr>
        <w:tab/>
        <w:t>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bookmarkEnd w:id="25"/>
      <w:bookmarkEnd w:id="26"/>
    </w:p>
    <w:p w14:paraId="631A4324"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018EAC7A" w14:textId="77777777" w:rsidR="00E41E7D" w:rsidRPr="009F566E" w:rsidRDefault="00212D2A" w:rsidP="00212D2A">
      <w:pPr>
        <w:pStyle w:val="ManualHeading3"/>
        <w:rPr>
          <w:noProof/>
        </w:rPr>
      </w:pPr>
      <w:bookmarkStart w:id="27" w:name="_Toc514938030"/>
      <w:bookmarkStart w:id="28" w:name="_Toc520485037"/>
      <w:r w:rsidRPr="002C6368">
        <w:rPr>
          <w:noProof/>
        </w:rPr>
        <w:t>1</w:t>
      </w:r>
      <w:r w:rsidRPr="009F566E">
        <w:rPr>
          <w:noProof/>
        </w:rPr>
        <w:t>.</w:t>
      </w:r>
      <w:r w:rsidRPr="002C6368">
        <w:rPr>
          <w:noProof/>
        </w:rPr>
        <w:t>5</w:t>
      </w:r>
      <w:r w:rsidRPr="009F566E">
        <w:rPr>
          <w:noProof/>
        </w:rPr>
        <w:t>.</w:t>
      </w:r>
      <w:r w:rsidRPr="002C6368">
        <w:rPr>
          <w:noProof/>
        </w:rPr>
        <w:t>3</w:t>
      </w:r>
      <w:r w:rsidRPr="009F566E">
        <w:rPr>
          <w:noProof/>
        </w:rPr>
        <w:t>.</w:t>
      </w:r>
      <w:r w:rsidRPr="009F566E">
        <w:rPr>
          <w:noProof/>
        </w:rPr>
        <w:tab/>
        <w:t>Aus früheren ähnlichen Maßnahmen gewonnene Erkenntnisse</w:t>
      </w:r>
      <w:bookmarkEnd w:id="27"/>
      <w:bookmarkEnd w:id="28"/>
    </w:p>
    <w:p w14:paraId="597B631D"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6D964279" w14:textId="77777777" w:rsidR="00E41E7D" w:rsidRPr="009F566E" w:rsidRDefault="00212D2A" w:rsidP="00212D2A">
      <w:pPr>
        <w:pStyle w:val="ManualHeading3"/>
        <w:rPr>
          <w:noProof/>
        </w:rPr>
      </w:pPr>
      <w:bookmarkStart w:id="29" w:name="_Toc514938033"/>
      <w:bookmarkStart w:id="30" w:name="_Toc520485038"/>
      <w:r w:rsidRPr="002C6368">
        <w:rPr>
          <w:noProof/>
        </w:rPr>
        <w:t>1</w:t>
      </w:r>
      <w:r w:rsidRPr="009F566E">
        <w:rPr>
          <w:noProof/>
        </w:rPr>
        <w:t>.</w:t>
      </w:r>
      <w:r w:rsidRPr="002C6368">
        <w:rPr>
          <w:noProof/>
        </w:rPr>
        <w:t>5</w:t>
      </w:r>
      <w:r w:rsidRPr="009F566E">
        <w:rPr>
          <w:noProof/>
        </w:rPr>
        <w:t>.</w:t>
      </w:r>
      <w:r w:rsidRPr="002C6368">
        <w:rPr>
          <w:noProof/>
        </w:rPr>
        <w:t>4</w:t>
      </w:r>
      <w:r w:rsidRPr="009F566E">
        <w:rPr>
          <w:noProof/>
        </w:rPr>
        <w:t>.</w:t>
      </w:r>
      <w:r w:rsidRPr="009F566E">
        <w:rPr>
          <w:noProof/>
        </w:rPr>
        <w:tab/>
        <w:t>Vereinbarkeit mit dem Mehrjährigen Finanzrahmen sowie mögliche Synergieeffekte mit anderen geeigneten Instrumenten</w:t>
      </w:r>
      <w:bookmarkEnd w:id="29"/>
      <w:bookmarkEnd w:id="30"/>
    </w:p>
    <w:p w14:paraId="388119B0"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4BC346FC" w14:textId="77777777" w:rsidR="00E41E7D" w:rsidRPr="009F566E" w:rsidRDefault="00212D2A" w:rsidP="00212D2A">
      <w:pPr>
        <w:pStyle w:val="ManualHeading3"/>
        <w:rPr>
          <w:noProof/>
        </w:rPr>
      </w:pPr>
      <w:bookmarkStart w:id="31" w:name="_Toc514938036"/>
      <w:bookmarkStart w:id="32" w:name="_Toc520485039"/>
      <w:r w:rsidRPr="002C6368">
        <w:rPr>
          <w:noProof/>
        </w:rPr>
        <w:t>1</w:t>
      </w:r>
      <w:r w:rsidRPr="009F566E">
        <w:rPr>
          <w:noProof/>
        </w:rPr>
        <w:t>.</w:t>
      </w:r>
      <w:r w:rsidRPr="002C6368">
        <w:rPr>
          <w:noProof/>
        </w:rPr>
        <w:t>5</w:t>
      </w:r>
      <w:r w:rsidRPr="009F566E">
        <w:rPr>
          <w:noProof/>
        </w:rPr>
        <w:t>.</w:t>
      </w:r>
      <w:r w:rsidRPr="002C6368">
        <w:rPr>
          <w:noProof/>
        </w:rPr>
        <w:t>5</w:t>
      </w:r>
      <w:r w:rsidRPr="009F566E">
        <w:rPr>
          <w:noProof/>
        </w:rPr>
        <w:t>.</w:t>
      </w:r>
      <w:r w:rsidRPr="009F566E">
        <w:rPr>
          <w:noProof/>
        </w:rPr>
        <w:tab/>
        <w:t>Bewertung der verschiedenen verfügbaren Finanzierungsoptionen, einschließlich der Möglichkeiten für eine Umschichtung</w:t>
      </w:r>
      <w:bookmarkEnd w:id="31"/>
      <w:bookmarkEnd w:id="32"/>
    </w:p>
    <w:p w14:paraId="1D87076B" w14:textId="77777777" w:rsidR="00E61475" w:rsidRPr="009F566E" w:rsidRDefault="00E41E7D" w:rsidP="00E61475">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60344D7D" w14:textId="77777777" w:rsidR="00E41E7D" w:rsidRPr="009F566E" w:rsidRDefault="00E41E7D" w:rsidP="00E61475">
      <w:pPr>
        <w:pStyle w:val="Text1"/>
        <w:pBdr>
          <w:top w:val="single" w:sz="4" w:space="1" w:color="auto"/>
          <w:left w:val="single" w:sz="4" w:space="4" w:color="auto"/>
          <w:bottom w:val="single" w:sz="4" w:space="1" w:color="auto"/>
          <w:right w:val="single" w:sz="4" w:space="4" w:color="auto"/>
        </w:pBdr>
        <w:rPr>
          <w:noProof/>
        </w:rPr>
      </w:pPr>
      <w:r w:rsidRPr="009F566E">
        <w:rPr>
          <w:noProof/>
        </w:rPr>
        <w:br w:type="page"/>
      </w:r>
    </w:p>
    <w:p w14:paraId="518DA866" w14:textId="77777777" w:rsidR="00E41E7D" w:rsidRPr="009F566E" w:rsidRDefault="00212D2A" w:rsidP="00212D2A">
      <w:pPr>
        <w:pStyle w:val="ManualHeading2"/>
        <w:rPr>
          <w:bCs/>
          <w:noProof/>
          <w:szCs w:val="24"/>
        </w:rPr>
      </w:pPr>
      <w:bookmarkStart w:id="33" w:name="_Toc514938039"/>
      <w:bookmarkStart w:id="34" w:name="_Toc520485040"/>
      <w:r w:rsidRPr="002C6368">
        <w:rPr>
          <w:noProof/>
        </w:rPr>
        <w:t>1</w:t>
      </w:r>
      <w:r w:rsidRPr="009F566E">
        <w:rPr>
          <w:noProof/>
        </w:rPr>
        <w:t>.</w:t>
      </w:r>
      <w:r w:rsidRPr="002C6368">
        <w:rPr>
          <w:noProof/>
        </w:rPr>
        <w:t>6</w:t>
      </w:r>
      <w:r w:rsidRPr="009F566E">
        <w:rPr>
          <w:noProof/>
        </w:rPr>
        <w:t>.</w:t>
      </w:r>
      <w:r w:rsidRPr="009F566E">
        <w:rPr>
          <w:noProof/>
        </w:rPr>
        <w:tab/>
        <w:t>Laufzeit und finanzielle Auswirkungen des Vorschlags/der Initiative</w:t>
      </w:r>
      <w:bookmarkEnd w:id="33"/>
      <w:bookmarkEnd w:id="34"/>
    </w:p>
    <w:p w14:paraId="428231CA" w14:textId="77777777" w:rsidR="00E41E7D" w:rsidRPr="009F566E" w:rsidRDefault="00E41E7D" w:rsidP="00E41E7D">
      <w:pPr>
        <w:pStyle w:val="Text1"/>
        <w:rPr>
          <w:noProof/>
        </w:rPr>
      </w:pPr>
      <w:r w:rsidRPr="009F566E">
        <w:rPr>
          <w:b/>
          <w:noProof/>
        </w:rPr>
        <w:t xml:space="preserve">X befristete Laufzeit </w:t>
      </w:r>
    </w:p>
    <w:p w14:paraId="17BCD8F8" w14:textId="77777777" w:rsidR="00E41E7D" w:rsidRPr="009F566E" w:rsidRDefault="00E41E7D" w:rsidP="00E41E7D">
      <w:pPr>
        <w:pStyle w:val="ListDash2"/>
        <w:rPr>
          <w:noProof/>
        </w:rPr>
      </w:pPr>
      <w:r w:rsidRPr="009F566E">
        <w:rPr>
          <w:b/>
          <w:noProof/>
        </w:rPr>
        <w:t>X</w:t>
      </w:r>
      <w:r w:rsidRPr="009F566E">
        <w:rPr>
          <w:noProof/>
        </w:rPr>
        <w:tab/>
        <w:t xml:space="preserve">Finanzielle Auswirkungen vom </w:t>
      </w:r>
      <w:r w:rsidRPr="002C6368">
        <w:rPr>
          <w:noProof/>
        </w:rPr>
        <w:t>1</w:t>
      </w:r>
      <w:r w:rsidRPr="009F566E">
        <w:rPr>
          <w:noProof/>
        </w:rPr>
        <w:t xml:space="preserve">. Januar </w:t>
      </w:r>
      <w:r w:rsidRPr="002C6368">
        <w:rPr>
          <w:noProof/>
        </w:rPr>
        <w:t>2022</w:t>
      </w:r>
      <w:r w:rsidRPr="009F566E">
        <w:rPr>
          <w:noProof/>
        </w:rPr>
        <w:t xml:space="preserve"> bis zum </w:t>
      </w:r>
      <w:r w:rsidRPr="002C6368">
        <w:rPr>
          <w:noProof/>
        </w:rPr>
        <w:t>31</w:t>
      </w:r>
      <w:r w:rsidRPr="009F566E">
        <w:rPr>
          <w:noProof/>
        </w:rPr>
        <w:t xml:space="preserve">. Dezember </w:t>
      </w:r>
      <w:r w:rsidRPr="002C6368">
        <w:rPr>
          <w:noProof/>
        </w:rPr>
        <w:t>2027</w:t>
      </w:r>
      <w:r w:rsidRPr="009F566E">
        <w:rPr>
          <w:noProof/>
        </w:rPr>
        <w:t xml:space="preserve"> auf die Mittel für Zahlungen</w:t>
      </w:r>
    </w:p>
    <w:p w14:paraId="42DC599E" w14:textId="77777777" w:rsidR="00E41E7D" w:rsidRPr="009F566E" w:rsidRDefault="00E41E7D" w:rsidP="00E41E7D">
      <w:pPr>
        <w:pStyle w:val="Text1"/>
        <w:rPr>
          <w:noProof/>
        </w:rPr>
      </w:pPr>
      <w:r w:rsidRPr="009F566E">
        <w:rPr>
          <w:noProof/>
        </w:rPr>
        <w:sym w:font="Wingdings" w:char="F0A8"/>
      </w:r>
      <w:r w:rsidRPr="009F566E">
        <w:rPr>
          <w:b/>
          <w:i/>
          <w:noProof/>
        </w:rPr>
        <w:t xml:space="preserve"> </w:t>
      </w:r>
      <w:r w:rsidRPr="009F566E">
        <w:rPr>
          <w:b/>
          <w:noProof/>
        </w:rPr>
        <w:t>unbefristete Laufzeit</w:t>
      </w:r>
    </w:p>
    <w:p w14:paraId="1A66CCBB" w14:textId="77777777" w:rsidR="00E41E7D" w:rsidRPr="009F566E" w:rsidRDefault="00E41E7D" w:rsidP="00E41E7D">
      <w:pPr>
        <w:pStyle w:val="ListDash1"/>
        <w:rPr>
          <w:noProof/>
        </w:rPr>
      </w:pPr>
      <w:r w:rsidRPr="009F566E">
        <w:rPr>
          <w:noProof/>
        </w:rPr>
        <w:t>Anlaufphase von JJJJ bis JJJJ,</w:t>
      </w:r>
    </w:p>
    <w:p w14:paraId="74C8DC99" w14:textId="77777777" w:rsidR="00E41E7D" w:rsidRPr="009F566E" w:rsidRDefault="00E41E7D" w:rsidP="00E41E7D">
      <w:pPr>
        <w:pStyle w:val="ListDash1"/>
        <w:rPr>
          <w:noProof/>
        </w:rPr>
      </w:pPr>
      <w:r w:rsidRPr="009F566E">
        <w:rPr>
          <w:noProof/>
        </w:rPr>
        <w:t>anschließend reguläre Umsetzung.</w:t>
      </w:r>
    </w:p>
    <w:p w14:paraId="58C3E266" w14:textId="77777777" w:rsidR="00E41E7D" w:rsidRPr="009F566E" w:rsidRDefault="00212D2A" w:rsidP="00212D2A">
      <w:pPr>
        <w:pStyle w:val="ManualHeading2"/>
        <w:rPr>
          <w:bCs/>
          <w:noProof/>
          <w:szCs w:val="24"/>
        </w:rPr>
      </w:pPr>
      <w:bookmarkStart w:id="35" w:name="_Toc514938040"/>
      <w:bookmarkStart w:id="36" w:name="_Toc520485041"/>
      <w:r w:rsidRPr="002C6368">
        <w:rPr>
          <w:noProof/>
        </w:rPr>
        <w:t>1</w:t>
      </w:r>
      <w:r w:rsidRPr="009F566E">
        <w:rPr>
          <w:noProof/>
        </w:rPr>
        <w:t>.</w:t>
      </w:r>
      <w:r w:rsidRPr="002C6368">
        <w:rPr>
          <w:noProof/>
        </w:rPr>
        <w:t>7</w:t>
      </w:r>
      <w:r w:rsidRPr="009F566E">
        <w:rPr>
          <w:noProof/>
        </w:rPr>
        <w:t>.</w:t>
      </w:r>
      <w:r w:rsidRPr="009F566E">
        <w:rPr>
          <w:noProof/>
        </w:rPr>
        <w:tab/>
        <w:t>Vorgeschlagene Methode(n) der Mittelverwaltung</w:t>
      </w:r>
      <w:r w:rsidRPr="009F566E">
        <w:rPr>
          <w:rStyle w:val="FootnoteReference"/>
          <w:noProof/>
        </w:rPr>
        <w:footnoteReference w:id="21"/>
      </w:r>
      <w:r w:rsidRPr="009F566E">
        <w:rPr>
          <w:rStyle w:val="FootnoteReference"/>
          <w:noProof/>
        </w:rPr>
        <w:t xml:space="preserve"> </w:t>
      </w:r>
      <w:bookmarkEnd w:id="35"/>
      <w:bookmarkEnd w:id="36"/>
      <w:r w:rsidRPr="009F566E">
        <w:rPr>
          <w:rStyle w:val="FootnoteReference"/>
          <w:noProof/>
        </w:rPr>
        <w:t xml:space="preserve"> </w:t>
      </w:r>
    </w:p>
    <w:p w14:paraId="6DD156F7" w14:textId="77777777" w:rsidR="00E41E7D" w:rsidRPr="009F566E" w:rsidRDefault="00E41E7D" w:rsidP="00E41E7D">
      <w:pPr>
        <w:pStyle w:val="Text1"/>
        <w:rPr>
          <w:noProof/>
        </w:rPr>
      </w:pPr>
      <w:r w:rsidRPr="009F566E">
        <w:rPr>
          <w:noProof/>
        </w:rPr>
        <w:sym w:font="Wingdings" w:char="F0A8"/>
      </w:r>
      <w:r w:rsidRPr="009F566E">
        <w:rPr>
          <w:i/>
          <w:noProof/>
        </w:rPr>
        <w:t xml:space="preserve"> </w:t>
      </w:r>
      <w:r w:rsidRPr="009F566E">
        <w:rPr>
          <w:b/>
          <w:noProof/>
        </w:rPr>
        <w:t>Direkte Mittelverwaltung</w:t>
      </w:r>
      <w:r w:rsidRPr="009F566E">
        <w:rPr>
          <w:noProof/>
        </w:rPr>
        <w:t xml:space="preserve"> durch die Kommission</w:t>
      </w:r>
    </w:p>
    <w:p w14:paraId="130241DC" w14:textId="77777777" w:rsidR="00E41E7D" w:rsidRPr="009F566E" w:rsidRDefault="00E41E7D" w:rsidP="00E41E7D">
      <w:pPr>
        <w:pStyle w:val="ListDash2"/>
        <w:rPr>
          <w:rFonts w:cs="EUAlbertina"/>
          <w:noProof/>
        </w:rPr>
      </w:pPr>
      <w:r w:rsidRPr="009F566E">
        <w:rPr>
          <w:noProof/>
        </w:rPr>
        <w:sym w:font="Wingdings" w:char="F0A8"/>
      </w:r>
      <w:r w:rsidRPr="009F566E">
        <w:rPr>
          <w:noProof/>
        </w:rPr>
        <w:t xml:space="preserve"> durch ihre Dienststellen, einschließlich ihres Personals in den Delegationen der Union </w:t>
      </w:r>
    </w:p>
    <w:p w14:paraId="58A55FC6" w14:textId="77777777" w:rsidR="00E41E7D" w:rsidRPr="009F566E" w:rsidRDefault="00E41E7D" w:rsidP="00E41E7D">
      <w:pPr>
        <w:pStyle w:val="ListDash2"/>
        <w:rPr>
          <w:noProof/>
        </w:rPr>
      </w:pPr>
      <w:r w:rsidRPr="009F566E">
        <w:rPr>
          <w:noProof/>
        </w:rPr>
        <w:sym w:font="Wingdings" w:char="F0A8"/>
      </w:r>
      <w:r w:rsidRPr="009F566E">
        <w:rPr>
          <w:noProof/>
        </w:rPr>
        <w:t xml:space="preserve"> durch Exekutivagenturen </w:t>
      </w:r>
    </w:p>
    <w:p w14:paraId="5B581A60" w14:textId="77777777" w:rsidR="00E41E7D" w:rsidRPr="009F566E" w:rsidRDefault="00E41E7D" w:rsidP="00E41E7D">
      <w:pPr>
        <w:pStyle w:val="Text1"/>
        <w:rPr>
          <w:noProof/>
        </w:rPr>
      </w:pPr>
      <w:r w:rsidRPr="009F566E">
        <w:rPr>
          <w:b/>
          <w:noProof/>
        </w:rPr>
        <w:t>X Geteilte Mittelverwaltung</w:t>
      </w:r>
      <w:r w:rsidRPr="009F566E">
        <w:rPr>
          <w:noProof/>
        </w:rPr>
        <w:t xml:space="preserve"> mit den Mitgliedstaaten </w:t>
      </w:r>
    </w:p>
    <w:p w14:paraId="5DF8C0D8" w14:textId="77777777" w:rsidR="00E41E7D" w:rsidRPr="009F566E" w:rsidRDefault="00E41E7D" w:rsidP="00E41E7D">
      <w:pPr>
        <w:pStyle w:val="Text1"/>
        <w:rPr>
          <w:noProof/>
        </w:rPr>
      </w:pPr>
      <w:r w:rsidRPr="009F566E">
        <w:rPr>
          <w:noProof/>
        </w:rPr>
        <w:sym w:font="Wingdings" w:char="F0A8"/>
      </w:r>
      <w:r w:rsidRPr="009F566E">
        <w:rPr>
          <w:i/>
          <w:noProof/>
        </w:rPr>
        <w:t xml:space="preserve"> </w:t>
      </w:r>
      <w:r w:rsidRPr="009F566E">
        <w:rPr>
          <w:b/>
          <w:noProof/>
        </w:rPr>
        <w:t>Indirekte Mittelverwaltung</w:t>
      </w:r>
      <w:r w:rsidRPr="009F566E">
        <w:rPr>
          <w:noProof/>
        </w:rPr>
        <w:t xml:space="preserve"> durch Übertragung von Haushaltsvollzugsaufgaben an:</w:t>
      </w:r>
    </w:p>
    <w:p w14:paraId="2B0B14DB" w14:textId="77777777" w:rsidR="00E41E7D" w:rsidRPr="009F566E" w:rsidRDefault="00E41E7D" w:rsidP="00E41E7D">
      <w:pPr>
        <w:pStyle w:val="ListDash2"/>
        <w:rPr>
          <w:noProof/>
        </w:rPr>
      </w:pPr>
      <w:r w:rsidRPr="009F566E">
        <w:rPr>
          <w:noProof/>
        </w:rPr>
        <w:sym w:font="Wingdings" w:char="F0A8"/>
      </w:r>
      <w:r w:rsidRPr="009F566E">
        <w:rPr>
          <w:noProof/>
        </w:rPr>
        <w:t xml:space="preserve"> Drittländer oder die von ihnen benannten Einrichtungen</w:t>
      </w:r>
    </w:p>
    <w:p w14:paraId="632BEF19" w14:textId="77777777" w:rsidR="00E41E7D" w:rsidRPr="009F566E" w:rsidRDefault="00E41E7D" w:rsidP="00E41E7D">
      <w:pPr>
        <w:pStyle w:val="ListDash2"/>
        <w:rPr>
          <w:noProof/>
        </w:rPr>
      </w:pPr>
      <w:r w:rsidRPr="009F566E">
        <w:rPr>
          <w:noProof/>
        </w:rPr>
        <w:sym w:font="Wingdings" w:char="F0A8"/>
      </w:r>
      <w:r w:rsidRPr="009F566E">
        <w:rPr>
          <w:noProof/>
        </w:rPr>
        <w:t xml:space="preserve"> internationale Einrichtungen und deren Agenturen (bitte angeben)</w:t>
      </w:r>
    </w:p>
    <w:p w14:paraId="27806E3F" w14:textId="77777777" w:rsidR="00E41E7D" w:rsidRPr="009F566E" w:rsidRDefault="00E41E7D" w:rsidP="00E41E7D">
      <w:pPr>
        <w:pStyle w:val="ListDash2"/>
        <w:rPr>
          <w:noProof/>
        </w:rPr>
      </w:pPr>
      <w:r w:rsidRPr="009F566E">
        <w:rPr>
          <w:noProof/>
        </w:rPr>
        <w:sym w:font="Wingdings" w:char="F0A8"/>
      </w:r>
      <w:r w:rsidRPr="009F566E">
        <w:rPr>
          <w:noProof/>
        </w:rPr>
        <w:t xml:space="preserve"> die EIB und den Europäischen Investitionsfonds</w:t>
      </w:r>
    </w:p>
    <w:p w14:paraId="05122A67" w14:textId="77777777" w:rsidR="00E41E7D" w:rsidRPr="009F566E" w:rsidRDefault="00E41E7D" w:rsidP="00E41E7D">
      <w:pPr>
        <w:pStyle w:val="ListDash2"/>
        <w:rPr>
          <w:noProof/>
        </w:rPr>
      </w:pPr>
      <w:r w:rsidRPr="009F566E">
        <w:rPr>
          <w:noProof/>
        </w:rPr>
        <w:sym w:font="Wingdings" w:char="F0A8"/>
      </w:r>
      <w:r w:rsidRPr="009F566E">
        <w:rPr>
          <w:noProof/>
        </w:rPr>
        <w:t xml:space="preserve"> Einrichtungen im Sinne der Artikel </w:t>
      </w:r>
      <w:r w:rsidRPr="002C6368">
        <w:rPr>
          <w:noProof/>
        </w:rPr>
        <w:t>70</w:t>
      </w:r>
      <w:r w:rsidRPr="009F566E">
        <w:rPr>
          <w:noProof/>
        </w:rPr>
        <w:t xml:space="preserve"> und </w:t>
      </w:r>
      <w:r w:rsidRPr="002C6368">
        <w:rPr>
          <w:noProof/>
        </w:rPr>
        <w:t>71</w:t>
      </w:r>
      <w:r w:rsidRPr="009F566E">
        <w:rPr>
          <w:noProof/>
        </w:rPr>
        <w:t xml:space="preserve"> der Haushaltsordnung</w:t>
      </w:r>
    </w:p>
    <w:p w14:paraId="24F157C9" w14:textId="77777777" w:rsidR="00E41E7D" w:rsidRPr="009F566E" w:rsidRDefault="00E41E7D" w:rsidP="00E41E7D">
      <w:pPr>
        <w:pStyle w:val="ListDash2"/>
        <w:rPr>
          <w:noProof/>
        </w:rPr>
      </w:pPr>
      <w:r w:rsidRPr="009F566E">
        <w:rPr>
          <w:noProof/>
        </w:rPr>
        <w:sym w:font="Wingdings" w:char="F0A8"/>
      </w:r>
      <w:r w:rsidRPr="009F566E">
        <w:rPr>
          <w:noProof/>
        </w:rPr>
        <w:t xml:space="preserve"> öffentlich-rechtliche Körperschaften</w:t>
      </w:r>
    </w:p>
    <w:p w14:paraId="59C16D7E" w14:textId="77777777" w:rsidR="00E41E7D" w:rsidRPr="009F566E" w:rsidRDefault="00E41E7D" w:rsidP="00E41E7D">
      <w:pPr>
        <w:pStyle w:val="ListDash2"/>
        <w:rPr>
          <w:noProof/>
        </w:rPr>
      </w:pPr>
      <w:r w:rsidRPr="009F566E">
        <w:rPr>
          <w:noProof/>
        </w:rPr>
        <w:sym w:font="Wingdings" w:char="F0A8"/>
      </w:r>
      <w:r w:rsidRPr="009F566E">
        <w:rPr>
          <w:noProof/>
        </w:rPr>
        <w:t xml:space="preserve"> privatrechtliche Einrichtungen, die im öffentlichen Auftrag tätig werden, sofern sie ausreichende finanzielle Garantien bieten</w:t>
      </w:r>
    </w:p>
    <w:p w14:paraId="6C9272CE" w14:textId="77777777" w:rsidR="00E41E7D" w:rsidRPr="009F566E" w:rsidRDefault="00E41E7D" w:rsidP="00E41E7D">
      <w:pPr>
        <w:pStyle w:val="ListDash2"/>
        <w:rPr>
          <w:noProof/>
        </w:rPr>
      </w:pPr>
      <w:r w:rsidRPr="009F566E">
        <w:rPr>
          <w:noProof/>
        </w:rPr>
        <w:sym w:font="Wingdings" w:char="F0A8"/>
      </w:r>
      <w:r w:rsidRPr="009F566E">
        <w:rPr>
          <w:noProof/>
        </w:rPr>
        <w:t xml:space="preserve"> privatrechtliche Einrichtungen eines Mitgliedstaats, die mit der Einrichtung einer öffentlich-privaten Partnerschaft betraut werden und die ausreichende finanzielle Garantien bieten</w:t>
      </w:r>
    </w:p>
    <w:p w14:paraId="494B4897" w14:textId="77777777" w:rsidR="00E41E7D" w:rsidRPr="009F566E" w:rsidRDefault="00E41E7D" w:rsidP="00E41E7D">
      <w:pPr>
        <w:pStyle w:val="ListDash2"/>
        <w:rPr>
          <w:noProof/>
        </w:rPr>
      </w:pPr>
      <w:r w:rsidRPr="009F566E">
        <w:rPr>
          <w:noProof/>
        </w:rPr>
        <w:sym w:font="Wingdings" w:char="F0A8"/>
      </w:r>
      <w:r w:rsidRPr="009F566E">
        <w:rPr>
          <w:noProof/>
        </w:rPr>
        <w:t xml:space="preserve"> Personen, die mit der Durchführung bestimmter Maßnahmen im Bereich der GASP im Rahmen des Titels V EUV betraut und in dem maßgeblichen Basisrechtsakt benannt sind</w:t>
      </w:r>
    </w:p>
    <w:p w14:paraId="682C9727" w14:textId="77777777" w:rsidR="00E41E7D" w:rsidRPr="009F566E" w:rsidRDefault="00E41E7D" w:rsidP="00E41E7D">
      <w:pPr>
        <w:pStyle w:val="ListDash2"/>
        <w:rPr>
          <w:i/>
          <w:noProof/>
          <w:sz w:val="18"/>
          <w:u w:val="single"/>
        </w:rPr>
      </w:pPr>
      <w:r w:rsidRPr="009F566E">
        <w:rPr>
          <w:i/>
          <w:noProof/>
          <w:sz w:val="18"/>
        </w:rPr>
        <w:t>Falls mehrere Methoden der Mittelverwaltung angegeben werden, ist dies unter „Bemerkungen“ näher zu erläutern.</w:t>
      </w:r>
    </w:p>
    <w:p w14:paraId="11AFAC41" w14:textId="77777777" w:rsidR="00E41E7D" w:rsidRPr="009F566E" w:rsidRDefault="00E41E7D" w:rsidP="00E41E7D">
      <w:pPr>
        <w:rPr>
          <w:noProof/>
        </w:rPr>
      </w:pPr>
      <w:r w:rsidRPr="009F566E">
        <w:rPr>
          <w:noProof/>
        </w:rPr>
        <w:t xml:space="preserve">Bemerkungen </w:t>
      </w:r>
    </w:p>
    <w:p w14:paraId="1B700179" w14:textId="77777777" w:rsidR="00E41E7D" w:rsidRPr="009F566E" w:rsidRDefault="00E41E7D" w:rsidP="00E41E7D">
      <w:pPr>
        <w:rPr>
          <w:noProof/>
        </w:rPr>
      </w:pPr>
      <w:r w:rsidRPr="009F566E">
        <w:rPr>
          <w:noProof/>
        </w:rPr>
        <w:t>Nicht zutreffend</w:t>
      </w:r>
    </w:p>
    <w:p w14:paraId="32F539DA" w14:textId="77777777" w:rsidR="00E41E7D" w:rsidRPr="009F566E" w:rsidRDefault="00E41E7D">
      <w:pPr>
        <w:spacing w:before="0" w:after="200" w:line="276" w:lineRule="auto"/>
        <w:jc w:val="left"/>
        <w:rPr>
          <w:noProof/>
        </w:rPr>
      </w:pPr>
      <w:r w:rsidRPr="009F566E">
        <w:rPr>
          <w:noProof/>
        </w:rPr>
        <w:br w:type="page"/>
      </w:r>
    </w:p>
    <w:p w14:paraId="04B93132" w14:textId="77777777" w:rsidR="00E41E7D" w:rsidRPr="009F566E" w:rsidRDefault="00212D2A" w:rsidP="00212D2A">
      <w:pPr>
        <w:pStyle w:val="ManualHeading1"/>
        <w:rPr>
          <w:bCs/>
          <w:noProof/>
          <w:szCs w:val="24"/>
        </w:rPr>
      </w:pPr>
      <w:bookmarkStart w:id="37" w:name="_Toc514938041"/>
      <w:bookmarkStart w:id="38" w:name="_Toc520485042"/>
      <w:r w:rsidRPr="002C6368">
        <w:rPr>
          <w:noProof/>
        </w:rPr>
        <w:t>2</w:t>
      </w:r>
      <w:r w:rsidRPr="009F566E">
        <w:rPr>
          <w:noProof/>
        </w:rPr>
        <w:t>.</w:t>
      </w:r>
      <w:r w:rsidRPr="009F566E">
        <w:rPr>
          <w:noProof/>
        </w:rPr>
        <w:tab/>
        <w:t>VERWALTUNGSMAẞNAHMEN</w:t>
      </w:r>
      <w:bookmarkEnd w:id="37"/>
      <w:bookmarkEnd w:id="38"/>
      <w:r w:rsidRPr="009F566E">
        <w:rPr>
          <w:noProof/>
        </w:rPr>
        <w:t xml:space="preserve"> </w:t>
      </w:r>
    </w:p>
    <w:p w14:paraId="4FA10C34" w14:textId="77777777" w:rsidR="00E41E7D" w:rsidRPr="009F566E" w:rsidRDefault="00212D2A" w:rsidP="00212D2A">
      <w:pPr>
        <w:pStyle w:val="ManualHeading2"/>
        <w:rPr>
          <w:noProof/>
        </w:rPr>
      </w:pPr>
      <w:bookmarkStart w:id="39" w:name="_Toc514938042"/>
      <w:bookmarkStart w:id="40" w:name="_Toc520485043"/>
      <w:r w:rsidRPr="002C6368">
        <w:rPr>
          <w:noProof/>
        </w:rPr>
        <w:t>2</w:t>
      </w:r>
      <w:r w:rsidRPr="009F566E">
        <w:rPr>
          <w:noProof/>
        </w:rPr>
        <w:t>.</w:t>
      </w:r>
      <w:r w:rsidRPr="002C6368">
        <w:rPr>
          <w:noProof/>
        </w:rPr>
        <w:t>1</w:t>
      </w:r>
      <w:r w:rsidRPr="009F566E">
        <w:rPr>
          <w:noProof/>
        </w:rPr>
        <w:t>.</w:t>
      </w:r>
      <w:r w:rsidRPr="009F566E">
        <w:rPr>
          <w:noProof/>
        </w:rPr>
        <w:tab/>
        <w:t>Überwachung und Berichterstattung</w:t>
      </w:r>
      <w:bookmarkEnd w:id="39"/>
      <w:bookmarkEnd w:id="40"/>
      <w:r w:rsidRPr="009F566E">
        <w:rPr>
          <w:noProof/>
        </w:rPr>
        <w:t xml:space="preserve"> </w:t>
      </w:r>
    </w:p>
    <w:p w14:paraId="705DF3D7" w14:textId="77777777" w:rsidR="00E41E7D" w:rsidRPr="009F566E" w:rsidRDefault="00E41E7D" w:rsidP="00E41E7D">
      <w:pPr>
        <w:pStyle w:val="Text1"/>
        <w:rPr>
          <w:i/>
          <w:noProof/>
          <w:sz w:val="20"/>
        </w:rPr>
      </w:pPr>
      <w:r w:rsidRPr="009F566E">
        <w:rPr>
          <w:i/>
          <w:noProof/>
          <w:sz w:val="20"/>
        </w:rPr>
        <w:t>Bitte geben Sie an, wie oft und unter welchen Bedingungen diese Tätigkeiten erfolgen.</w:t>
      </w:r>
    </w:p>
    <w:p w14:paraId="5F606DD9"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116309A8" w14:textId="77777777" w:rsidR="00E41E7D" w:rsidRPr="009F566E" w:rsidRDefault="00212D2A" w:rsidP="00212D2A">
      <w:pPr>
        <w:pStyle w:val="ManualHeading2"/>
        <w:rPr>
          <w:bCs/>
          <w:noProof/>
          <w:szCs w:val="24"/>
        </w:rPr>
      </w:pPr>
      <w:bookmarkStart w:id="41" w:name="_Toc514938045"/>
      <w:bookmarkStart w:id="42" w:name="_Toc520485044"/>
      <w:r w:rsidRPr="002C6368">
        <w:rPr>
          <w:noProof/>
        </w:rPr>
        <w:t>2</w:t>
      </w:r>
      <w:r w:rsidRPr="009F566E">
        <w:rPr>
          <w:noProof/>
        </w:rPr>
        <w:t>.</w:t>
      </w:r>
      <w:r w:rsidRPr="002C6368">
        <w:rPr>
          <w:noProof/>
        </w:rPr>
        <w:t>2</w:t>
      </w:r>
      <w:r w:rsidRPr="009F566E">
        <w:rPr>
          <w:noProof/>
        </w:rPr>
        <w:t>.</w:t>
      </w:r>
      <w:r w:rsidRPr="009F566E">
        <w:rPr>
          <w:noProof/>
        </w:rPr>
        <w:tab/>
        <w:t>Verwaltungs- und Kontrollsystem(e)</w:t>
      </w:r>
      <w:bookmarkEnd w:id="41"/>
      <w:bookmarkEnd w:id="42"/>
      <w:r w:rsidRPr="009F566E">
        <w:rPr>
          <w:noProof/>
        </w:rPr>
        <w:t xml:space="preserve"> </w:t>
      </w:r>
    </w:p>
    <w:p w14:paraId="1F76341F" w14:textId="77777777" w:rsidR="00E41E7D" w:rsidRPr="009F566E" w:rsidRDefault="00212D2A" w:rsidP="00212D2A">
      <w:pPr>
        <w:pStyle w:val="ManualHeading3"/>
        <w:rPr>
          <w:noProof/>
        </w:rPr>
      </w:pPr>
      <w:bookmarkStart w:id="43" w:name="_Toc514938046"/>
      <w:bookmarkStart w:id="44" w:name="_Toc520485045"/>
      <w:r w:rsidRPr="002C6368">
        <w:rPr>
          <w:noProof/>
        </w:rPr>
        <w:t>2</w:t>
      </w:r>
      <w:r w:rsidRPr="009F566E">
        <w:rPr>
          <w:noProof/>
        </w:rPr>
        <w:t>.</w:t>
      </w:r>
      <w:r w:rsidRPr="002C6368">
        <w:rPr>
          <w:noProof/>
        </w:rPr>
        <w:t>2</w:t>
      </w:r>
      <w:r w:rsidRPr="009F566E">
        <w:rPr>
          <w:noProof/>
        </w:rPr>
        <w:t>.</w:t>
      </w:r>
      <w:r w:rsidRPr="002C6368">
        <w:rPr>
          <w:noProof/>
        </w:rPr>
        <w:t>1</w:t>
      </w:r>
      <w:r w:rsidRPr="009F566E">
        <w:rPr>
          <w:noProof/>
        </w:rPr>
        <w:t>.</w:t>
      </w:r>
      <w:r w:rsidRPr="009F566E">
        <w:rPr>
          <w:noProof/>
        </w:rPr>
        <w:tab/>
        <w:t>Begründung der Methode(n) der Mittelverwaltung, des Durchführungsmechanismus/der Durchführungsmechanismen für die Finanzierung, der Zahlungsmodalitäten und der Kontrollstrategie, wie vorgeschlagen</w:t>
      </w:r>
      <w:bookmarkEnd w:id="43"/>
      <w:bookmarkEnd w:id="44"/>
    </w:p>
    <w:p w14:paraId="14BA44AF"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48E9A2A0" w14:textId="77777777" w:rsidR="00E41E7D" w:rsidRPr="009F566E" w:rsidRDefault="00212D2A" w:rsidP="00212D2A">
      <w:pPr>
        <w:pStyle w:val="ManualHeading3"/>
        <w:rPr>
          <w:bCs/>
          <w:noProof/>
          <w:szCs w:val="24"/>
        </w:rPr>
      </w:pPr>
      <w:bookmarkStart w:id="45" w:name="_Toc514938047"/>
      <w:bookmarkStart w:id="46" w:name="_Toc520485046"/>
      <w:r w:rsidRPr="002C6368">
        <w:rPr>
          <w:noProof/>
        </w:rPr>
        <w:t>2</w:t>
      </w:r>
      <w:r w:rsidRPr="009F566E">
        <w:rPr>
          <w:noProof/>
        </w:rPr>
        <w:t>.</w:t>
      </w:r>
      <w:r w:rsidRPr="002C6368">
        <w:rPr>
          <w:noProof/>
        </w:rPr>
        <w:t>2</w:t>
      </w:r>
      <w:r w:rsidRPr="009F566E">
        <w:rPr>
          <w:noProof/>
        </w:rPr>
        <w:t>.</w:t>
      </w:r>
      <w:r w:rsidRPr="002C6368">
        <w:rPr>
          <w:noProof/>
        </w:rPr>
        <w:t>2</w:t>
      </w:r>
      <w:r w:rsidRPr="009F566E">
        <w:rPr>
          <w:noProof/>
        </w:rPr>
        <w:t>.</w:t>
      </w:r>
      <w:r w:rsidRPr="009F566E">
        <w:rPr>
          <w:noProof/>
        </w:rPr>
        <w:tab/>
        <w:t>Angaben zu den ermittelten Risiken und dem/den zu deren Eindämmung eingerichteten System(en) der internen Kontrolle</w:t>
      </w:r>
      <w:bookmarkEnd w:id="45"/>
      <w:bookmarkEnd w:id="46"/>
    </w:p>
    <w:p w14:paraId="46109EAE"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06A448CA" w14:textId="77777777" w:rsidR="00E41E7D" w:rsidRPr="009F566E" w:rsidRDefault="00212D2A" w:rsidP="00212D2A">
      <w:pPr>
        <w:pStyle w:val="ManualHeading3"/>
        <w:rPr>
          <w:noProof/>
        </w:rPr>
      </w:pPr>
      <w:bookmarkStart w:id="47" w:name="_Toc514938048"/>
      <w:bookmarkStart w:id="48" w:name="_Toc520485047"/>
      <w:r w:rsidRPr="002C6368">
        <w:rPr>
          <w:noProof/>
        </w:rPr>
        <w:t>2</w:t>
      </w:r>
      <w:r w:rsidRPr="009F566E">
        <w:rPr>
          <w:noProof/>
        </w:rPr>
        <w:t>.</w:t>
      </w:r>
      <w:r w:rsidRPr="002C6368">
        <w:rPr>
          <w:noProof/>
        </w:rPr>
        <w:t>2</w:t>
      </w:r>
      <w:r w:rsidRPr="009F566E">
        <w:rPr>
          <w:noProof/>
        </w:rPr>
        <w:t>.</w:t>
      </w:r>
      <w:r w:rsidRPr="002C6368">
        <w:rPr>
          <w:noProof/>
        </w:rPr>
        <w:t>3</w:t>
      </w:r>
      <w:r w:rsidRPr="009F566E">
        <w:rPr>
          <w:noProof/>
        </w:rPr>
        <w:t>.</w:t>
      </w:r>
      <w:r w:rsidRPr="009F566E">
        <w:rPr>
          <w:noProof/>
        </w:rPr>
        <w:tab/>
        <w:t>Schätzung und Begründung der Kosteneffizienz der Kontrollen (Verhältnis zwischen den Kontrollkosten und dem Wert der betreffenden verwalteten Mittel) sowie Bewertung des erwarteten Ausmaßes des Fehlerrisikos (bei Zahlung und beim Abschluss)</w:t>
      </w:r>
      <w:bookmarkEnd w:id="47"/>
      <w:bookmarkEnd w:id="48"/>
      <w:r w:rsidRPr="009F566E">
        <w:rPr>
          <w:noProof/>
        </w:rPr>
        <w:t xml:space="preserve"> </w:t>
      </w:r>
    </w:p>
    <w:p w14:paraId="67891D1C" w14:textId="77777777"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pPr>
      <w:r w:rsidRPr="009F566E">
        <w:rPr>
          <w:noProof/>
        </w:rPr>
        <w:t>Nicht zutreffend</w:t>
      </w:r>
    </w:p>
    <w:p w14:paraId="122EB010" w14:textId="77777777" w:rsidR="00E41E7D" w:rsidRPr="009F566E" w:rsidRDefault="00212D2A" w:rsidP="00212D2A">
      <w:pPr>
        <w:pStyle w:val="ManualHeading2"/>
        <w:rPr>
          <w:bCs/>
          <w:noProof/>
          <w:szCs w:val="24"/>
        </w:rPr>
      </w:pPr>
      <w:bookmarkStart w:id="49" w:name="_Toc514938049"/>
      <w:bookmarkStart w:id="50" w:name="_Toc520485048"/>
      <w:r w:rsidRPr="002C6368">
        <w:rPr>
          <w:noProof/>
        </w:rPr>
        <w:t>2</w:t>
      </w:r>
      <w:r w:rsidRPr="009F566E">
        <w:rPr>
          <w:noProof/>
        </w:rPr>
        <w:t>.</w:t>
      </w:r>
      <w:r w:rsidRPr="002C6368">
        <w:rPr>
          <w:noProof/>
        </w:rPr>
        <w:t>3</w:t>
      </w:r>
      <w:r w:rsidRPr="009F566E">
        <w:rPr>
          <w:noProof/>
        </w:rPr>
        <w:t>.</w:t>
      </w:r>
      <w:r w:rsidRPr="009F566E">
        <w:rPr>
          <w:noProof/>
        </w:rPr>
        <w:tab/>
        <w:t>Prävention von Betrug und Unregelmäßigkeiten</w:t>
      </w:r>
      <w:bookmarkEnd w:id="49"/>
      <w:bookmarkEnd w:id="50"/>
      <w:r w:rsidRPr="009F566E">
        <w:rPr>
          <w:noProof/>
        </w:rPr>
        <w:t xml:space="preserve"> </w:t>
      </w:r>
    </w:p>
    <w:p w14:paraId="24251714" w14:textId="77777777" w:rsidR="00E41E7D" w:rsidRPr="009F566E" w:rsidRDefault="00E41E7D" w:rsidP="00E41E7D">
      <w:pPr>
        <w:pStyle w:val="Text1"/>
        <w:rPr>
          <w:i/>
          <w:noProof/>
          <w:sz w:val="20"/>
        </w:rPr>
      </w:pPr>
      <w:r w:rsidRPr="009F566E">
        <w:rPr>
          <w:i/>
          <w:noProof/>
          <w:sz w:val="20"/>
        </w:rPr>
        <w:t>Bitte geben Sie an, welche Präventions- und Schutzmaßnahmen, z. B. im Rahmen der Betrugsbekämpfungsstrategie, bereits bestehen oder angedacht sind.</w:t>
      </w:r>
    </w:p>
    <w:p w14:paraId="3DF315C2" w14:textId="25CCAD24" w:rsidR="00E41E7D" w:rsidRPr="009F566E" w:rsidRDefault="00E41E7D" w:rsidP="00E41E7D">
      <w:pPr>
        <w:pStyle w:val="Text1"/>
        <w:pBdr>
          <w:top w:val="single" w:sz="4" w:space="1" w:color="auto"/>
          <w:left w:val="single" w:sz="4" w:space="4" w:color="auto"/>
          <w:bottom w:val="single" w:sz="4" w:space="1" w:color="auto"/>
          <w:right w:val="single" w:sz="4" w:space="4" w:color="auto"/>
        </w:pBdr>
        <w:rPr>
          <w:noProof/>
        </w:rPr>
        <w:sectPr w:rsidR="00E41E7D" w:rsidRPr="009F566E" w:rsidSect="001E1836">
          <w:pgSz w:w="11907" w:h="16840" w:code="9"/>
          <w:pgMar w:top="1134" w:right="1418" w:bottom="1134" w:left="1418" w:header="709" w:footer="709" w:gutter="0"/>
          <w:cols w:space="708"/>
          <w:docGrid w:linePitch="360"/>
        </w:sectPr>
      </w:pPr>
      <w:r w:rsidRPr="009F566E">
        <w:rPr>
          <w:noProof/>
        </w:rPr>
        <w:t>Nicht</w:t>
      </w:r>
      <w:r w:rsidR="009F566E">
        <w:rPr>
          <w:noProof/>
        </w:rPr>
        <w:t> </w:t>
      </w:r>
      <w:r w:rsidRPr="009F566E">
        <w:rPr>
          <w:noProof/>
        </w:rPr>
        <w:t>zutreffend</w:t>
      </w:r>
    </w:p>
    <w:p w14:paraId="319695DC" w14:textId="77777777" w:rsidR="00C87E1E" w:rsidRPr="009F566E" w:rsidRDefault="00C87E1E" w:rsidP="00855A8A">
      <w:pPr>
        <w:rPr>
          <w:b/>
          <w:noProof/>
          <w:szCs w:val="24"/>
          <w:u w:val="single"/>
        </w:rPr>
      </w:pPr>
      <w:r w:rsidRPr="009F566E">
        <w:rPr>
          <w:b/>
          <w:noProof/>
          <w:u w:val="single"/>
        </w:rPr>
        <w:t>GESCHÄTZTE FINANZIELLE AUSWIRKUNGEN DES VORSCHLAGS/DER INITIATIVE</w:t>
      </w:r>
      <w:bookmarkEnd w:id="1"/>
      <w:bookmarkEnd w:id="2"/>
      <w:r w:rsidRPr="009F566E">
        <w:rPr>
          <w:b/>
          <w:noProof/>
          <w:u w:val="single"/>
        </w:rPr>
        <w:t xml:space="preserve"> </w:t>
      </w:r>
    </w:p>
    <w:p w14:paraId="78FFDF5A" w14:textId="77777777" w:rsidR="00C87E1E" w:rsidRPr="009F566E" w:rsidRDefault="00C87E1E" w:rsidP="00FB18F4">
      <w:pPr>
        <w:keepNext/>
        <w:outlineLvl w:val="1"/>
        <w:rPr>
          <w:rFonts w:eastAsiaTheme="majorEastAsia"/>
          <w:b/>
          <w:bCs/>
          <w:noProof/>
          <w:szCs w:val="26"/>
        </w:rPr>
      </w:pPr>
      <w:bookmarkStart w:id="51" w:name="_Toc514938051"/>
      <w:bookmarkStart w:id="52" w:name="_Toc520485050"/>
      <w:r w:rsidRPr="009F566E">
        <w:rPr>
          <w:b/>
          <w:noProof/>
        </w:rPr>
        <w:t xml:space="preserve">Betroffene Rubrik(en) des Mehrjährigen Finanzrahmens und Ausgabenlinie(n) im Haushaltsplan </w:t>
      </w:r>
      <w:bookmarkEnd w:id="51"/>
      <w:bookmarkEnd w:id="52"/>
      <w:r w:rsidRPr="009F566E">
        <w:rPr>
          <w:b/>
          <w:noProof/>
        </w:rPr>
        <w:t xml:space="preserve"> </w:t>
      </w:r>
    </w:p>
    <w:p w14:paraId="0B287603" w14:textId="77777777" w:rsidR="00C87E1E" w:rsidRPr="009F566E" w:rsidRDefault="00C87E1E" w:rsidP="00C87E1E">
      <w:pPr>
        <w:tabs>
          <w:tab w:val="num" w:pos="1134"/>
        </w:tabs>
        <w:ind w:left="1134" w:hanging="283"/>
        <w:rPr>
          <w:noProof/>
        </w:rPr>
      </w:pPr>
      <w:r w:rsidRPr="009F566E">
        <w:rPr>
          <w:noProof/>
        </w:rPr>
        <w:t xml:space="preserve">Bestehende Haushaltslinien </w:t>
      </w:r>
    </w:p>
    <w:p w14:paraId="2A43FD60" w14:textId="77777777" w:rsidR="00C87E1E" w:rsidRPr="009F566E" w:rsidRDefault="00C87E1E" w:rsidP="00FB18F4">
      <w:pPr>
        <w:rPr>
          <w:i/>
          <w:noProof/>
        </w:rPr>
      </w:pPr>
      <w:r w:rsidRPr="009F566E">
        <w:rPr>
          <w:i/>
          <w:noProof/>
          <w:u w:val="single"/>
        </w:rPr>
        <w:t>In der Reihenfolge</w:t>
      </w:r>
      <w:r w:rsidRPr="009F566E">
        <w:rPr>
          <w:i/>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87E1E" w:rsidRPr="009F566E" w14:paraId="36E3943A" w14:textId="77777777" w:rsidTr="00C87E1E">
        <w:tc>
          <w:tcPr>
            <w:tcW w:w="1080" w:type="dxa"/>
            <w:vMerge w:val="restart"/>
            <w:vAlign w:val="center"/>
          </w:tcPr>
          <w:p w14:paraId="0D5C0CC4" w14:textId="05E782B5" w:rsidR="00C87E1E" w:rsidRPr="009F566E" w:rsidRDefault="00C87E1E" w:rsidP="00C87E1E">
            <w:pPr>
              <w:spacing w:before="60" w:after="60"/>
              <w:jc w:val="center"/>
              <w:rPr>
                <w:noProof/>
              </w:rPr>
            </w:pPr>
            <w:r w:rsidRPr="009F566E">
              <w:rPr>
                <w:noProof/>
                <w:sz w:val="18"/>
              </w:rPr>
              <w:t>Rubrik des Mehr</w:t>
            </w:r>
            <w:r w:rsidR="002C6368">
              <w:rPr>
                <w:noProof/>
                <w:sz w:val="18"/>
              </w:rPr>
              <w:softHyphen/>
            </w:r>
            <w:r w:rsidRPr="009F566E">
              <w:rPr>
                <w:noProof/>
                <w:sz w:val="18"/>
              </w:rPr>
              <w:t>jährigen Finanz</w:t>
            </w:r>
            <w:r w:rsidR="002C6368">
              <w:rPr>
                <w:noProof/>
                <w:sz w:val="18"/>
              </w:rPr>
              <w:softHyphen/>
            </w:r>
            <w:r w:rsidRPr="009F566E">
              <w:rPr>
                <w:noProof/>
                <w:sz w:val="18"/>
              </w:rPr>
              <w:t>rahmens</w:t>
            </w:r>
          </w:p>
        </w:tc>
        <w:tc>
          <w:tcPr>
            <w:tcW w:w="3960" w:type="dxa"/>
            <w:vAlign w:val="center"/>
          </w:tcPr>
          <w:p w14:paraId="1F627A38" w14:textId="77777777" w:rsidR="00C87E1E" w:rsidRPr="009F566E" w:rsidRDefault="00C87E1E" w:rsidP="00C87E1E">
            <w:pPr>
              <w:spacing w:before="60" w:after="60"/>
              <w:jc w:val="center"/>
              <w:rPr>
                <w:noProof/>
              </w:rPr>
            </w:pPr>
            <w:r w:rsidRPr="009F566E">
              <w:rPr>
                <w:noProof/>
                <w:sz w:val="20"/>
              </w:rPr>
              <w:t>Haushaltslinie</w:t>
            </w:r>
          </w:p>
        </w:tc>
        <w:tc>
          <w:tcPr>
            <w:tcW w:w="1080" w:type="dxa"/>
            <w:vAlign w:val="center"/>
          </w:tcPr>
          <w:p w14:paraId="1FF786F8" w14:textId="77777777" w:rsidR="00C87E1E" w:rsidRPr="009F566E" w:rsidRDefault="00C87E1E" w:rsidP="00C87E1E">
            <w:pPr>
              <w:spacing w:before="60" w:after="60"/>
              <w:jc w:val="center"/>
              <w:rPr>
                <w:noProof/>
              </w:rPr>
            </w:pPr>
            <w:r w:rsidRPr="009F566E">
              <w:rPr>
                <w:noProof/>
                <w:sz w:val="18"/>
              </w:rPr>
              <w:t>Art der</w:t>
            </w:r>
            <w:r w:rsidRPr="009F566E">
              <w:rPr>
                <w:noProof/>
              </w:rPr>
              <w:t xml:space="preserve"> </w:t>
            </w:r>
            <w:r w:rsidRPr="009F566E">
              <w:rPr>
                <w:noProof/>
              </w:rPr>
              <w:br/>
            </w:r>
            <w:r w:rsidRPr="009F566E">
              <w:rPr>
                <w:noProof/>
                <w:sz w:val="18"/>
              </w:rPr>
              <w:t>Ausgaben</w:t>
            </w:r>
          </w:p>
        </w:tc>
        <w:tc>
          <w:tcPr>
            <w:tcW w:w="4440" w:type="dxa"/>
            <w:gridSpan w:val="4"/>
            <w:vAlign w:val="center"/>
          </w:tcPr>
          <w:p w14:paraId="76019CA6" w14:textId="77777777" w:rsidR="00C87E1E" w:rsidRPr="009F566E" w:rsidRDefault="00C87E1E" w:rsidP="00C87E1E">
            <w:pPr>
              <w:spacing w:before="60" w:after="60"/>
              <w:jc w:val="center"/>
              <w:rPr>
                <w:noProof/>
              </w:rPr>
            </w:pPr>
            <w:r w:rsidRPr="009F566E">
              <w:rPr>
                <w:noProof/>
                <w:sz w:val="20"/>
              </w:rPr>
              <w:t xml:space="preserve">Finanzierungsbeiträge </w:t>
            </w:r>
          </w:p>
        </w:tc>
      </w:tr>
      <w:tr w:rsidR="00C87E1E" w:rsidRPr="009F566E" w14:paraId="4D805B38" w14:textId="77777777" w:rsidTr="00C87E1E">
        <w:tc>
          <w:tcPr>
            <w:tcW w:w="1080" w:type="dxa"/>
            <w:vMerge/>
            <w:vAlign w:val="center"/>
          </w:tcPr>
          <w:p w14:paraId="53BA3BBA" w14:textId="77777777" w:rsidR="00C87E1E" w:rsidRPr="009F566E" w:rsidRDefault="00C87E1E" w:rsidP="00C87E1E">
            <w:pPr>
              <w:jc w:val="center"/>
              <w:rPr>
                <w:noProof/>
                <w:lang w:eastAsia="en-GB"/>
              </w:rPr>
            </w:pPr>
          </w:p>
        </w:tc>
        <w:tc>
          <w:tcPr>
            <w:tcW w:w="3960" w:type="dxa"/>
            <w:vAlign w:val="center"/>
          </w:tcPr>
          <w:p w14:paraId="2A92336D" w14:textId="77777777" w:rsidR="00C87E1E" w:rsidRPr="009F566E" w:rsidRDefault="00C87E1E" w:rsidP="00C87E1E">
            <w:pPr>
              <w:rPr>
                <w:noProof/>
              </w:rPr>
            </w:pPr>
            <w:r w:rsidRPr="009F566E">
              <w:rPr>
                <w:noProof/>
                <w:sz w:val="20"/>
              </w:rPr>
              <w:t xml:space="preserve">Nummer </w:t>
            </w:r>
            <w:r w:rsidRPr="009F566E">
              <w:rPr>
                <w:noProof/>
              </w:rPr>
              <w:t xml:space="preserve"> </w:t>
            </w:r>
            <w:r w:rsidRPr="009F566E">
              <w:rPr>
                <w:noProof/>
              </w:rPr>
              <w:br/>
            </w:r>
          </w:p>
        </w:tc>
        <w:tc>
          <w:tcPr>
            <w:tcW w:w="1080" w:type="dxa"/>
            <w:vAlign w:val="center"/>
          </w:tcPr>
          <w:p w14:paraId="45CBA2CE" w14:textId="77777777" w:rsidR="00C87E1E" w:rsidRPr="009F566E" w:rsidRDefault="00C87E1E" w:rsidP="00C87E1E">
            <w:pPr>
              <w:jc w:val="center"/>
              <w:rPr>
                <w:noProof/>
              </w:rPr>
            </w:pPr>
            <w:r w:rsidRPr="009F566E">
              <w:rPr>
                <w:noProof/>
                <w:sz w:val="18"/>
              </w:rPr>
              <w:t>GM/NGM</w:t>
            </w:r>
            <w:r w:rsidRPr="009F566E">
              <w:rPr>
                <w:rStyle w:val="FootnoteReference"/>
                <w:noProof/>
              </w:rPr>
              <w:footnoteReference w:id="22"/>
            </w:r>
          </w:p>
        </w:tc>
        <w:tc>
          <w:tcPr>
            <w:tcW w:w="956" w:type="dxa"/>
            <w:vAlign w:val="center"/>
          </w:tcPr>
          <w:p w14:paraId="30319A3E" w14:textId="77777777" w:rsidR="00C87E1E" w:rsidRPr="009F566E" w:rsidRDefault="00C87E1E" w:rsidP="00C87E1E">
            <w:pPr>
              <w:jc w:val="center"/>
              <w:rPr>
                <w:noProof/>
              </w:rPr>
            </w:pPr>
            <w:r w:rsidRPr="009F566E">
              <w:rPr>
                <w:noProof/>
                <w:sz w:val="18"/>
              </w:rPr>
              <w:t>von EFTA-Ländern</w:t>
            </w:r>
            <w:r w:rsidRPr="009F566E">
              <w:rPr>
                <w:rStyle w:val="FootnoteReference"/>
                <w:noProof/>
              </w:rPr>
              <w:footnoteReference w:id="23"/>
            </w:r>
          </w:p>
          <w:p w14:paraId="79F71B74" w14:textId="77777777" w:rsidR="00C87E1E" w:rsidRPr="009F566E" w:rsidRDefault="00C87E1E" w:rsidP="00C87E1E">
            <w:pPr>
              <w:spacing w:before="0" w:after="0"/>
              <w:jc w:val="center"/>
              <w:rPr>
                <w:b/>
                <w:noProof/>
                <w:sz w:val="18"/>
                <w:lang w:eastAsia="en-GB"/>
              </w:rPr>
            </w:pPr>
          </w:p>
        </w:tc>
        <w:tc>
          <w:tcPr>
            <w:tcW w:w="1080" w:type="dxa"/>
            <w:vAlign w:val="center"/>
          </w:tcPr>
          <w:p w14:paraId="17E536AA" w14:textId="77777777" w:rsidR="00C87E1E" w:rsidRPr="009F566E" w:rsidRDefault="00C87E1E" w:rsidP="00C87E1E">
            <w:pPr>
              <w:jc w:val="center"/>
              <w:rPr>
                <w:noProof/>
              </w:rPr>
            </w:pPr>
            <w:r w:rsidRPr="009F566E">
              <w:rPr>
                <w:noProof/>
                <w:sz w:val="18"/>
              </w:rPr>
              <w:t>von Kandidatenländern</w:t>
            </w:r>
            <w:r w:rsidRPr="009F566E">
              <w:rPr>
                <w:rStyle w:val="FootnoteReference"/>
                <w:noProof/>
              </w:rPr>
              <w:footnoteReference w:id="24"/>
            </w:r>
          </w:p>
          <w:p w14:paraId="4F6EE59C" w14:textId="77777777" w:rsidR="00C87E1E" w:rsidRPr="009F566E" w:rsidRDefault="00C87E1E" w:rsidP="00C87E1E">
            <w:pPr>
              <w:spacing w:before="0" w:after="0"/>
              <w:jc w:val="center"/>
              <w:rPr>
                <w:noProof/>
                <w:sz w:val="18"/>
                <w:lang w:eastAsia="en-GB"/>
              </w:rPr>
            </w:pPr>
          </w:p>
        </w:tc>
        <w:tc>
          <w:tcPr>
            <w:tcW w:w="956" w:type="dxa"/>
            <w:vAlign w:val="center"/>
          </w:tcPr>
          <w:p w14:paraId="6C6B60F2" w14:textId="34A739D2" w:rsidR="00C87E1E" w:rsidRPr="009F566E" w:rsidRDefault="00C87E1E" w:rsidP="00C87E1E">
            <w:pPr>
              <w:jc w:val="center"/>
              <w:rPr>
                <w:noProof/>
                <w:sz w:val="18"/>
              </w:rPr>
            </w:pPr>
            <w:r w:rsidRPr="009F566E">
              <w:rPr>
                <w:noProof/>
                <w:sz w:val="18"/>
              </w:rPr>
              <w:t>von Dritt</w:t>
            </w:r>
            <w:r w:rsidR="002C6368">
              <w:rPr>
                <w:noProof/>
                <w:sz w:val="18"/>
              </w:rPr>
              <w:softHyphen/>
            </w:r>
            <w:r w:rsidRPr="009F566E">
              <w:rPr>
                <w:noProof/>
                <w:sz w:val="18"/>
              </w:rPr>
              <w:t>ländern</w:t>
            </w:r>
          </w:p>
        </w:tc>
        <w:tc>
          <w:tcPr>
            <w:tcW w:w="1448" w:type="dxa"/>
            <w:vAlign w:val="center"/>
          </w:tcPr>
          <w:p w14:paraId="6E73047E" w14:textId="77777777" w:rsidR="00C87E1E" w:rsidRPr="009F566E" w:rsidRDefault="00C87E1E" w:rsidP="00C87E1E">
            <w:pPr>
              <w:jc w:val="center"/>
              <w:rPr>
                <w:noProof/>
              </w:rPr>
            </w:pPr>
            <w:r w:rsidRPr="009F566E">
              <w:rPr>
                <w:noProof/>
                <w:sz w:val="16"/>
              </w:rPr>
              <w:t>nach Artikel </w:t>
            </w:r>
            <w:r w:rsidRPr="002C6368">
              <w:rPr>
                <w:noProof/>
                <w:sz w:val="16"/>
              </w:rPr>
              <w:t>21</w:t>
            </w:r>
            <w:r w:rsidRPr="009F566E">
              <w:rPr>
                <w:noProof/>
                <w:sz w:val="16"/>
              </w:rPr>
              <w:t xml:space="preserve"> Absatz </w:t>
            </w:r>
            <w:r w:rsidRPr="002C6368">
              <w:rPr>
                <w:noProof/>
                <w:sz w:val="16"/>
              </w:rPr>
              <w:t>2</w:t>
            </w:r>
            <w:r w:rsidRPr="009F566E">
              <w:rPr>
                <w:noProof/>
                <w:sz w:val="16"/>
              </w:rPr>
              <w:t xml:space="preserve"> Buchstabe b der Haushaltsordnung </w:t>
            </w:r>
          </w:p>
        </w:tc>
      </w:tr>
      <w:tr w:rsidR="00C87E1E" w:rsidRPr="009F566E" w14:paraId="1638FF49" w14:textId="77777777" w:rsidTr="00C87E1E">
        <w:tc>
          <w:tcPr>
            <w:tcW w:w="1080" w:type="dxa"/>
            <w:vAlign w:val="center"/>
          </w:tcPr>
          <w:p w14:paraId="50386083" w14:textId="0B33C6ED" w:rsidR="00C87E1E" w:rsidRPr="009F566E" w:rsidRDefault="00C87E1E" w:rsidP="00C87E1E">
            <w:pPr>
              <w:jc w:val="center"/>
              <w:rPr>
                <w:noProof/>
                <w:color w:val="0000FF"/>
                <w:sz w:val="20"/>
                <w:szCs w:val="20"/>
              </w:rPr>
            </w:pPr>
            <w:r w:rsidRPr="002C6368">
              <w:rPr>
                <w:noProof/>
                <w:sz w:val="20"/>
              </w:rPr>
              <w:t>2</w:t>
            </w:r>
            <w:r w:rsidRPr="009F566E">
              <w:rPr>
                <w:noProof/>
                <w:sz w:val="20"/>
              </w:rPr>
              <w:t>a Wirt</w:t>
            </w:r>
            <w:r w:rsidR="002C6368">
              <w:rPr>
                <w:noProof/>
                <w:sz w:val="20"/>
              </w:rPr>
              <w:softHyphen/>
            </w:r>
            <w:r w:rsidRPr="009F566E">
              <w:rPr>
                <w:noProof/>
                <w:sz w:val="20"/>
              </w:rPr>
              <w:t>schaft</w:t>
            </w:r>
            <w:r w:rsidR="002C6368">
              <w:rPr>
                <w:noProof/>
                <w:sz w:val="20"/>
              </w:rPr>
              <w:softHyphen/>
            </w:r>
            <w:r w:rsidRPr="009F566E">
              <w:rPr>
                <w:noProof/>
                <w:sz w:val="20"/>
              </w:rPr>
              <w:t>licher, sozialer und terri</w:t>
            </w:r>
            <w:r w:rsidR="002C6368">
              <w:rPr>
                <w:noProof/>
                <w:sz w:val="20"/>
              </w:rPr>
              <w:softHyphen/>
            </w:r>
            <w:r w:rsidRPr="009F566E">
              <w:rPr>
                <w:noProof/>
                <w:sz w:val="20"/>
              </w:rPr>
              <w:t>torialer Zu</w:t>
            </w:r>
            <w:r w:rsidR="002C6368">
              <w:rPr>
                <w:noProof/>
                <w:sz w:val="20"/>
              </w:rPr>
              <w:softHyphen/>
            </w:r>
            <w:r w:rsidRPr="009F566E">
              <w:rPr>
                <w:noProof/>
                <w:sz w:val="20"/>
              </w:rPr>
              <w:t>sammen</w:t>
            </w:r>
            <w:r w:rsidR="002C6368">
              <w:rPr>
                <w:noProof/>
                <w:sz w:val="20"/>
              </w:rPr>
              <w:softHyphen/>
            </w:r>
            <w:r w:rsidRPr="009F566E">
              <w:rPr>
                <w:noProof/>
                <w:sz w:val="20"/>
              </w:rPr>
              <w:t>halt</w:t>
            </w:r>
          </w:p>
        </w:tc>
        <w:tc>
          <w:tcPr>
            <w:tcW w:w="3960" w:type="dxa"/>
            <w:vAlign w:val="center"/>
          </w:tcPr>
          <w:p w14:paraId="1DDB7462" w14:textId="77777777" w:rsidR="00431F4F" w:rsidRPr="009F566E" w:rsidRDefault="00431F4F" w:rsidP="00431F4F">
            <w:pPr>
              <w:spacing w:before="60"/>
              <w:rPr>
                <w:noProof/>
                <w:sz w:val="22"/>
              </w:rPr>
            </w:pPr>
            <w:r w:rsidRPr="002C6368">
              <w:rPr>
                <w:noProof/>
                <w:sz w:val="22"/>
              </w:rPr>
              <w:t>05</w:t>
            </w:r>
            <w:r w:rsidRPr="009F566E">
              <w:rPr>
                <w:noProof/>
                <w:sz w:val="22"/>
              </w:rPr>
              <w:t xml:space="preserve"> </w:t>
            </w:r>
            <w:r w:rsidRPr="002C6368">
              <w:rPr>
                <w:noProof/>
                <w:sz w:val="22"/>
              </w:rPr>
              <w:t>02</w:t>
            </w:r>
            <w:r w:rsidRPr="009F566E">
              <w:rPr>
                <w:noProof/>
                <w:sz w:val="22"/>
              </w:rPr>
              <w:t xml:space="preserve"> </w:t>
            </w:r>
            <w:r w:rsidRPr="002C6368">
              <w:rPr>
                <w:noProof/>
                <w:sz w:val="22"/>
              </w:rPr>
              <w:t>01</w:t>
            </w:r>
            <w:r w:rsidRPr="009F566E">
              <w:rPr>
                <w:noProof/>
                <w:sz w:val="22"/>
              </w:rPr>
              <w:t xml:space="preserve"> Europäischer Fonds für regionale Entwicklung (EFRE) – operative Ausgaben</w:t>
            </w:r>
          </w:p>
          <w:p w14:paraId="070C9192" w14:textId="77777777" w:rsidR="00431F4F" w:rsidRPr="009F566E" w:rsidRDefault="00431F4F" w:rsidP="00431F4F">
            <w:pPr>
              <w:spacing w:before="60"/>
              <w:rPr>
                <w:noProof/>
                <w:sz w:val="22"/>
              </w:rPr>
            </w:pPr>
            <w:r w:rsidRPr="002C6368">
              <w:rPr>
                <w:noProof/>
                <w:sz w:val="22"/>
              </w:rPr>
              <w:t>05</w:t>
            </w:r>
            <w:r w:rsidRPr="009F566E">
              <w:rPr>
                <w:noProof/>
                <w:sz w:val="22"/>
              </w:rPr>
              <w:t> </w:t>
            </w:r>
            <w:r w:rsidRPr="002C6368">
              <w:rPr>
                <w:noProof/>
                <w:sz w:val="22"/>
              </w:rPr>
              <w:t>03</w:t>
            </w:r>
            <w:r w:rsidRPr="009F566E">
              <w:rPr>
                <w:noProof/>
                <w:sz w:val="22"/>
              </w:rPr>
              <w:t> </w:t>
            </w:r>
            <w:r w:rsidRPr="002C6368">
              <w:rPr>
                <w:noProof/>
                <w:sz w:val="22"/>
              </w:rPr>
              <w:t>01</w:t>
            </w:r>
            <w:r w:rsidRPr="009F566E">
              <w:rPr>
                <w:noProof/>
                <w:sz w:val="22"/>
              </w:rPr>
              <w:t xml:space="preserve"> Kohäsionsfonds – operative Ausgaben</w:t>
            </w:r>
          </w:p>
          <w:p w14:paraId="083949D6" w14:textId="77777777" w:rsidR="00C87E1E" w:rsidRPr="009F566E" w:rsidRDefault="00431F4F" w:rsidP="00C87E1E">
            <w:pPr>
              <w:spacing w:after="60"/>
              <w:rPr>
                <w:noProof/>
                <w:sz w:val="22"/>
              </w:rPr>
            </w:pPr>
            <w:r w:rsidRPr="002C6368">
              <w:rPr>
                <w:noProof/>
                <w:sz w:val="22"/>
              </w:rPr>
              <w:t>07</w:t>
            </w:r>
            <w:r w:rsidRPr="009F566E">
              <w:rPr>
                <w:noProof/>
                <w:sz w:val="22"/>
              </w:rPr>
              <w:t> </w:t>
            </w:r>
            <w:r w:rsidRPr="002C6368">
              <w:rPr>
                <w:noProof/>
                <w:sz w:val="22"/>
              </w:rPr>
              <w:t>02</w:t>
            </w:r>
            <w:r w:rsidRPr="009F566E">
              <w:rPr>
                <w:noProof/>
                <w:sz w:val="22"/>
              </w:rPr>
              <w:t> </w:t>
            </w:r>
            <w:r w:rsidRPr="002C6368">
              <w:rPr>
                <w:noProof/>
                <w:sz w:val="22"/>
              </w:rPr>
              <w:t>01</w:t>
            </w:r>
            <w:r w:rsidRPr="009F566E">
              <w:rPr>
                <w:noProof/>
                <w:sz w:val="22"/>
              </w:rPr>
              <w:t xml:space="preserve"> Europäischer Sozialfonds Plus (ESF+) Komponente mit geteilter Mittelverwaltung – operative Ausgaben</w:t>
            </w:r>
          </w:p>
        </w:tc>
        <w:tc>
          <w:tcPr>
            <w:tcW w:w="1080" w:type="dxa"/>
            <w:vAlign w:val="center"/>
          </w:tcPr>
          <w:p w14:paraId="18D24846" w14:textId="77777777" w:rsidR="00C87E1E" w:rsidRPr="009F566E" w:rsidRDefault="00C87E1E" w:rsidP="00C87E1E">
            <w:pPr>
              <w:jc w:val="center"/>
              <w:rPr>
                <w:noProof/>
                <w:color w:val="0000FF"/>
              </w:rPr>
            </w:pPr>
            <w:r w:rsidRPr="009F566E">
              <w:rPr>
                <w:noProof/>
                <w:sz w:val="22"/>
              </w:rPr>
              <w:t>GM</w:t>
            </w:r>
          </w:p>
        </w:tc>
        <w:tc>
          <w:tcPr>
            <w:tcW w:w="956" w:type="dxa"/>
            <w:vAlign w:val="center"/>
          </w:tcPr>
          <w:p w14:paraId="562B5B61" w14:textId="77777777" w:rsidR="00C87E1E" w:rsidRPr="009F566E" w:rsidRDefault="00C87E1E" w:rsidP="00C87E1E">
            <w:pPr>
              <w:jc w:val="center"/>
              <w:rPr>
                <w:noProof/>
                <w:sz w:val="20"/>
                <w:szCs w:val="20"/>
              </w:rPr>
            </w:pPr>
            <w:r w:rsidRPr="009F566E">
              <w:rPr>
                <w:noProof/>
                <w:sz w:val="20"/>
              </w:rPr>
              <w:t>NEIN</w:t>
            </w:r>
          </w:p>
        </w:tc>
        <w:tc>
          <w:tcPr>
            <w:tcW w:w="1080" w:type="dxa"/>
            <w:vAlign w:val="center"/>
          </w:tcPr>
          <w:p w14:paraId="585D69AF" w14:textId="77777777" w:rsidR="00C87E1E" w:rsidRPr="009F566E" w:rsidRDefault="00C87E1E" w:rsidP="00C87E1E">
            <w:pPr>
              <w:jc w:val="center"/>
              <w:rPr>
                <w:noProof/>
                <w:sz w:val="20"/>
                <w:szCs w:val="20"/>
              </w:rPr>
            </w:pPr>
            <w:r w:rsidRPr="009F566E">
              <w:rPr>
                <w:noProof/>
                <w:sz w:val="20"/>
              </w:rPr>
              <w:t>NEIN</w:t>
            </w:r>
          </w:p>
        </w:tc>
        <w:tc>
          <w:tcPr>
            <w:tcW w:w="956" w:type="dxa"/>
            <w:vAlign w:val="center"/>
          </w:tcPr>
          <w:p w14:paraId="12AC496D" w14:textId="77777777" w:rsidR="00C87E1E" w:rsidRPr="009F566E" w:rsidRDefault="00C87E1E" w:rsidP="00C87E1E">
            <w:pPr>
              <w:jc w:val="center"/>
              <w:rPr>
                <w:noProof/>
                <w:sz w:val="20"/>
                <w:szCs w:val="20"/>
              </w:rPr>
            </w:pPr>
            <w:r w:rsidRPr="009F566E">
              <w:rPr>
                <w:noProof/>
                <w:sz w:val="20"/>
              </w:rPr>
              <w:t>NEIN</w:t>
            </w:r>
          </w:p>
        </w:tc>
        <w:tc>
          <w:tcPr>
            <w:tcW w:w="1448" w:type="dxa"/>
            <w:vAlign w:val="center"/>
          </w:tcPr>
          <w:p w14:paraId="76898ED2" w14:textId="77777777" w:rsidR="00C87E1E" w:rsidRPr="009F566E" w:rsidRDefault="00C87E1E" w:rsidP="00C87E1E">
            <w:pPr>
              <w:jc w:val="center"/>
              <w:rPr>
                <w:noProof/>
                <w:sz w:val="20"/>
                <w:szCs w:val="20"/>
              </w:rPr>
            </w:pPr>
            <w:r w:rsidRPr="009F566E">
              <w:rPr>
                <w:noProof/>
                <w:sz w:val="20"/>
              </w:rPr>
              <w:t>NEIN</w:t>
            </w:r>
          </w:p>
        </w:tc>
      </w:tr>
    </w:tbl>
    <w:p w14:paraId="23A643B3" w14:textId="77777777" w:rsidR="00C87E1E" w:rsidRPr="009F566E" w:rsidRDefault="00C87E1E" w:rsidP="00C87E1E">
      <w:pPr>
        <w:rPr>
          <w:noProof/>
          <w:lang w:eastAsia="en-GB"/>
        </w:rPr>
        <w:sectPr w:rsidR="00C87E1E" w:rsidRPr="009F566E" w:rsidSect="001E1836">
          <w:pgSz w:w="11907" w:h="16840" w:code="1"/>
          <w:pgMar w:top="1134" w:right="1418" w:bottom="1134" w:left="1418" w:header="709" w:footer="709" w:gutter="0"/>
          <w:cols w:space="708"/>
          <w:docGrid w:linePitch="360"/>
        </w:sectPr>
      </w:pPr>
    </w:p>
    <w:p w14:paraId="3C7FFC00" w14:textId="77777777" w:rsidR="00C87E1E" w:rsidRPr="009F566E" w:rsidRDefault="00C87E1E" w:rsidP="00FB18F4">
      <w:pPr>
        <w:keepNext/>
        <w:outlineLvl w:val="1"/>
        <w:rPr>
          <w:rFonts w:eastAsiaTheme="majorEastAsia"/>
          <w:b/>
          <w:noProof/>
          <w:szCs w:val="24"/>
        </w:rPr>
      </w:pPr>
      <w:bookmarkStart w:id="53" w:name="_Toc514938052"/>
      <w:bookmarkStart w:id="54" w:name="_Toc520485051"/>
      <w:r w:rsidRPr="009F566E">
        <w:rPr>
          <w:b/>
          <w:noProof/>
        </w:rPr>
        <w:t>Geschätzte finanzielle Auswirkungen des Vorschlags auf die Mittel</w:t>
      </w:r>
      <w:bookmarkEnd w:id="53"/>
      <w:bookmarkEnd w:id="54"/>
      <w:r w:rsidRPr="009F566E">
        <w:rPr>
          <w:b/>
          <w:noProof/>
        </w:rPr>
        <w:t xml:space="preserve"> </w:t>
      </w:r>
    </w:p>
    <w:p w14:paraId="14F35AE7" w14:textId="77777777" w:rsidR="00C87E1E" w:rsidRPr="009F566E" w:rsidRDefault="00C87E1E" w:rsidP="00FB18F4">
      <w:pPr>
        <w:keepNext/>
        <w:outlineLvl w:val="2"/>
        <w:rPr>
          <w:rFonts w:eastAsiaTheme="majorEastAsia"/>
          <w:bCs/>
          <w:i/>
          <w:noProof/>
        </w:rPr>
      </w:pPr>
      <w:bookmarkStart w:id="55" w:name="_Toc514938053"/>
      <w:bookmarkStart w:id="56" w:name="_Toc520485052"/>
      <w:r w:rsidRPr="009F566E">
        <w:rPr>
          <w:i/>
          <w:noProof/>
        </w:rPr>
        <w:t>Übersicht über die geschätzten Auswirkungen auf die operativen Mittel</w:t>
      </w:r>
      <w:bookmarkEnd w:id="55"/>
      <w:bookmarkEnd w:id="56"/>
      <w:r w:rsidRPr="009F566E">
        <w:rPr>
          <w:i/>
          <w:noProof/>
        </w:rPr>
        <w:t xml:space="preserve"> </w:t>
      </w:r>
    </w:p>
    <w:p w14:paraId="56F30DA8" w14:textId="77777777" w:rsidR="00C87E1E" w:rsidRPr="009F566E" w:rsidRDefault="00C87E1E" w:rsidP="00FB18F4">
      <w:pPr>
        <w:rPr>
          <w:noProof/>
          <w:lang w:eastAsia="en-GB"/>
        </w:rPr>
      </w:pPr>
    </w:p>
    <w:p w14:paraId="455FD9A5" w14:textId="77777777" w:rsidR="00E41E7D" w:rsidRPr="009F566E" w:rsidRDefault="00E41E7D" w:rsidP="00E41E7D">
      <w:pPr>
        <w:pStyle w:val="Text1"/>
        <w:ind w:left="0"/>
        <w:rPr>
          <w:noProof/>
        </w:rPr>
      </w:pPr>
      <w:r w:rsidRPr="009F566E">
        <w:rPr>
          <w:noProof/>
        </w:rPr>
        <w:t>Die vorgeschlagene Änderung zieht weder Änderungen der jährlichen Obergrenzen des Mehrjährigen Finanzrahmens für Mittel für Verpflichtungen und Mittel für Zahlungen gemäß Anhang I der Verordnung (EU) Nr. </w:t>
      </w:r>
      <w:r w:rsidRPr="002C6368">
        <w:rPr>
          <w:noProof/>
        </w:rPr>
        <w:t>1311</w:t>
      </w:r>
      <w:r w:rsidRPr="009F566E">
        <w:rPr>
          <w:noProof/>
        </w:rPr>
        <w:t>/</w:t>
      </w:r>
      <w:r w:rsidRPr="002C6368">
        <w:rPr>
          <w:noProof/>
        </w:rPr>
        <w:t>2013</w:t>
      </w:r>
      <w:r w:rsidRPr="009F566E">
        <w:rPr>
          <w:noProof/>
        </w:rPr>
        <w:t xml:space="preserve"> noch des Gesamtbedarfs an Mitteln für Zahlungen im Zeitraum </w:t>
      </w:r>
      <w:r w:rsidRPr="002C6368">
        <w:rPr>
          <w:noProof/>
        </w:rPr>
        <w:t>2021</w:t>
      </w:r>
      <w:r w:rsidRPr="009F566E">
        <w:rPr>
          <w:noProof/>
        </w:rPr>
        <w:t>–</w:t>
      </w:r>
      <w:r w:rsidRPr="002C6368">
        <w:rPr>
          <w:noProof/>
        </w:rPr>
        <w:t>2027</w:t>
      </w:r>
      <w:r w:rsidRPr="009F566E">
        <w:rPr>
          <w:noProof/>
        </w:rPr>
        <w:t xml:space="preserve"> nach sich. </w:t>
      </w:r>
    </w:p>
    <w:p w14:paraId="092D7333" w14:textId="77777777" w:rsidR="00E41E7D" w:rsidRPr="009F566E" w:rsidRDefault="00E41E7D" w:rsidP="00E41E7D">
      <w:pPr>
        <w:pStyle w:val="Text1"/>
        <w:ind w:left="0"/>
        <w:rPr>
          <w:noProof/>
        </w:rPr>
      </w:pPr>
      <w:r w:rsidRPr="009F566E">
        <w:rPr>
          <w:noProof/>
        </w:rPr>
        <w:t xml:space="preserve">Die jährliche Aufschlüsselung der Mittel für Verpflichtungen für den Europäischen Fonds für regionale Entwicklung, den Europäischen Sozialfonds Plus und den Kohäsionsfonds bleibt unberührt. </w:t>
      </w:r>
    </w:p>
    <w:p w14:paraId="2FA9205A" w14:textId="77777777" w:rsidR="00E33098" w:rsidRPr="009F566E" w:rsidRDefault="00E33098" w:rsidP="00E33098">
      <w:pPr>
        <w:rPr>
          <w:noProof/>
        </w:rPr>
      </w:pPr>
      <w:r w:rsidRPr="009F566E">
        <w:rPr>
          <w:noProof/>
        </w:rPr>
        <w:t xml:space="preserve">Der Vorschlag wird voraussichtlich zu einer vorzeitigen Bereitstellung von Mitteln für Zahlungen für die Kalenderjahre </w:t>
      </w:r>
      <w:r w:rsidRPr="002C6368">
        <w:rPr>
          <w:noProof/>
        </w:rPr>
        <w:t>2022</w:t>
      </w:r>
      <w:r w:rsidRPr="009F566E">
        <w:rPr>
          <w:noProof/>
        </w:rPr>
        <w:t xml:space="preserve"> und </w:t>
      </w:r>
      <w:r w:rsidRPr="002C6368">
        <w:rPr>
          <w:noProof/>
        </w:rPr>
        <w:t>2023</w:t>
      </w:r>
      <w:r w:rsidRPr="009F566E">
        <w:rPr>
          <w:noProof/>
        </w:rPr>
        <w:t xml:space="preserve"> entsprechend den unten stehenden Schätzungen führen.</w:t>
      </w:r>
    </w:p>
    <w:p w14:paraId="064AF8B6" w14:textId="77777777" w:rsidR="00E33098" w:rsidRPr="009F566E" w:rsidRDefault="00E33098" w:rsidP="00E33098">
      <w:pPr>
        <w:rPr>
          <w:rFonts w:eastAsia="Times New Roman"/>
          <w:noProof/>
        </w:rPr>
      </w:pPr>
      <w:r w:rsidRPr="009F566E">
        <w:rPr>
          <w:noProof/>
        </w:rPr>
        <w:t>Für den Vorschlag/die Initiative werden keine Verwaltungsmittel benötigt.</w:t>
      </w:r>
    </w:p>
    <w:p w14:paraId="053413B2" w14:textId="77777777" w:rsidR="007909C9" w:rsidRPr="009F566E" w:rsidRDefault="007909C9">
      <w:pPr>
        <w:spacing w:before="0" w:after="200" w:line="276" w:lineRule="auto"/>
        <w:jc w:val="left"/>
        <w:rPr>
          <w:noProof/>
          <w:sz w:val="18"/>
          <w:szCs w:val="18"/>
        </w:rPr>
      </w:pPr>
      <w:r w:rsidRPr="009F566E">
        <w:rPr>
          <w:noProof/>
        </w:rPr>
        <w:br w:type="page"/>
      </w:r>
    </w:p>
    <w:p w14:paraId="39E44245" w14:textId="77777777" w:rsidR="00C87E1E" w:rsidRPr="009F566E" w:rsidRDefault="00C87E1E" w:rsidP="00C87E1E">
      <w:pPr>
        <w:jc w:val="right"/>
        <w:rPr>
          <w:noProof/>
          <w:sz w:val="18"/>
          <w:szCs w:val="18"/>
        </w:rPr>
      </w:pPr>
      <w:r w:rsidRPr="009F566E">
        <w:rPr>
          <w:noProof/>
          <w:sz w:val="18"/>
        </w:rPr>
        <w:t>in Mio. EUR (</w:t>
      </w:r>
      <w:r w:rsidRPr="002C6368">
        <w:rPr>
          <w:noProof/>
          <w:sz w:val="18"/>
        </w:rPr>
        <w:t>3</w:t>
      </w:r>
      <w:r w:rsidRPr="009F566E">
        <w:rPr>
          <w:noProof/>
          <w:sz w:val="18"/>
        </w:rPr>
        <w:t>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87E1E" w:rsidRPr="009F566E" w14:paraId="63FB301A" w14:textId="77777777" w:rsidTr="00C87E1E">
        <w:trPr>
          <w:jc w:val="center"/>
        </w:trPr>
        <w:tc>
          <w:tcPr>
            <w:tcW w:w="4744" w:type="dxa"/>
            <w:shd w:val="thinDiagStripe" w:color="C0C0C0" w:fill="auto"/>
            <w:vAlign w:val="center"/>
          </w:tcPr>
          <w:p w14:paraId="04CF2A29" w14:textId="77777777" w:rsidR="00C87E1E" w:rsidRPr="009F566E" w:rsidRDefault="00C87E1E" w:rsidP="00C87E1E">
            <w:pPr>
              <w:spacing w:before="60" w:after="60"/>
              <w:jc w:val="center"/>
              <w:rPr>
                <w:b/>
                <w:noProof/>
              </w:rPr>
            </w:pPr>
            <w:r w:rsidRPr="009F566E">
              <w:rPr>
                <w:b/>
                <w:noProof/>
                <w:sz w:val="22"/>
              </w:rPr>
              <w:t xml:space="preserve">Rubrik des Mehrjährigen </w:t>
            </w:r>
            <w:r w:rsidRPr="009F566E">
              <w:rPr>
                <w:noProof/>
              </w:rPr>
              <w:br/>
            </w:r>
            <w:r w:rsidRPr="009F566E">
              <w:rPr>
                <w:b/>
                <w:noProof/>
                <w:sz w:val="22"/>
              </w:rPr>
              <w:t xml:space="preserve">Finanzrahmens </w:t>
            </w:r>
          </w:p>
        </w:tc>
        <w:tc>
          <w:tcPr>
            <w:tcW w:w="1080" w:type="dxa"/>
            <w:vAlign w:val="center"/>
          </w:tcPr>
          <w:p w14:paraId="1A911940" w14:textId="77777777" w:rsidR="00C87E1E" w:rsidRPr="009F566E" w:rsidRDefault="00C87E1E" w:rsidP="00C87E1E">
            <w:pPr>
              <w:spacing w:before="60" w:after="60"/>
              <w:jc w:val="center"/>
              <w:rPr>
                <w:noProof/>
              </w:rPr>
            </w:pPr>
            <w:r w:rsidRPr="009F566E">
              <w:rPr>
                <w:noProof/>
                <w:sz w:val="22"/>
              </w:rPr>
              <w:t>Nummer</w:t>
            </w:r>
          </w:p>
        </w:tc>
        <w:tc>
          <w:tcPr>
            <w:tcW w:w="7817" w:type="dxa"/>
            <w:vAlign w:val="center"/>
          </w:tcPr>
          <w:p w14:paraId="4B826220" w14:textId="77777777" w:rsidR="00C87E1E" w:rsidRPr="009F566E" w:rsidRDefault="00C87E1E" w:rsidP="00C87E1E">
            <w:pPr>
              <w:spacing w:before="60" w:after="60"/>
              <w:rPr>
                <w:noProof/>
              </w:rPr>
            </w:pPr>
            <w:r w:rsidRPr="002C6368">
              <w:rPr>
                <w:noProof/>
              </w:rPr>
              <w:t>2</w:t>
            </w:r>
            <w:r w:rsidRPr="009F566E">
              <w:rPr>
                <w:noProof/>
              </w:rPr>
              <w:t>a</w:t>
            </w:r>
          </w:p>
        </w:tc>
      </w:tr>
    </w:tbl>
    <w:p w14:paraId="3671446A" w14:textId="77777777" w:rsidR="00C87E1E" w:rsidRPr="009F566E" w:rsidRDefault="00C87E1E" w:rsidP="00C87E1E">
      <w:pPr>
        <w:rPr>
          <w:noProof/>
          <w:sz w:val="16"/>
          <w:lang w:eastAsia="en-GB"/>
        </w:rPr>
      </w:pP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1276"/>
        <w:gridCol w:w="576"/>
        <w:gridCol w:w="703"/>
        <w:gridCol w:w="1134"/>
        <w:gridCol w:w="1131"/>
        <w:gridCol w:w="992"/>
        <w:gridCol w:w="709"/>
        <w:gridCol w:w="708"/>
        <w:gridCol w:w="1276"/>
        <w:gridCol w:w="1843"/>
      </w:tblGrid>
      <w:tr w:rsidR="00431F4F" w:rsidRPr="009F566E" w14:paraId="3A13F1CD" w14:textId="77777777" w:rsidTr="00A27D48">
        <w:tc>
          <w:tcPr>
            <w:tcW w:w="3904" w:type="dxa"/>
            <w:vAlign w:val="center"/>
          </w:tcPr>
          <w:p w14:paraId="325A70B9" w14:textId="77777777" w:rsidR="00431F4F" w:rsidRPr="009F566E" w:rsidRDefault="00431F4F" w:rsidP="00431F4F">
            <w:pPr>
              <w:jc w:val="center"/>
              <w:rPr>
                <w:noProof/>
              </w:rPr>
            </w:pPr>
            <w:r w:rsidRPr="009F566E">
              <w:rPr>
                <w:noProof/>
                <w:sz w:val="22"/>
              </w:rPr>
              <w:t>GD Regionalpolitik und Stadtentwicklung und GD Beschäftigung, Soziales und Integration</w:t>
            </w:r>
          </w:p>
        </w:tc>
        <w:tc>
          <w:tcPr>
            <w:tcW w:w="1276" w:type="dxa"/>
          </w:tcPr>
          <w:p w14:paraId="52A3375B" w14:textId="77777777" w:rsidR="00431F4F" w:rsidRPr="009F566E" w:rsidRDefault="00431F4F" w:rsidP="00431F4F">
            <w:pPr>
              <w:rPr>
                <w:noProof/>
                <w:sz w:val="20"/>
                <w:lang w:eastAsia="en-GB"/>
              </w:rPr>
            </w:pPr>
          </w:p>
        </w:tc>
        <w:tc>
          <w:tcPr>
            <w:tcW w:w="576" w:type="dxa"/>
          </w:tcPr>
          <w:p w14:paraId="5A8F8934" w14:textId="77777777" w:rsidR="00431F4F" w:rsidRPr="009F566E" w:rsidRDefault="00431F4F" w:rsidP="00431F4F">
            <w:pPr>
              <w:jc w:val="center"/>
              <w:rPr>
                <w:noProof/>
                <w:sz w:val="20"/>
                <w:lang w:eastAsia="en-GB"/>
              </w:rPr>
            </w:pPr>
          </w:p>
        </w:tc>
        <w:tc>
          <w:tcPr>
            <w:tcW w:w="703" w:type="dxa"/>
            <w:vAlign w:val="center"/>
          </w:tcPr>
          <w:p w14:paraId="4F8F865A" w14:textId="77777777" w:rsidR="00431F4F" w:rsidRPr="009F566E" w:rsidRDefault="00431F4F" w:rsidP="00431F4F">
            <w:pPr>
              <w:jc w:val="center"/>
              <w:rPr>
                <w:noProof/>
                <w:sz w:val="20"/>
              </w:rPr>
            </w:pPr>
            <w:r w:rsidRPr="002C6368">
              <w:rPr>
                <w:b/>
                <w:noProof/>
                <w:sz w:val="20"/>
              </w:rPr>
              <w:t>2021</w:t>
            </w:r>
          </w:p>
        </w:tc>
        <w:tc>
          <w:tcPr>
            <w:tcW w:w="1134" w:type="dxa"/>
            <w:vAlign w:val="center"/>
          </w:tcPr>
          <w:p w14:paraId="50220B34" w14:textId="77777777" w:rsidR="00431F4F" w:rsidRPr="009F566E" w:rsidRDefault="00431F4F" w:rsidP="00431F4F">
            <w:pPr>
              <w:jc w:val="center"/>
              <w:rPr>
                <w:noProof/>
                <w:sz w:val="20"/>
              </w:rPr>
            </w:pPr>
            <w:r w:rsidRPr="002C6368">
              <w:rPr>
                <w:b/>
                <w:noProof/>
                <w:sz w:val="20"/>
              </w:rPr>
              <w:t>2022</w:t>
            </w:r>
          </w:p>
        </w:tc>
        <w:tc>
          <w:tcPr>
            <w:tcW w:w="1131" w:type="dxa"/>
            <w:vAlign w:val="center"/>
          </w:tcPr>
          <w:p w14:paraId="4514A1EE" w14:textId="77777777" w:rsidR="00431F4F" w:rsidRPr="009F566E" w:rsidRDefault="00431F4F" w:rsidP="00431F4F">
            <w:pPr>
              <w:jc w:val="center"/>
              <w:rPr>
                <w:noProof/>
                <w:sz w:val="20"/>
              </w:rPr>
            </w:pPr>
            <w:r w:rsidRPr="002C6368">
              <w:rPr>
                <w:b/>
                <w:noProof/>
                <w:sz w:val="20"/>
              </w:rPr>
              <w:t>2023</w:t>
            </w:r>
          </w:p>
        </w:tc>
        <w:tc>
          <w:tcPr>
            <w:tcW w:w="992" w:type="dxa"/>
            <w:vAlign w:val="center"/>
          </w:tcPr>
          <w:p w14:paraId="439511B6" w14:textId="77777777" w:rsidR="00431F4F" w:rsidRPr="009F566E" w:rsidRDefault="00431F4F" w:rsidP="00431F4F">
            <w:pPr>
              <w:jc w:val="center"/>
              <w:rPr>
                <w:noProof/>
                <w:sz w:val="20"/>
              </w:rPr>
            </w:pPr>
            <w:r w:rsidRPr="002C6368">
              <w:rPr>
                <w:b/>
                <w:noProof/>
                <w:sz w:val="20"/>
              </w:rPr>
              <w:t>2024</w:t>
            </w:r>
          </w:p>
        </w:tc>
        <w:tc>
          <w:tcPr>
            <w:tcW w:w="709" w:type="dxa"/>
            <w:vAlign w:val="center"/>
          </w:tcPr>
          <w:p w14:paraId="48D53C52" w14:textId="77777777" w:rsidR="00431F4F" w:rsidRPr="009F566E" w:rsidRDefault="00431F4F" w:rsidP="00431F4F">
            <w:pPr>
              <w:jc w:val="center"/>
              <w:rPr>
                <w:b/>
                <w:noProof/>
                <w:sz w:val="20"/>
              </w:rPr>
            </w:pPr>
            <w:r w:rsidRPr="002C6368">
              <w:rPr>
                <w:b/>
                <w:noProof/>
                <w:sz w:val="20"/>
              </w:rPr>
              <w:t>2025</w:t>
            </w:r>
          </w:p>
        </w:tc>
        <w:tc>
          <w:tcPr>
            <w:tcW w:w="708" w:type="dxa"/>
            <w:vAlign w:val="center"/>
          </w:tcPr>
          <w:p w14:paraId="37780163" w14:textId="77777777" w:rsidR="00431F4F" w:rsidRPr="009F566E" w:rsidRDefault="00431F4F" w:rsidP="00431F4F">
            <w:pPr>
              <w:jc w:val="center"/>
              <w:rPr>
                <w:b/>
                <w:noProof/>
                <w:sz w:val="20"/>
              </w:rPr>
            </w:pPr>
            <w:r w:rsidRPr="002C6368">
              <w:rPr>
                <w:b/>
                <w:noProof/>
                <w:sz w:val="20"/>
              </w:rPr>
              <w:t>2026</w:t>
            </w:r>
          </w:p>
        </w:tc>
        <w:tc>
          <w:tcPr>
            <w:tcW w:w="1276" w:type="dxa"/>
            <w:vAlign w:val="center"/>
          </w:tcPr>
          <w:p w14:paraId="11DA0683" w14:textId="77777777" w:rsidR="00431F4F" w:rsidRPr="009F566E" w:rsidRDefault="00431F4F" w:rsidP="00431F4F">
            <w:pPr>
              <w:jc w:val="center"/>
              <w:rPr>
                <w:b/>
                <w:noProof/>
                <w:sz w:val="20"/>
              </w:rPr>
            </w:pPr>
            <w:r w:rsidRPr="002C6368">
              <w:rPr>
                <w:b/>
                <w:noProof/>
                <w:sz w:val="20"/>
              </w:rPr>
              <w:t>2027</w:t>
            </w:r>
          </w:p>
        </w:tc>
        <w:tc>
          <w:tcPr>
            <w:tcW w:w="1843" w:type="dxa"/>
            <w:vAlign w:val="center"/>
          </w:tcPr>
          <w:p w14:paraId="7438975E" w14:textId="77777777" w:rsidR="00431F4F" w:rsidRPr="009F566E" w:rsidRDefault="00431F4F" w:rsidP="00431F4F">
            <w:pPr>
              <w:jc w:val="center"/>
              <w:rPr>
                <w:b/>
                <w:noProof/>
                <w:sz w:val="20"/>
              </w:rPr>
            </w:pPr>
            <w:r w:rsidRPr="009F566E">
              <w:rPr>
                <w:b/>
                <w:noProof/>
                <w:sz w:val="20"/>
              </w:rPr>
              <w:t>INSGESAMT</w:t>
            </w:r>
          </w:p>
        </w:tc>
      </w:tr>
      <w:tr w:rsidR="00431F4F" w:rsidRPr="009F566E" w14:paraId="4F699956" w14:textId="77777777" w:rsidTr="00A27D48">
        <w:trPr>
          <w:trHeight w:val="213"/>
        </w:trPr>
        <w:tc>
          <w:tcPr>
            <w:tcW w:w="5756" w:type="dxa"/>
            <w:gridSpan w:val="3"/>
            <w:vAlign w:val="center"/>
          </w:tcPr>
          <w:p w14:paraId="2A301AAB" w14:textId="77777777" w:rsidR="00431F4F" w:rsidRPr="009F566E" w:rsidRDefault="00431F4F" w:rsidP="00431F4F">
            <w:pPr>
              <w:spacing w:before="20" w:after="20"/>
              <w:rPr>
                <w:noProof/>
                <w:sz w:val="21"/>
              </w:rPr>
            </w:pPr>
            <w:r w:rsidRPr="009F566E">
              <w:rPr>
                <w:noProof/>
                <w:sz w:val="21"/>
              </w:rPr>
              <w:sym w:font="Wingdings" w:char="F09F"/>
            </w:r>
            <w:r w:rsidRPr="009F566E">
              <w:rPr>
                <w:noProof/>
                <w:sz w:val="21"/>
              </w:rPr>
              <w:t xml:space="preserve"> Operative Mittel  </w:t>
            </w:r>
          </w:p>
        </w:tc>
        <w:tc>
          <w:tcPr>
            <w:tcW w:w="703" w:type="dxa"/>
            <w:vAlign w:val="center"/>
          </w:tcPr>
          <w:p w14:paraId="127BD9C1" w14:textId="77777777" w:rsidR="00431F4F" w:rsidRPr="009F566E" w:rsidRDefault="00431F4F" w:rsidP="00431F4F">
            <w:pPr>
              <w:rPr>
                <w:noProof/>
                <w:sz w:val="20"/>
                <w:lang w:eastAsia="en-GB"/>
              </w:rPr>
            </w:pPr>
          </w:p>
        </w:tc>
        <w:tc>
          <w:tcPr>
            <w:tcW w:w="1134" w:type="dxa"/>
            <w:vAlign w:val="center"/>
          </w:tcPr>
          <w:p w14:paraId="345D8D77" w14:textId="77777777" w:rsidR="00431F4F" w:rsidRPr="009F566E" w:rsidRDefault="00431F4F" w:rsidP="00431F4F">
            <w:pPr>
              <w:rPr>
                <w:noProof/>
                <w:sz w:val="20"/>
                <w:lang w:eastAsia="en-GB"/>
              </w:rPr>
            </w:pPr>
          </w:p>
        </w:tc>
        <w:tc>
          <w:tcPr>
            <w:tcW w:w="1131" w:type="dxa"/>
            <w:vAlign w:val="center"/>
          </w:tcPr>
          <w:p w14:paraId="0408EB98" w14:textId="77777777" w:rsidR="00431F4F" w:rsidRPr="009F566E" w:rsidRDefault="00431F4F" w:rsidP="00431F4F">
            <w:pPr>
              <w:rPr>
                <w:noProof/>
                <w:sz w:val="20"/>
                <w:lang w:eastAsia="en-GB"/>
              </w:rPr>
            </w:pPr>
          </w:p>
        </w:tc>
        <w:tc>
          <w:tcPr>
            <w:tcW w:w="992" w:type="dxa"/>
            <w:vAlign w:val="center"/>
          </w:tcPr>
          <w:p w14:paraId="6542E621" w14:textId="77777777" w:rsidR="00431F4F" w:rsidRPr="009F566E" w:rsidRDefault="00431F4F" w:rsidP="00431F4F">
            <w:pPr>
              <w:rPr>
                <w:noProof/>
                <w:sz w:val="20"/>
                <w:lang w:eastAsia="en-GB"/>
              </w:rPr>
            </w:pPr>
          </w:p>
        </w:tc>
        <w:tc>
          <w:tcPr>
            <w:tcW w:w="709" w:type="dxa"/>
          </w:tcPr>
          <w:p w14:paraId="52837DDE" w14:textId="77777777" w:rsidR="00431F4F" w:rsidRPr="009F566E" w:rsidRDefault="00431F4F" w:rsidP="00431F4F">
            <w:pPr>
              <w:rPr>
                <w:noProof/>
                <w:sz w:val="20"/>
                <w:lang w:eastAsia="en-GB"/>
              </w:rPr>
            </w:pPr>
          </w:p>
        </w:tc>
        <w:tc>
          <w:tcPr>
            <w:tcW w:w="708" w:type="dxa"/>
            <w:vAlign w:val="center"/>
          </w:tcPr>
          <w:p w14:paraId="19808D7C" w14:textId="77777777" w:rsidR="00431F4F" w:rsidRPr="009F566E" w:rsidRDefault="00431F4F" w:rsidP="00431F4F">
            <w:pPr>
              <w:rPr>
                <w:b/>
                <w:noProof/>
                <w:sz w:val="20"/>
                <w:lang w:eastAsia="en-GB"/>
              </w:rPr>
            </w:pPr>
          </w:p>
        </w:tc>
        <w:tc>
          <w:tcPr>
            <w:tcW w:w="1276" w:type="dxa"/>
            <w:vAlign w:val="center"/>
          </w:tcPr>
          <w:p w14:paraId="73C08DBC" w14:textId="77777777" w:rsidR="00431F4F" w:rsidRPr="009F566E" w:rsidRDefault="00431F4F" w:rsidP="00431F4F">
            <w:pPr>
              <w:rPr>
                <w:b/>
                <w:noProof/>
                <w:sz w:val="20"/>
                <w:lang w:eastAsia="en-GB"/>
              </w:rPr>
            </w:pPr>
          </w:p>
        </w:tc>
        <w:tc>
          <w:tcPr>
            <w:tcW w:w="1843" w:type="dxa"/>
          </w:tcPr>
          <w:p w14:paraId="3D0A4E46" w14:textId="77777777" w:rsidR="00431F4F" w:rsidRPr="009F566E" w:rsidRDefault="00431F4F" w:rsidP="00431F4F">
            <w:pPr>
              <w:rPr>
                <w:b/>
                <w:noProof/>
                <w:sz w:val="20"/>
                <w:lang w:eastAsia="en-GB"/>
              </w:rPr>
            </w:pPr>
          </w:p>
        </w:tc>
      </w:tr>
      <w:tr w:rsidR="00431F4F" w:rsidRPr="009F566E" w14:paraId="227EAE00" w14:textId="77777777" w:rsidTr="00A27D48">
        <w:trPr>
          <w:trHeight w:val="1092"/>
        </w:trPr>
        <w:tc>
          <w:tcPr>
            <w:tcW w:w="3904" w:type="dxa"/>
            <w:vMerge w:val="restart"/>
            <w:vAlign w:val="center"/>
          </w:tcPr>
          <w:p w14:paraId="212C6424" w14:textId="77777777" w:rsidR="00431F4F" w:rsidRPr="009F566E" w:rsidRDefault="00431F4F" w:rsidP="00431F4F">
            <w:pPr>
              <w:spacing w:before="0" w:after="200" w:line="276" w:lineRule="auto"/>
              <w:jc w:val="left"/>
              <w:rPr>
                <w:noProof/>
                <w:sz w:val="20"/>
              </w:rPr>
            </w:pPr>
            <w:r w:rsidRPr="002C6368">
              <w:rPr>
                <w:noProof/>
                <w:sz w:val="20"/>
              </w:rPr>
              <w:t>05</w:t>
            </w:r>
            <w:r w:rsidRPr="009F566E">
              <w:rPr>
                <w:noProof/>
                <w:sz w:val="20"/>
              </w:rPr>
              <w:t xml:space="preserve"> </w:t>
            </w:r>
            <w:r w:rsidRPr="002C6368">
              <w:rPr>
                <w:noProof/>
                <w:sz w:val="20"/>
              </w:rPr>
              <w:t>02</w:t>
            </w:r>
            <w:r w:rsidRPr="009F566E">
              <w:rPr>
                <w:noProof/>
                <w:sz w:val="20"/>
              </w:rPr>
              <w:t xml:space="preserve"> </w:t>
            </w:r>
            <w:r w:rsidRPr="002C6368">
              <w:rPr>
                <w:noProof/>
                <w:sz w:val="20"/>
              </w:rPr>
              <w:t>01</w:t>
            </w:r>
            <w:r w:rsidRPr="009F566E">
              <w:rPr>
                <w:noProof/>
                <w:sz w:val="20"/>
              </w:rPr>
              <w:t xml:space="preserve"> Europäischer Fonds für regionale Entwicklung (EFRE) – operative Ausgaben</w:t>
            </w:r>
          </w:p>
          <w:p w14:paraId="3F0A8222" w14:textId="77777777" w:rsidR="00431F4F" w:rsidRPr="009F566E" w:rsidRDefault="00431F4F" w:rsidP="00431F4F">
            <w:pPr>
              <w:spacing w:before="0" w:after="200" w:line="276" w:lineRule="auto"/>
              <w:jc w:val="left"/>
              <w:rPr>
                <w:noProof/>
                <w:sz w:val="20"/>
              </w:rPr>
            </w:pPr>
            <w:r w:rsidRPr="002C6368">
              <w:rPr>
                <w:noProof/>
                <w:sz w:val="20"/>
              </w:rPr>
              <w:t>05</w:t>
            </w:r>
            <w:r w:rsidRPr="009F566E">
              <w:rPr>
                <w:noProof/>
                <w:sz w:val="20"/>
              </w:rPr>
              <w:t> </w:t>
            </w:r>
            <w:r w:rsidRPr="002C6368">
              <w:rPr>
                <w:noProof/>
                <w:sz w:val="20"/>
              </w:rPr>
              <w:t>03</w:t>
            </w:r>
            <w:r w:rsidRPr="009F566E">
              <w:rPr>
                <w:noProof/>
                <w:sz w:val="20"/>
              </w:rPr>
              <w:t> </w:t>
            </w:r>
            <w:r w:rsidRPr="002C6368">
              <w:rPr>
                <w:noProof/>
                <w:sz w:val="20"/>
              </w:rPr>
              <w:t>01</w:t>
            </w:r>
            <w:r w:rsidRPr="009F566E">
              <w:rPr>
                <w:noProof/>
                <w:sz w:val="20"/>
              </w:rPr>
              <w:t xml:space="preserve"> Kohäsionsfonds – operative Ausgaben</w:t>
            </w:r>
          </w:p>
          <w:p w14:paraId="112F3004" w14:textId="77777777" w:rsidR="00431F4F" w:rsidRPr="009F566E" w:rsidRDefault="00431F4F" w:rsidP="00431F4F">
            <w:pPr>
              <w:rPr>
                <w:noProof/>
                <w:sz w:val="20"/>
              </w:rPr>
            </w:pPr>
            <w:r w:rsidRPr="002C6368">
              <w:rPr>
                <w:noProof/>
                <w:sz w:val="20"/>
              </w:rPr>
              <w:t>07</w:t>
            </w:r>
            <w:r w:rsidRPr="009F566E">
              <w:rPr>
                <w:noProof/>
                <w:sz w:val="20"/>
              </w:rPr>
              <w:t> </w:t>
            </w:r>
            <w:r w:rsidRPr="002C6368">
              <w:rPr>
                <w:noProof/>
                <w:sz w:val="20"/>
              </w:rPr>
              <w:t>02</w:t>
            </w:r>
            <w:r w:rsidRPr="009F566E">
              <w:rPr>
                <w:noProof/>
                <w:sz w:val="20"/>
              </w:rPr>
              <w:t> </w:t>
            </w:r>
            <w:r w:rsidRPr="002C6368">
              <w:rPr>
                <w:noProof/>
                <w:sz w:val="20"/>
              </w:rPr>
              <w:t>01</w:t>
            </w:r>
            <w:r w:rsidRPr="009F566E">
              <w:rPr>
                <w:noProof/>
                <w:sz w:val="20"/>
              </w:rPr>
              <w:t xml:space="preserve"> Europäischer Sozialfonds Plus (ESF+) Komponente mit geteilter Mittelverwaltung – operative Ausgaben  </w:t>
            </w:r>
          </w:p>
          <w:p w14:paraId="5A51BEE0" w14:textId="77777777" w:rsidR="00431F4F" w:rsidRPr="009F566E" w:rsidRDefault="00431F4F" w:rsidP="00431F4F">
            <w:pPr>
              <w:rPr>
                <w:noProof/>
                <w:lang w:eastAsia="en-GB"/>
              </w:rPr>
            </w:pPr>
          </w:p>
        </w:tc>
        <w:tc>
          <w:tcPr>
            <w:tcW w:w="1276" w:type="dxa"/>
            <w:vAlign w:val="center"/>
          </w:tcPr>
          <w:p w14:paraId="0D1484C6" w14:textId="0CEF70D8" w:rsidR="00431F4F" w:rsidRPr="009F566E" w:rsidRDefault="00431F4F" w:rsidP="00431F4F">
            <w:pPr>
              <w:spacing w:before="20" w:after="20"/>
              <w:rPr>
                <w:noProof/>
                <w:sz w:val="18"/>
              </w:rPr>
            </w:pPr>
            <w:r w:rsidRPr="009F566E">
              <w:rPr>
                <w:noProof/>
                <w:sz w:val="18"/>
              </w:rPr>
              <w:t>Ver</w:t>
            </w:r>
            <w:r w:rsidR="003C3A6B">
              <w:rPr>
                <w:noProof/>
                <w:sz w:val="18"/>
              </w:rPr>
              <w:softHyphen/>
            </w:r>
            <w:r w:rsidRPr="009F566E">
              <w:rPr>
                <w:noProof/>
                <w:sz w:val="18"/>
              </w:rPr>
              <w:t>pflichtungen</w:t>
            </w:r>
          </w:p>
        </w:tc>
        <w:tc>
          <w:tcPr>
            <w:tcW w:w="576" w:type="dxa"/>
            <w:vAlign w:val="center"/>
          </w:tcPr>
          <w:p w14:paraId="67365AE5" w14:textId="77777777" w:rsidR="00431F4F" w:rsidRPr="009F566E" w:rsidRDefault="00431F4F" w:rsidP="00431F4F">
            <w:pPr>
              <w:spacing w:before="20" w:after="20"/>
              <w:jc w:val="center"/>
              <w:rPr>
                <w:noProof/>
                <w:sz w:val="14"/>
              </w:rPr>
            </w:pPr>
            <w:r w:rsidRPr="009F566E">
              <w:rPr>
                <w:noProof/>
                <w:sz w:val="14"/>
              </w:rPr>
              <w:t>(</w:t>
            </w:r>
            <w:r w:rsidRPr="002C6368">
              <w:rPr>
                <w:noProof/>
                <w:sz w:val="14"/>
              </w:rPr>
              <w:t>1</w:t>
            </w:r>
            <w:r w:rsidRPr="009F566E">
              <w:rPr>
                <w:noProof/>
                <w:sz w:val="14"/>
              </w:rPr>
              <w:t>a)</w:t>
            </w:r>
          </w:p>
        </w:tc>
        <w:tc>
          <w:tcPr>
            <w:tcW w:w="703" w:type="dxa"/>
            <w:vAlign w:val="center"/>
          </w:tcPr>
          <w:p w14:paraId="2B4A0186" w14:textId="77777777" w:rsidR="00431F4F" w:rsidRPr="009F566E" w:rsidRDefault="00431F4F" w:rsidP="00431F4F">
            <w:pPr>
              <w:spacing w:before="20" w:after="20"/>
              <w:rPr>
                <w:noProof/>
                <w:sz w:val="22"/>
                <w:lang w:eastAsia="en-GB"/>
              </w:rPr>
            </w:pPr>
          </w:p>
        </w:tc>
        <w:tc>
          <w:tcPr>
            <w:tcW w:w="1134" w:type="dxa"/>
            <w:vAlign w:val="center"/>
          </w:tcPr>
          <w:p w14:paraId="51292E98" w14:textId="77777777" w:rsidR="00431F4F" w:rsidRPr="009F566E" w:rsidRDefault="00431F4F" w:rsidP="00431F4F">
            <w:pPr>
              <w:spacing w:before="20" w:after="20"/>
              <w:jc w:val="right"/>
              <w:rPr>
                <w:noProof/>
                <w:sz w:val="22"/>
                <w:lang w:eastAsia="en-GB"/>
              </w:rPr>
            </w:pPr>
          </w:p>
        </w:tc>
        <w:tc>
          <w:tcPr>
            <w:tcW w:w="1131" w:type="dxa"/>
            <w:vAlign w:val="center"/>
          </w:tcPr>
          <w:p w14:paraId="33ED70E9" w14:textId="77777777" w:rsidR="00431F4F" w:rsidRPr="009F566E" w:rsidRDefault="00431F4F" w:rsidP="00431F4F">
            <w:pPr>
              <w:spacing w:before="20" w:after="20"/>
              <w:jc w:val="right"/>
              <w:rPr>
                <w:noProof/>
                <w:sz w:val="22"/>
                <w:lang w:eastAsia="en-GB"/>
              </w:rPr>
            </w:pPr>
          </w:p>
        </w:tc>
        <w:tc>
          <w:tcPr>
            <w:tcW w:w="992" w:type="dxa"/>
            <w:vAlign w:val="center"/>
          </w:tcPr>
          <w:p w14:paraId="37115F81" w14:textId="77777777" w:rsidR="00431F4F" w:rsidRPr="009F566E" w:rsidRDefault="00431F4F" w:rsidP="00431F4F">
            <w:pPr>
              <w:spacing w:before="20" w:after="20"/>
              <w:rPr>
                <w:noProof/>
                <w:sz w:val="22"/>
                <w:lang w:eastAsia="en-GB"/>
              </w:rPr>
            </w:pPr>
          </w:p>
        </w:tc>
        <w:tc>
          <w:tcPr>
            <w:tcW w:w="709" w:type="dxa"/>
            <w:vAlign w:val="center"/>
          </w:tcPr>
          <w:p w14:paraId="3089AEEE" w14:textId="77777777" w:rsidR="00431F4F" w:rsidRPr="009F566E" w:rsidRDefault="00431F4F" w:rsidP="00431F4F">
            <w:pPr>
              <w:spacing w:before="20" w:after="20"/>
              <w:jc w:val="right"/>
              <w:rPr>
                <w:noProof/>
                <w:sz w:val="22"/>
                <w:lang w:eastAsia="en-GB"/>
              </w:rPr>
            </w:pPr>
          </w:p>
        </w:tc>
        <w:tc>
          <w:tcPr>
            <w:tcW w:w="708" w:type="dxa"/>
            <w:vAlign w:val="center"/>
          </w:tcPr>
          <w:p w14:paraId="2D08BCD9" w14:textId="77777777" w:rsidR="00431F4F" w:rsidRPr="009F566E" w:rsidRDefault="00431F4F" w:rsidP="00431F4F">
            <w:pPr>
              <w:spacing w:before="20" w:after="20"/>
              <w:jc w:val="center"/>
              <w:rPr>
                <w:b/>
                <w:noProof/>
                <w:sz w:val="22"/>
                <w:lang w:eastAsia="en-GB"/>
              </w:rPr>
            </w:pPr>
          </w:p>
        </w:tc>
        <w:tc>
          <w:tcPr>
            <w:tcW w:w="1276" w:type="dxa"/>
            <w:vAlign w:val="center"/>
          </w:tcPr>
          <w:p w14:paraId="4341A93F" w14:textId="77777777" w:rsidR="00431F4F" w:rsidRPr="009F566E" w:rsidRDefault="00431F4F" w:rsidP="00431F4F">
            <w:pPr>
              <w:spacing w:before="20" w:after="20"/>
              <w:jc w:val="center"/>
              <w:rPr>
                <w:b/>
                <w:noProof/>
                <w:sz w:val="22"/>
                <w:lang w:eastAsia="en-GB"/>
              </w:rPr>
            </w:pPr>
          </w:p>
        </w:tc>
        <w:tc>
          <w:tcPr>
            <w:tcW w:w="1843" w:type="dxa"/>
            <w:vAlign w:val="center"/>
          </w:tcPr>
          <w:p w14:paraId="4906BC9D" w14:textId="77777777" w:rsidR="00431F4F" w:rsidRPr="009F566E" w:rsidRDefault="00431F4F" w:rsidP="00431F4F">
            <w:pPr>
              <w:spacing w:before="20" w:after="20"/>
              <w:jc w:val="center"/>
              <w:rPr>
                <w:b/>
                <w:noProof/>
                <w:sz w:val="22"/>
              </w:rPr>
            </w:pPr>
            <w:r w:rsidRPr="002C6368">
              <w:rPr>
                <w:b/>
                <w:noProof/>
                <w:sz w:val="22"/>
              </w:rPr>
              <w:t>0</w:t>
            </w:r>
            <w:r w:rsidRPr="009F566E">
              <w:rPr>
                <w:b/>
                <w:noProof/>
                <w:sz w:val="22"/>
              </w:rPr>
              <w:t>,</w:t>
            </w:r>
            <w:r w:rsidRPr="002C6368">
              <w:rPr>
                <w:b/>
                <w:noProof/>
                <w:sz w:val="22"/>
              </w:rPr>
              <w:t>000</w:t>
            </w:r>
          </w:p>
        </w:tc>
      </w:tr>
      <w:tr w:rsidR="00431F4F" w:rsidRPr="009F566E" w14:paraId="09F5E0AF" w14:textId="77777777" w:rsidTr="00A27D48">
        <w:tc>
          <w:tcPr>
            <w:tcW w:w="3904" w:type="dxa"/>
            <w:vMerge/>
          </w:tcPr>
          <w:p w14:paraId="70E5FD1B" w14:textId="77777777" w:rsidR="00431F4F" w:rsidRPr="009F566E" w:rsidRDefault="00431F4F" w:rsidP="00431F4F">
            <w:pPr>
              <w:jc w:val="center"/>
              <w:rPr>
                <w:noProof/>
                <w:sz w:val="20"/>
                <w:lang w:eastAsia="en-GB"/>
              </w:rPr>
            </w:pPr>
          </w:p>
        </w:tc>
        <w:tc>
          <w:tcPr>
            <w:tcW w:w="1276" w:type="dxa"/>
            <w:vAlign w:val="center"/>
          </w:tcPr>
          <w:p w14:paraId="422BDD1C" w14:textId="77777777" w:rsidR="00431F4F" w:rsidRPr="009F566E" w:rsidRDefault="00431F4F" w:rsidP="00431F4F">
            <w:pPr>
              <w:spacing w:before="20" w:after="20"/>
              <w:rPr>
                <w:noProof/>
                <w:sz w:val="18"/>
              </w:rPr>
            </w:pPr>
            <w:r w:rsidRPr="009F566E">
              <w:rPr>
                <w:noProof/>
                <w:sz w:val="18"/>
              </w:rPr>
              <w:t>Zahlungen</w:t>
            </w:r>
          </w:p>
        </w:tc>
        <w:tc>
          <w:tcPr>
            <w:tcW w:w="576" w:type="dxa"/>
            <w:vAlign w:val="center"/>
          </w:tcPr>
          <w:p w14:paraId="27CE4F05" w14:textId="77777777" w:rsidR="00431F4F" w:rsidRPr="009F566E" w:rsidRDefault="00431F4F" w:rsidP="00431F4F">
            <w:pPr>
              <w:spacing w:before="20" w:after="20"/>
              <w:jc w:val="center"/>
              <w:rPr>
                <w:noProof/>
                <w:sz w:val="14"/>
              </w:rPr>
            </w:pPr>
            <w:r w:rsidRPr="009F566E">
              <w:rPr>
                <w:noProof/>
                <w:sz w:val="14"/>
              </w:rPr>
              <w:t>(</w:t>
            </w:r>
            <w:r w:rsidRPr="002C6368">
              <w:rPr>
                <w:noProof/>
                <w:sz w:val="14"/>
              </w:rPr>
              <w:t>2</w:t>
            </w:r>
            <w:r w:rsidRPr="009F566E">
              <w:rPr>
                <w:noProof/>
                <w:sz w:val="14"/>
              </w:rPr>
              <w:t>a)</w:t>
            </w:r>
          </w:p>
        </w:tc>
        <w:tc>
          <w:tcPr>
            <w:tcW w:w="703" w:type="dxa"/>
            <w:vAlign w:val="center"/>
          </w:tcPr>
          <w:p w14:paraId="30BA301C" w14:textId="77777777" w:rsidR="00431F4F" w:rsidRPr="009F566E" w:rsidRDefault="00431F4F" w:rsidP="00431F4F">
            <w:pPr>
              <w:spacing w:before="20" w:after="20"/>
              <w:jc w:val="right"/>
              <w:rPr>
                <w:noProof/>
                <w:sz w:val="22"/>
                <w:lang w:eastAsia="en-GB"/>
              </w:rPr>
            </w:pPr>
          </w:p>
        </w:tc>
        <w:tc>
          <w:tcPr>
            <w:tcW w:w="1134" w:type="dxa"/>
            <w:vAlign w:val="center"/>
          </w:tcPr>
          <w:p w14:paraId="71D46BF9" w14:textId="77777777" w:rsidR="00431F4F" w:rsidRPr="009F566E" w:rsidRDefault="00431F4F" w:rsidP="00431F4F">
            <w:pPr>
              <w:spacing w:before="20" w:after="20"/>
              <w:jc w:val="right"/>
              <w:rPr>
                <w:noProof/>
                <w:sz w:val="22"/>
              </w:rPr>
            </w:pPr>
            <w:r w:rsidRPr="002C6368">
              <w:rPr>
                <w:noProof/>
                <w:sz w:val="22"/>
              </w:rPr>
              <w:t>1</w:t>
            </w:r>
            <w:r w:rsidRPr="009F566E">
              <w:rPr>
                <w:noProof/>
                <w:sz w:val="22"/>
              </w:rPr>
              <w:t> </w:t>
            </w:r>
            <w:r w:rsidRPr="002C6368">
              <w:rPr>
                <w:noProof/>
                <w:sz w:val="22"/>
              </w:rPr>
              <w:t>743</w:t>
            </w:r>
            <w:r w:rsidRPr="009F566E">
              <w:rPr>
                <w:noProof/>
                <w:sz w:val="22"/>
              </w:rPr>
              <w:t>,</w:t>
            </w:r>
            <w:r w:rsidRPr="002C6368">
              <w:rPr>
                <w:noProof/>
                <w:sz w:val="22"/>
              </w:rPr>
              <w:t>000</w:t>
            </w:r>
          </w:p>
        </w:tc>
        <w:tc>
          <w:tcPr>
            <w:tcW w:w="1131" w:type="dxa"/>
            <w:vAlign w:val="center"/>
          </w:tcPr>
          <w:p w14:paraId="7D3F2C6F" w14:textId="77777777" w:rsidR="00431F4F" w:rsidRPr="009F566E" w:rsidRDefault="00431F4F" w:rsidP="00431F4F">
            <w:pPr>
              <w:spacing w:before="20" w:after="20"/>
              <w:jc w:val="right"/>
              <w:rPr>
                <w:noProof/>
                <w:sz w:val="22"/>
              </w:rPr>
            </w:pPr>
            <w:r w:rsidRPr="002C6368">
              <w:rPr>
                <w:noProof/>
                <w:sz w:val="22"/>
              </w:rPr>
              <w:t>1</w:t>
            </w:r>
            <w:r w:rsidRPr="009F566E">
              <w:rPr>
                <w:noProof/>
                <w:sz w:val="22"/>
              </w:rPr>
              <w:t> </w:t>
            </w:r>
            <w:r w:rsidRPr="002C6368">
              <w:rPr>
                <w:noProof/>
                <w:sz w:val="22"/>
              </w:rPr>
              <w:t>743</w:t>
            </w:r>
            <w:r w:rsidRPr="009F566E">
              <w:rPr>
                <w:noProof/>
                <w:sz w:val="22"/>
              </w:rPr>
              <w:t>,</w:t>
            </w:r>
            <w:r w:rsidRPr="002C6368">
              <w:rPr>
                <w:noProof/>
                <w:sz w:val="22"/>
              </w:rPr>
              <w:t>000</w:t>
            </w:r>
          </w:p>
        </w:tc>
        <w:tc>
          <w:tcPr>
            <w:tcW w:w="992" w:type="dxa"/>
            <w:vAlign w:val="center"/>
          </w:tcPr>
          <w:p w14:paraId="7B989DA0" w14:textId="77777777" w:rsidR="00431F4F" w:rsidRPr="009F566E" w:rsidRDefault="00431F4F" w:rsidP="00431F4F">
            <w:pPr>
              <w:spacing w:before="20" w:after="20"/>
              <w:jc w:val="right"/>
              <w:rPr>
                <w:noProof/>
                <w:sz w:val="22"/>
              </w:rPr>
            </w:pPr>
            <w:r w:rsidRPr="009F566E">
              <w:rPr>
                <w:noProof/>
                <w:sz w:val="22"/>
              </w:rPr>
              <w:t>-</w:t>
            </w:r>
          </w:p>
        </w:tc>
        <w:tc>
          <w:tcPr>
            <w:tcW w:w="709" w:type="dxa"/>
            <w:vAlign w:val="center"/>
          </w:tcPr>
          <w:p w14:paraId="28E3F458" w14:textId="77777777" w:rsidR="00431F4F" w:rsidRPr="009F566E" w:rsidRDefault="00431F4F" w:rsidP="00431F4F">
            <w:pPr>
              <w:spacing w:before="20" w:after="20"/>
              <w:jc w:val="right"/>
              <w:rPr>
                <w:noProof/>
                <w:sz w:val="22"/>
              </w:rPr>
            </w:pPr>
          </w:p>
        </w:tc>
        <w:tc>
          <w:tcPr>
            <w:tcW w:w="708" w:type="dxa"/>
            <w:vAlign w:val="center"/>
          </w:tcPr>
          <w:p w14:paraId="4C219921" w14:textId="77777777" w:rsidR="00431F4F" w:rsidRPr="009F566E" w:rsidRDefault="00431F4F" w:rsidP="00431F4F">
            <w:pPr>
              <w:spacing w:before="20" w:after="20"/>
              <w:jc w:val="center"/>
              <w:rPr>
                <w:b/>
                <w:noProof/>
                <w:sz w:val="22"/>
                <w:lang w:eastAsia="en-GB"/>
              </w:rPr>
            </w:pPr>
          </w:p>
        </w:tc>
        <w:tc>
          <w:tcPr>
            <w:tcW w:w="1276" w:type="dxa"/>
            <w:vAlign w:val="center"/>
          </w:tcPr>
          <w:p w14:paraId="3FFC5391" w14:textId="77777777" w:rsidR="00431F4F" w:rsidRPr="009F566E" w:rsidRDefault="00841AC1" w:rsidP="00431F4F">
            <w:pPr>
              <w:spacing w:before="20" w:after="20"/>
              <w:jc w:val="center"/>
              <w:rPr>
                <w:b/>
                <w:noProof/>
                <w:sz w:val="22"/>
              </w:rPr>
            </w:pPr>
            <w:r w:rsidRPr="009F566E">
              <w:rPr>
                <w:noProof/>
                <w:sz w:val="22"/>
              </w:rPr>
              <w:t>-</w:t>
            </w:r>
            <w:r w:rsidRPr="002C6368">
              <w:rPr>
                <w:noProof/>
                <w:sz w:val="22"/>
              </w:rPr>
              <w:t>3</w:t>
            </w:r>
            <w:r w:rsidRPr="009F566E">
              <w:rPr>
                <w:noProof/>
                <w:sz w:val="22"/>
              </w:rPr>
              <w:t> </w:t>
            </w:r>
            <w:r w:rsidRPr="002C6368">
              <w:rPr>
                <w:noProof/>
                <w:sz w:val="22"/>
              </w:rPr>
              <w:t>486</w:t>
            </w:r>
            <w:r w:rsidRPr="009F566E">
              <w:rPr>
                <w:noProof/>
                <w:sz w:val="22"/>
              </w:rPr>
              <w:t>,</w:t>
            </w:r>
            <w:r w:rsidRPr="002C6368">
              <w:rPr>
                <w:noProof/>
                <w:sz w:val="22"/>
              </w:rPr>
              <w:t>000</w:t>
            </w:r>
          </w:p>
        </w:tc>
        <w:tc>
          <w:tcPr>
            <w:tcW w:w="1843" w:type="dxa"/>
            <w:vAlign w:val="center"/>
          </w:tcPr>
          <w:p w14:paraId="4E1EAD94" w14:textId="77777777" w:rsidR="00431F4F" w:rsidRPr="009F566E" w:rsidRDefault="00431F4F" w:rsidP="00431F4F">
            <w:pPr>
              <w:spacing w:before="20" w:after="20"/>
              <w:jc w:val="center"/>
              <w:rPr>
                <w:b/>
                <w:noProof/>
                <w:sz w:val="22"/>
              </w:rPr>
            </w:pPr>
            <w:r w:rsidRPr="002C6368">
              <w:rPr>
                <w:b/>
                <w:noProof/>
                <w:sz w:val="22"/>
              </w:rPr>
              <w:t>0</w:t>
            </w:r>
            <w:r w:rsidRPr="009F566E">
              <w:rPr>
                <w:b/>
                <w:noProof/>
                <w:sz w:val="22"/>
              </w:rPr>
              <w:t>,</w:t>
            </w:r>
            <w:r w:rsidRPr="002C6368">
              <w:rPr>
                <w:b/>
                <w:noProof/>
                <w:sz w:val="22"/>
              </w:rPr>
              <w:t>000</w:t>
            </w:r>
          </w:p>
        </w:tc>
      </w:tr>
      <w:tr w:rsidR="00431F4F" w:rsidRPr="009F566E" w14:paraId="68C02E5F" w14:textId="77777777" w:rsidTr="00A27D48">
        <w:tc>
          <w:tcPr>
            <w:tcW w:w="3904" w:type="dxa"/>
            <w:vMerge w:val="restart"/>
            <w:vAlign w:val="center"/>
          </w:tcPr>
          <w:p w14:paraId="38B94BDA" w14:textId="77777777" w:rsidR="00431F4F" w:rsidRPr="009F566E" w:rsidRDefault="00431F4F" w:rsidP="00431F4F">
            <w:pPr>
              <w:rPr>
                <w:noProof/>
              </w:rPr>
            </w:pPr>
            <w:r w:rsidRPr="009F566E">
              <w:rPr>
                <w:noProof/>
                <w:sz w:val="20"/>
              </w:rPr>
              <w:t>Haushaltslinie</w:t>
            </w:r>
          </w:p>
        </w:tc>
        <w:tc>
          <w:tcPr>
            <w:tcW w:w="1276" w:type="dxa"/>
            <w:vAlign w:val="center"/>
          </w:tcPr>
          <w:p w14:paraId="379FBF77" w14:textId="1F592009" w:rsidR="00431F4F" w:rsidRPr="009F566E" w:rsidRDefault="00431F4F" w:rsidP="00431F4F">
            <w:pPr>
              <w:spacing w:before="20" w:after="20"/>
              <w:rPr>
                <w:noProof/>
                <w:sz w:val="18"/>
              </w:rPr>
            </w:pPr>
            <w:r w:rsidRPr="009F566E">
              <w:rPr>
                <w:noProof/>
                <w:sz w:val="18"/>
              </w:rPr>
              <w:t>Ver</w:t>
            </w:r>
            <w:r w:rsidR="003C3A6B">
              <w:rPr>
                <w:noProof/>
                <w:sz w:val="18"/>
              </w:rPr>
              <w:softHyphen/>
            </w:r>
            <w:r w:rsidRPr="009F566E">
              <w:rPr>
                <w:noProof/>
                <w:sz w:val="18"/>
              </w:rPr>
              <w:t>pflichtungen</w:t>
            </w:r>
          </w:p>
        </w:tc>
        <w:tc>
          <w:tcPr>
            <w:tcW w:w="576" w:type="dxa"/>
            <w:vAlign w:val="center"/>
          </w:tcPr>
          <w:p w14:paraId="068106D6" w14:textId="77777777" w:rsidR="00431F4F" w:rsidRPr="009F566E" w:rsidRDefault="00431F4F" w:rsidP="00431F4F">
            <w:pPr>
              <w:spacing w:before="20" w:after="20"/>
              <w:jc w:val="center"/>
              <w:rPr>
                <w:noProof/>
                <w:sz w:val="14"/>
              </w:rPr>
            </w:pPr>
            <w:r w:rsidRPr="009F566E">
              <w:rPr>
                <w:noProof/>
                <w:sz w:val="14"/>
              </w:rPr>
              <w:t>(</w:t>
            </w:r>
            <w:r w:rsidRPr="002C6368">
              <w:rPr>
                <w:noProof/>
                <w:sz w:val="14"/>
              </w:rPr>
              <w:t>1</w:t>
            </w:r>
            <w:r w:rsidRPr="009F566E">
              <w:rPr>
                <w:noProof/>
                <w:sz w:val="14"/>
              </w:rPr>
              <w:t>b)</w:t>
            </w:r>
          </w:p>
        </w:tc>
        <w:tc>
          <w:tcPr>
            <w:tcW w:w="703" w:type="dxa"/>
            <w:vAlign w:val="center"/>
          </w:tcPr>
          <w:p w14:paraId="1EEFE19D" w14:textId="77777777" w:rsidR="00431F4F" w:rsidRPr="009F566E" w:rsidRDefault="00431F4F" w:rsidP="00431F4F">
            <w:pPr>
              <w:spacing w:before="20" w:after="20"/>
              <w:jc w:val="right"/>
              <w:rPr>
                <w:noProof/>
                <w:sz w:val="20"/>
                <w:lang w:eastAsia="en-GB"/>
              </w:rPr>
            </w:pPr>
          </w:p>
        </w:tc>
        <w:tc>
          <w:tcPr>
            <w:tcW w:w="1134" w:type="dxa"/>
            <w:vAlign w:val="center"/>
          </w:tcPr>
          <w:p w14:paraId="73AEFB68" w14:textId="77777777" w:rsidR="00431F4F" w:rsidRPr="009F566E" w:rsidRDefault="00431F4F" w:rsidP="00431F4F">
            <w:pPr>
              <w:spacing w:before="20" w:after="20"/>
              <w:jc w:val="right"/>
              <w:rPr>
                <w:noProof/>
                <w:sz w:val="20"/>
                <w:lang w:eastAsia="en-GB"/>
              </w:rPr>
            </w:pPr>
          </w:p>
        </w:tc>
        <w:tc>
          <w:tcPr>
            <w:tcW w:w="1131" w:type="dxa"/>
            <w:vAlign w:val="center"/>
          </w:tcPr>
          <w:p w14:paraId="1AEFA78A" w14:textId="77777777" w:rsidR="00431F4F" w:rsidRPr="009F566E" w:rsidRDefault="00431F4F" w:rsidP="00431F4F">
            <w:pPr>
              <w:spacing w:before="20" w:after="20"/>
              <w:jc w:val="right"/>
              <w:rPr>
                <w:noProof/>
                <w:sz w:val="20"/>
                <w:lang w:eastAsia="en-GB"/>
              </w:rPr>
            </w:pPr>
          </w:p>
        </w:tc>
        <w:tc>
          <w:tcPr>
            <w:tcW w:w="992" w:type="dxa"/>
            <w:vAlign w:val="center"/>
          </w:tcPr>
          <w:p w14:paraId="76FB1C31" w14:textId="77777777" w:rsidR="00431F4F" w:rsidRPr="009F566E" w:rsidRDefault="00431F4F" w:rsidP="00431F4F">
            <w:pPr>
              <w:spacing w:before="20" w:after="20"/>
              <w:jc w:val="right"/>
              <w:rPr>
                <w:noProof/>
                <w:sz w:val="20"/>
                <w:lang w:eastAsia="en-GB"/>
              </w:rPr>
            </w:pPr>
          </w:p>
        </w:tc>
        <w:tc>
          <w:tcPr>
            <w:tcW w:w="709" w:type="dxa"/>
          </w:tcPr>
          <w:p w14:paraId="1A757372" w14:textId="77777777" w:rsidR="00431F4F" w:rsidRPr="009F566E" w:rsidRDefault="00431F4F" w:rsidP="00431F4F">
            <w:pPr>
              <w:spacing w:before="20" w:after="20"/>
              <w:jc w:val="right"/>
              <w:rPr>
                <w:noProof/>
                <w:sz w:val="20"/>
                <w:lang w:eastAsia="en-GB"/>
              </w:rPr>
            </w:pPr>
          </w:p>
        </w:tc>
        <w:tc>
          <w:tcPr>
            <w:tcW w:w="708" w:type="dxa"/>
          </w:tcPr>
          <w:p w14:paraId="26DAA8C5" w14:textId="77777777" w:rsidR="00431F4F" w:rsidRPr="009F566E" w:rsidRDefault="00431F4F" w:rsidP="00431F4F">
            <w:pPr>
              <w:spacing w:before="20" w:after="20"/>
              <w:jc w:val="right"/>
              <w:rPr>
                <w:b/>
                <w:noProof/>
                <w:sz w:val="20"/>
                <w:lang w:eastAsia="en-GB"/>
              </w:rPr>
            </w:pPr>
          </w:p>
        </w:tc>
        <w:tc>
          <w:tcPr>
            <w:tcW w:w="1276" w:type="dxa"/>
          </w:tcPr>
          <w:p w14:paraId="2D894491" w14:textId="77777777" w:rsidR="00431F4F" w:rsidRPr="009F566E" w:rsidRDefault="00431F4F" w:rsidP="00431F4F">
            <w:pPr>
              <w:spacing w:before="20" w:after="20"/>
              <w:jc w:val="right"/>
              <w:rPr>
                <w:b/>
                <w:noProof/>
                <w:sz w:val="20"/>
                <w:lang w:eastAsia="en-GB"/>
              </w:rPr>
            </w:pPr>
          </w:p>
        </w:tc>
        <w:tc>
          <w:tcPr>
            <w:tcW w:w="1843" w:type="dxa"/>
            <w:vAlign w:val="center"/>
          </w:tcPr>
          <w:p w14:paraId="06182E98" w14:textId="77777777" w:rsidR="00431F4F" w:rsidRPr="009F566E" w:rsidRDefault="00431F4F" w:rsidP="00431F4F">
            <w:pPr>
              <w:spacing w:before="20" w:after="20"/>
              <w:jc w:val="right"/>
              <w:rPr>
                <w:b/>
                <w:noProof/>
                <w:sz w:val="20"/>
                <w:lang w:eastAsia="en-GB"/>
              </w:rPr>
            </w:pPr>
          </w:p>
        </w:tc>
      </w:tr>
      <w:tr w:rsidR="00431F4F" w:rsidRPr="009F566E" w14:paraId="2BE770FF" w14:textId="77777777" w:rsidTr="00A27D48">
        <w:tc>
          <w:tcPr>
            <w:tcW w:w="3904" w:type="dxa"/>
            <w:vMerge/>
          </w:tcPr>
          <w:p w14:paraId="2FBFD259" w14:textId="77777777" w:rsidR="00431F4F" w:rsidRPr="009F566E" w:rsidRDefault="00431F4F" w:rsidP="00431F4F">
            <w:pPr>
              <w:jc w:val="center"/>
              <w:rPr>
                <w:noProof/>
                <w:sz w:val="20"/>
                <w:lang w:eastAsia="en-GB"/>
              </w:rPr>
            </w:pPr>
          </w:p>
        </w:tc>
        <w:tc>
          <w:tcPr>
            <w:tcW w:w="1276" w:type="dxa"/>
            <w:vAlign w:val="center"/>
          </w:tcPr>
          <w:p w14:paraId="6CF56005" w14:textId="77777777" w:rsidR="00431F4F" w:rsidRPr="009F566E" w:rsidRDefault="00431F4F" w:rsidP="00431F4F">
            <w:pPr>
              <w:spacing w:before="20" w:after="20"/>
              <w:rPr>
                <w:noProof/>
                <w:sz w:val="18"/>
              </w:rPr>
            </w:pPr>
            <w:r w:rsidRPr="009F566E">
              <w:rPr>
                <w:noProof/>
                <w:sz w:val="18"/>
              </w:rPr>
              <w:t>Zahlungen</w:t>
            </w:r>
          </w:p>
        </w:tc>
        <w:tc>
          <w:tcPr>
            <w:tcW w:w="576" w:type="dxa"/>
            <w:vAlign w:val="center"/>
          </w:tcPr>
          <w:p w14:paraId="1C7188CB" w14:textId="77777777" w:rsidR="00431F4F" w:rsidRPr="009F566E" w:rsidRDefault="00431F4F" w:rsidP="00431F4F">
            <w:pPr>
              <w:spacing w:before="20" w:after="20"/>
              <w:jc w:val="center"/>
              <w:rPr>
                <w:noProof/>
                <w:sz w:val="14"/>
              </w:rPr>
            </w:pPr>
            <w:r w:rsidRPr="009F566E">
              <w:rPr>
                <w:noProof/>
                <w:sz w:val="14"/>
              </w:rPr>
              <w:t>(</w:t>
            </w:r>
            <w:r w:rsidRPr="002C6368">
              <w:rPr>
                <w:noProof/>
                <w:sz w:val="14"/>
              </w:rPr>
              <w:t>2</w:t>
            </w:r>
            <w:r w:rsidRPr="009F566E">
              <w:rPr>
                <w:noProof/>
                <w:sz w:val="14"/>
              </w:rPr>
              <w:t>b)</w:t>
            </w:r>
          </w:p>
        </w:tc>
        <w:tc>
          <w:tcPr>
            <w:tcW w:w="703" w:type="dxa"/>
            <w:vAlign w:val="center"/>
          </w:tcPr>
          <w:p w14:paraId="4A9999A7" w14:textId="77777777" w:rsidR="00431F4F" w:rsidRPr="009F566E" w:rsidRDefault="00431F4F" w:rsidP="00431F4F">
            <w:pPr>
              <w:spacing w:before="20" w:after="20"/>
              <w:jc w:val="right"/>
              <w:rPr>
                <w:noProof/>
                <w:sz w:val="20"/>
                <w:lang w:eastAsia="en-GB"/>
              </w:rPr>
            </w:pPr>
          </w:p>
        </w:tc>
        <w:tc>
          <w:tcPr>
            <w:tcW w:w="1134" w:type="dxa"/>
            <w:vAlign w:val="center"/>
          </w:tcPr>
          <w:p w14:paraId="01A88792" w14:textId="77777777" w:rsidR="00431F4F" w:rsidRPr="009F566E" w:rsidRDefault="00431F4F" w:rsidP="00431F4F">
            <w:pPr>
              <w:spacing w:before="20" w:after="20"/>
              <w:jc w:val="right"/>
              <w:rPr>
                <w:noProof/>
                <w:sz w:val="20"/>
                <w:lang w:eastAsia="en-GB"/>
              </w:rPr>
            </w:pPr>
          </w:p>
        </w:tc>
        <w:tc>
          <w:tcPr>
            <w:tcW w:w="1131" w:type="dxa"/>
            <w:vAlign w:val="center"/>
          </w:tcPr>
          <w:p w14:paraId="39658EBB" w14:textId="77777777" w:rsidR="00431F4F" w:rsidRPr="009F566E" w:rsidRDefault="00431F4F" w:rsidP="00431F4F">
            <w:pPr>
              <w:spacing w:before="20" w:after="20"/>
              <w:jc w:val="right"/>
              <w:rPr>
                <w:noProof/>
                <w:sz w:val="20"/>
                <w:lang w:eastAsia="en-GB"/>
              </w:rPr>
            </w:pPr>
          </w:p>
        </w:tc>
        <w:tc>
          <w:tcPr>
            <w:tcW w:w="992" w:type="dxa"/>
            <w:vAlign w:val="center"/>
          </w:tcPr>
          <w:p w14:paraId="08217999" w14:textId="77777777" w:rsidR="00431F4F" w:rsidRPr="009F566E" w:rsidRDefault="00431F4F" w:rsidP="00431F4F">
            <w:pPr>
              <w:spacing w:before="20" w:after="20"/>
              <w:jc w:val="right"/>
              <w:rPr>
                <w:noProof/>
                <w:sz w:val="20"/>
                <w:lang w:eastAsia="en-GB"/>
              </w:rPr>
            </w:pPr>
          </w:p>
        </w:tc>
        <w:tc>
          <w:tcPr>
            <w:tcW w:w="709" w:type="dxa"/>
          </w:tcPr>
          <w:p w14:paraId="0742A379" w14:textId="77777777" w:rsidR="00431F4F" w:rsidRPr="009F566E" w:rsidRDefault="00431F4F" w:rsidP="00431F4F">
            <w:pPr>
              <w:spacing w:before="20" w:after="20"/>
              <w:jc w:val="right"/>
              <w:rPr>
                <w:noProof/>
                <w:sz w:val="20"/>
                <w:lang w:eastAsia="en-GB"/>
              </w:rPr>
            </w:pPr>
          </w:p>
        </w:tc>
        <w:tc>
          <w:tcPr>
            <w:tcW w:w="708" w:type="dxa"/>
          </w:tcPr>
          <w:p w14:paraId="228617F9" w14:textId="77777777" w:rsidR="00431F4F" w:rsidRPr="009F566E" w:rsidRDefault="00431F4F" w:rsidP="00431F4F">
            <w:pPr>
              <w:spacing w:before="20" w:after="20"/>
              <w:jc w:val="right"/>
              <w:rPr>
                <w:b/>
                <w:noProof/>
                <w:sz w:val="20"/>
                <w:lang w:eastAsia="en-GB"/>
              </w:rPr>
            </w:pPr>
          </w:p>
        </w:tc>
        <w:tc>
          <w:tcPr>
            <w:tcW w:w="1276" w:type="dxa"/>
          </w:tcPr>
          <w:p w14:paraId="0D527C15" w14:textId="77777777" w:rsidR="00431F4F" w:rsidRPr="009F566E" w:rsidRDefault="00431F4F" w:rsidP="00431F4F">
            <w:pPr>
              <w:spacing w:before="20" w:after="20"/>
              <w:jc w:val="right"/>
              <w:rPr>
                <w:b/>
                <w:noProof/>
                <w:sz w:val="20"/>
                <w:lang w:eastAsia="en-GB"/>
              </w:rPr>
            </w:pPr>
          </w:p>
        </w:tc>
        <w:tc>
          <w:tcPr>
            <w:tcW w:w="1843" w:type="dxa"/>
            <w:vAlign w:val="center"/>
          </w:tcPr>
          <w:p w14:paraId="306EF631" w14:textId="77777777" w:rsidR="00431F4F" w:rsidRPr="009F566E" w:rsidRDefault="00431F4F" w:rsidP="00431F4F">
            <w:pPr>
              <w:spacing w:before="20" w:after="20"/>
              <w:jc w:val="right"/>
              <w:rPr>
                <w:b/>
                <w:noProof/>
                <w:sz w:val="20"/>
                <w:lang w:eastAsia="en-GB"/>
              </w:rPr>
            </w:pPr>
          </w:p>
        </w:tc>
      </w:tr>
      <w:tr w:rsidR="00841AC1" w:rsidRPr="009F566E" w14:paraId="33BC0437" w14:textId="77777777" w:rsidTr="00841AC1">
        <w:trPr>
          <w:trHeight w:val="231"/>
        </w:trPr>
        <w:tc>
          <w:tcPr>
            <w:tcW w:w="5756" w:type="dxa"/>
            <w:gridSpan w:val="3"/>
            <w:vAlign w:val="center"/>
          </w:tcPr>
          <w:p w14:paraId="68E6AD24" w14:textId="77777777" w:rsidR="00841AC1" w:rsidRPr="009F566E" w:rsidRDefault="00841AC1" w:rsidP="00431F4F">
            <w:pPr>
              <w:spacing w:before="20" w:after="20"/>
              <w:rPr>
                <w:noProof/>
              </w:rPr>
            </w:pPr>
            <w:r w:rsidRPr="009F566E">
              <w:rPr>
                <w:noProof/>
                <w:sz w:val="21"/>
              </w:rPr>
              <w:t>Aus der Dotation bestimmter spezifischer Programme finanzierte Verwaltungsausgaben</w:t>
            </w:r>
            <w:r w:rsidRPr="009F566E">
              <w:rPr>
                <w:rStyle w:val="FootnoteReference"/>
                <w:noProof/>
              </w:rPr>
              <w:footnoteReference w:id="25"/>
            </w:r>
            <w:r w:rsidRPr="009F566E">
              <w:rPr>
                <w:noProof/>
                <w:sz w:val="21"/>
              </w:rPr>
              <w:t xml:space="preserve"> </w:t>
            </w:r>
          </w:p>
          <w:p w14:paraId="748D3B5B" w14:textId="77777777" w:rsidR="00841AC1" w:rsidRPr="009F566E" w:rsidRDefault="00841AC1" w:rsidP="00431F4F">
            <w:pPr>
              <w:spacing w:before="0" w:after="0"/>
              <w:rPr>
                <w:noProof/>
                <w:lang w:eastAsia="en-GB"/>
              </w:rPr>
            </w:pPr>
          </w:p>
        </w:tc>
        <w:tc>
          <w:tcPr>
            <w:tcW w:w="703" w:type="dxa"/>
            <w:vAlign w:val="center"/>
          </w:tcPr>
          <w:p w14:paraId="692B06DF" w14:textId="77777777" w:rsidR="00841AC1" w:rsidRPr="009F566E" w:rsidRDefault="00841AC1" w:rsidP="00431F4F">
            <w:pPr>
              <w:rPr>
                <w:b/>
                <w:noProof/>
                <w:sz w:val="20"/>
                <w:lang w:eastAsia="en-GB"/>
              </w:rPr>
            </w:pPr>
          </w:p>
        </w:tc>
        <w:tc>
          <w:tcPr>
            <w:tcW w:w="1134" w:type="dxa"/>
            <w:vAlign w:val="center"/>
          </w:tcPr>
          <w:p w14:paraId="32B379BF" w14:textId="77777777" w:rsidR="00841AC1" w:rsidRPr="009F566E" w:rsidRDefault="00841AC1" w:rsidP="00431F4F">
            <w:pPr>
              <w:rPr>
                <w:b/>
                <w:noProof/>
                <w:sz w:val="20"/>
                <w:lang w:eastAsia="en-GB"/>
              </w:rPr>
            </w:pPr>
          </w:p>
        </w:tc>
        <w:tc>
          <w:tcPr>
            <w:tcW w:w="1131" w:type="dxa"/>
            <w:vAlign w:val="center"/>
          </w:tcPr>
          <w:p w14:paraId="2A525AF9" w14:textId="77777777" w:rsidR="00841AC1" w:rsidRPr="009F566E" w:rsidRDefault="00841AC1" w:rsidP="00431F4F">
            <w:pPr>
              <w:rPr>
                <w:b/>
                <w:noProof/>
                <w:sz w:val="20"/>
                <w:lang w:eastAsia="en-GB"/>
              </w:rPr>
            </w:pPr>
          </w:p>
        </w:tc>
        <w:tc>
          <w:tcPr>
            <w:tcW w:w="992" w:type="dxa"/>
            <w:vAlign w:val="center"/>
          </w:tcPr>
          <w:p w14:paraId="3478B9FB" w14:textId="77777777" w:rsidR="00841AC1" w:rsidRPr="009F566E" w:rsidRDefault="00841AC1" w:rsidP="00431F4F">
            <w:pPr>
              <w:rPr>
                <w:b/>
                <w:noProof/>
                <w:sz w:val="20"/>
                <w:lang w:eastAsia="en-GB"/>
              </w:rPr>
            </w:pPr>
          </w:p>
        </w:tc>
        <w:tc>
          <w:tcPr>
            <w:tcW w:w="709" w:type="dxa"/>
          </w:tcPr>
          <w:p w14:paraId="16839C84" w14:textId="77777777" w:rsidR="00841AC1" w:rsidRPr="009F566E" w:rsidRDefault="00841AC1" w:rsidP="00431F4F">
            <w:pPr>
              <w:rPr>
                <w:b/>
                <w:noProof/>
                <w:sz w:val="20"/>
                <w:lang w:eastAsia="en-GB"/>
              </w:rPr>
            </w:pPr>
          </w:p>
        </w:tc>
        <w:tc>
          <w:tcPr>
            <w:tcW w:w="708" w:type="dxa"/>
            <w:vAlign w:val="center"/>
          </w:tcPr>
          <w:p w14:paraId="52182E9F" w14:textId="77777777" w:rsidR="00841AC1" w:rsidRPr="009F566E" w:rsidRDefault="00841AC1" w:rsidP="00431F4F">
            <w:pPr>
              <w:rPr>
                <w:b/>
                <w:noProof/>
                <w:sz w:val="20"/>
                <w:lang w:eastAsia="en-GB"/>
              </w:rPr>
            </w:pPr>
          </w:p>
        </w:tc>
        <w:tc>
          <w:tcPr>
            <w:tcW w:w="1276" w:type="dxa"/>
          </w:tcPr>
          <w:p w14:paraId="04C16C39" w14:textId="77777777" w:rsidR="00841AC1" w:rsidRPr="009F566E" w:rsidRDefault="00841AC1" w:rsidP="00431F4F">
            <w:pPr>
              <w:rPr>
                <w:b/>
                <w:noProof/>
                <w:sz w:val="20"/>
                <w:lang w:eastAsia="en-GB"/>
              </w:rPr>
            </w:pPr>
          </w:p>
        </w:tc>
        <w:tc>
          <w:tcPr>
            <w:tcW w:w="1843" w:type="dxa"/>
            <w:vAlign w:val="center"/>
          </w:tcPr>
          <w:p w14:paraId="0B616DC0" w14:textId="77777777" w:rsidR="00841AC1" w:rsidRPr="009F566E" w:rsidRDefault="00841AC1" w:rsidP="00431F4F">
            <w:pPr>
              <w:rPr>
                <w:b/>
                <w:noProof/>
                <w:sz w:val="20"/>
                <w:lang w:eastAsia="en-GB"/>
              </w:rPr>
            </w:pPr>
          </w:p>
        </w:tc>
      </w:tr>
      <w:tr w:rsidR="00431F4F" w:rsidRPr="009F566E" w14:paraId="76152B4F" w14:textId="77777777" w:rsidTr="00A27D48">
        <w:trPr>
          <w:trHeight w:val="319"/>
        </w:trPr>
        <w:tc>
          <w:tcPr>
            <w:tcW w:w="3904" w:type="dxa"/>
            <w:vAlign w:val="center"/>
          </w:tcPr>
          <w:p w14:paraId="4EFA84ED" w14:textId="77777777" w:rsidR="00431F4F" w:rsidRPr="009F566E" w:rsidRDefault="00431F4F" w:rsidP="00431F4F">
            <w:pPr>
              <w:spacing w:before="60" w:after="60"/>
              <w:rPr>
                <w:noProof/>
              </w:rPr>
            </w:pPr>
            <w:r w:rsidRPr="009F566E">
              <w:rPr>
                <w:noProof/>
                <w:sz w:val="20"/>
              </w:rPr>
              <w:t>Haushaltslinie</w:t>
            </w:r>
          </w:p>
        </w:tc>
        <w:tc>
          <w:tcPr>
            <w:tcW w:w="1276" w:type="dxa"/>
            <w:vAlign w:val="center"/>
          </w:tcPr>
          <w:p w14:paraId="7BCA54DB" w14:textId="77777777" w:rsidR="00431F4F" w:rsidRPr="009F566E" w:rsidRDefault="00431F4F" w:rsidP="00431F4F">
            <w:pPr>
              <w:spacing w:before="40" w:after="40"/>
              <w:jc w:val="right"/>
              <w:rPr>
                <w:noProof/>
                <w:sz w:val="18"/>
                <w:lang w:eastAsia="en-GB"/>
              </w:rPr>
            </w:pPr>
          </w:p>
        </w:tc>
        <w:tc>
          <w:tcPr>
            <w:tcW w:w="576" w:type="dxa"/>
            <w:vAlign w:val="center"/>
          </w:tcPr>
          <w:p w14:paraId="1C2650D1" w14:textId="77777777" w:rsidR="00431F4F" w:rsidRPr="009F566E" w:rsidRDefault="00431F4F" w:rsidP="00431F4F">
            <w:pPr>
              <w:spacing w:before="40" w:after="40"/>
              <w:jc w:val="center"/>
              <w:rPr>
                <w:noProof/>
                <w:sz w:val="14"/>
              </w:rPr>
            </w:pPr>
            <w:r w:rsidRPr="009F566E">
              <w:rPr>
                <w:noProof/>
                <w:sz w:val="14"/>
              </w:rPr>
              <w:t>(</w:t>
            </w:r>
            <w:r w:rsidRPr="002C6368">
              <w:rPr>
                <w:noProof/>
                <w:sz w:val="14"/>
              </w:rPr>
              <w:t>3</w:t>
            </w:r>
            <w:r w:rsidRPr="009F566E">
              <w:rPr>
                <w:noProof/>
                <w:sz w:val="14"/>
              </w:rPr>
              <w:t>)</w:t>
            </w:r>
          </w:p>
        </w:tc>
        <w:tc>
          <w:tcPr>
            <w:tcW w:w="703" w:type="dxa"/>
            <w:vAlign w:val="center"/>
          </w:tcPr>
          <w:p w14:paraId="04F73420" w14:textId="77777777" w:rsidR="00431F4F" w:rsidRPr="009F566E" w:rsidRDefault="00431F4F" w:rsidP="00431F4F">
            <w:pPr>
              <w:spacing w:before="40" w:after="40"/>
              <w:jc w:val="right"/>
              <w:rPr>
                <w:b/>
                <w:noProof/>
                <w:sz w:val="20"/>
                <w:lang w:eastAsia="en-GB"/>
              </w:rPr>
            </w:pPr>
          </w:p>
        </w:tc>
        <w:tc>
          <w:tcPr>
            <w:tcW w:w="1134" w:type="dxa"/>
            <w:vAlign w:val="center"/>
          </w:tcPr>
          <w:p w14:paraId="1A976D12" w14:textId="77777777" w:rsidR="00431F4F" w:rsidRPr="009F566E" w:rsidRDefault="00431F4F" w:rsidP="00431F4F">
            <w:pPr>
              <w:spacing w:before="40" w:after="40"/>
              <w:jc w:val="right"/>
              <w:rPr>
                <w:b/>
                <w:noProof/>
                <w:sz w:val="20"/>
                <w:lang w:eastAsia="en-GB"/>
              </w:rPr>
            </w:pPr>
          </w:p>
        </w:tc>
        <w:tc>
          <w:tcPr>
            <w:tcW w:w="1131" w:type="dxa"/>
            <w:vAlign w:val="center"/>
          </w:tcPr>
          <w:p w14:paraId="3E3FFCEB" w14:textId="77777777" w:rsidR="00431F4F" w:rsidRPr="009F566E" w:rsidRDefault="00431F4F" w:rsidP="00431F4F">
            <w:pPr>
              <w:spacing w:before="40" w:after="40"/>
              <w:jc w:val="right"/>
              <w:rPr>
                <w:b/>
                <w:noProof/>
                <w:sz w:val="20"/>
                <w:lang w:eastAsia="en-GB"/>
              </w:rPr>
            </w:pPr>
          </w:p>
        </w:tc>
        <w:tc>
          <w:tcPr>
            <w:tcW w:w="992" w:type="dxa"/>
            <w:vAlign w:val="center"/>
          </w:tcPr>
          <w:p w14:paraId="37D691BF" w14:textId="77777777" w:rsidR="00431F4F" w:rsidRPr="009F566E" w:rsidRDefault="00431F4F" w:rsidP="00431F4F">
            <w:pPr>
              <w:spacing w:before="40" w:after="40"/>
              <w:jc w:val="right"/>
              <w:rPr>
                <w:b/>
                <w:noProof/>
                <w:sz w:val="20"/>
                <w:lang w:eastAsia="en-GB"/>
              </w:rPr>
            </w:pPr>
          </w:p>
        </w:tc>
        <w:tc>
          <w:tcPr>
            <w:tcW w:w="709" w:type="dxa"/>
          </w:tcPr>
          <w:p w14:paraId="3DA22614" w14:textId="77777777" w:rsidR="00431F4F" w:rsidRPr="009F566E" w:rsidRDefault="00431F4F" w:rsidP="00431F4F">
            <w:pPr>
              <w:spacing w:before="40" w:after="40"/>
              <w:jc w:val="right"/>
              <w:rPr>
                <w:b/>
                <w:noProof/>
                <w:sz w:val="20"/>
                <w:lang w:eastAsia="en-GB"/>
              </w:rPr>
            </w:pPr>
          </w:p>
        </w:tc>
        <w:tc>
          <w:tcPr>
            <w:tcW w:w="708" w:type="dxa"/>
          </w:tcPr>
          <w:p w14:paraId="109B9101" w14:textId="77777777" w:rsidR="00431F4F" w:rsidRPr="009F566E" w:rsidRDefault="00431F4F" w:rsidP="00431F4F">
            <w:pPr>
              <w:spacing w:before="40" w:after="40"/>
              <w:jc w:val="right"/>
              <w:rPr>
                <w:b/>
                <w:noProof/>
                <w:sz w:val="20"/>
                <w:lang w:eastAsia="en-GB"/>
              </w:rPr>
            </w:pPr>
          </w:p>
        </w:tc>
        <w:tc>
          <w:tcPr>
            <w:tcW w:w="1276" w:type="dxa"/>
          </w:tcPr>
          <w:p w14:paraId="3B168EA2" w14:textId="77777777" w:rsidR="00431F4F" w:rsidRPr="009F566E" w:rsidRDefault="00431F4F" w:rsidP="00431F4F">
            <w:pPr>
              <w:spacing w:before="40" w:after="40"/>
              <w:jc w:val="right"/>
              <w:rPr>
                <w:b/>
                <w:noProof/>
                <w:sz w:val="20"/>
                <w:lang w:eastAsia="en-GB"/>
              </w:rPr>
            </w:pPr>
          </w:p>
        </w:tc>
        <w:tc>
          <w:tcPr>
            <w:tcW w:w="1843" w:type="dxa"/>
            <w:vAlign w:val="center"/>
          </w:tcPr>
          <w:p w14:paraId="6B6AAA53" w14:textId="77777777" w:rsidR="00431F4F" w:rsidRPr="009F566E" w:rsidRDefault="00431F4F" w:rsidP="00431F4F">
            <w:pPr>
              <w:spacing w:before="40" w:after="40"/>
              <w:jc w:val="right"/>
              <w:rPr>
                <w:b/>
                <w:noProof/>
                <w:sz w:val="20"/>
                <w:lang w:eastAsia="en-GB"/>
              </w:rPr>
            </w:pPr>
          </w:p>
        </w:tc>
      </w:tr>
      <w:tr w:rsidR="00431F4F" w:rsidRPr="009F566E" w14:paraId="7325DF33" w14:textId="77777777" w:rsidTr="00A27D48">
        <w:tc>
          <w:tcPr>
            <w:tcW w:w="3904" w:type="dxa"/>
            <w:vMerge w:val="restart"/>
            <w:vAlign w:val="center"/>
          </w:tcPr>
          <w:p w14:paraId="252B6AF7" w14:textId="77777777" w:rsidR="00431F4F" w:rsidRPr="009F566E" w:rsidRDefault="00431F4F" w:rsidP="00431F4F">
            <w:pPr>
              <w:jc w:val="center"/>
              <w:rPr>
                <w:b/>
                <w:noProof/>
              </w:rPr>
            </w:pPr>
            <w:r w:rsidRPr="009F566E">
              <w:rPr>
                <w:b/>
                <w:noProof/>
                <w:sz w:val="22"/>
              </w:rPr>
              <w:t>Mittel INSGESAMT</w:t>
            </w:r>
            <w:r w:rsidRPr="009F566E">
              <w:rPr>
                <w:noProof/>
              </w:rPr>
              <w:t xml:space="preserve"> </w:t>
            </w:r>
            <w:r w:rsidRPr="009F566E">
              <w:rPr>
                <w:noProof/>
              </w:rPr>
              <w:br/>
            </w:r>
            <w:r w:rsidRPr="009F566E">
              <w:rPr>
                <w:noProof/>
                <w:sz w:val="22"/>
              </w:rPr>
              <w:t>für die GD Regionalpolitik und Stadtentwicklung und die GD Beschäftigung, Soziales und Integration</w:t>
            </w:r>
          </w:p>
        </w:tc>
        <w:tc>
          <w:tcPr>
            <w:tcW w:w="1276" w:type="dxa"/>
            <w:vAlign w:val="center"/>
          </w:tcPr>
          <w:p w14:paraId="0DB3438D" w14:textId="77777777" w:rsidR="00431F4F" w:rsidRPr="009F566E" w:rsidRDefault="00431F4F" w:rsidP="00431F4F">
            <w:pPr>
              <w:rPr>
                <w:noProof/>
                <w:sz w:val="18"/>
              </w:rPr>
            </w:pPr>
            <w:r w:rsidRPr="009F566E">
              <w:rPr>
                <w:noProof/>
                <w:sz w:val="18"/>
              </w:rPr>
              <w:t>Verpflichtungen</w:t>
            </w:r>
          </w:p>
        </w:tc>
        <w:tc>
          <w:tcPr>
            <w:tcW w:w="576" w:type="dxa"/>
            <w:vAlign w:val="center"/>
          </w:tcPr>
          <w:p w14:paraId="31332614" w14:textId="77777777" w:rsidR="00431F4F" w:rsidRPr="009F566E" w:rsidRDefault="00431F4F" w:rsidP="00431F4F">
            <w:pPr>
              <w:jc w:val="center"/>
              <w:rPr>
                <w:noProof/>
                <w:sz w:val="14"/>
              </w:rPr>
            </w:pPr>
            <w:r w:rsidRPr="009F566E">
              <w:rPr>
                <w:noProof/>
                <w:sz w:val="14"/>
              </w:rPr>
              <w:t>=</w:t>
            </w:r>
            <w:r w:rsidRPr="002C6368">
              <w:rPr>
                <w:noProof/>
                <w:sz w:val="14"/>
              </w:rPr>
              <w:t>1</w:t>
            </w:r>
            <w:r w:rsidRPr="009F566E">
              <w:rPr>
                <w:noProof/>
                <w:sz w:val="14"/>
              </w:rPr>
              <w:t>a+</w:t>
            </w:r>
            <w:r w:rsidRPr="002C6368">
              <w:rPr>
                <w:noProof/>
                <w:sz w:val="14"/>
              </w:rPr>
              <w:t>1</w:t>
            </w:r>
            <w:r w:rsidRPr="009F566E">
              <w:rPr>
                <w:noProof/>
                <w:sz w:val="14"/>
              </w:rPr>
              <w:t>b +</w:t>
            </w:r>
            <w:r w:rsidRPr="002C6368">
              <w:rPr>
                <w:noProof/>
                <w:sz w:val="14"/>
              </w:rPr>
              <w:t>3</w:t>
            </w:r>
          </w:p>
        </w:tc>
        <w:tc>
          <w:tcPr>
            <w:tcW w:w="703" w:type="dxa"/>
            <w:vAlign w:val="center"/>
          </w:tcPr>
          <w:p w14:paraId="1248AD67" w14:textId="77777777" w:rsidR="00431F4F" w:rsidRPr="009F566E" w:rsidRDefault="00431F4F" w:rsidP="00431F4F">
            <w:pPr>
              <w:spacing w:before="20" w:after="20"/>
              <w:jc w:val="right"/>
              <w:rPr>
                <w:noProof/>
                <w:sz w:val="22"/>
                <w:lang w:eastAsia="en-GB"/>
              </w:rPr>
            </w:pPr>
          </w:p>
        </w:tc>
        <w:tc>
          <w:tcPr>
            <w:tcW w:w="1134" w:type="dxa"/>
            <w:vAlign w:val="center"/>
          </w:tcPr>
          <w:p w14:paraId="0930FD9F" w14:textId="77777777" w:rsidR="00431F4F" w:rsidRPr="009F566E" w:rsidRDefault="00431F4F" w:rsidP="00431F4F">
            <w:pPr>
              <w:spacing w:before="20" w:after="20"/>
              <w:jc w:val="right"/>
              <w:rPr>
                <w:noProof/>
                <w:sz w:val="22"/>
                <w:lang w:eastAsia="en-GB"/>
              </w:rPr>
            </w:pPr>
          </w:p>
        </w:tc>
        <w:tc>
          <w:tcPr>
            <w:tcW w:w="1131" w:type="dxa"/>
            <w:vAlign w:val="center"/>
          </w:tcPr>
          <w:p w14:paraId="377E6EE4" w14:textId="77777777" w:rsidR="00431F4F" w:rsidRPr="009F566E" w:rsidRDefault="00431F4F" w:rsidP="00431F4F">
            <w:pPr>
              <w:spacing w:before="20" w:after="20"/>
              <w:jc w:val="right"/>
              <w:rPr>
                <w:noProof/>
                <w:sz w:val="22"/>
                <w:lang w:eastAsia="en-GB"/>
              </w:rPr>
            </w:pPr>
          </w:p>
        </w:tc>
        <w:tc>
          <w:tcPr>
            <w:tcW w:w="992" w:type="dxa"/>
            <w:vAlign w:val="center"/>
          </w:tcPr>
          <w:p w14:paraId="0870E82A" w14:textId="77777777" w:rsidR="00431F4F" w:rsidRPr="009F566E" w:rsidRDefault="00431F4F" w:rsidP="00431F4F">
            <w:pPr>
              <w:spacing w:before="20" w:after="20"/>
              <w:jc w:val="right"/>
              <w:rPr>
                <w:noProof/>
                <w:sz w:val="22"/>
                <w:lang w:eastAsia="en-GB"/>
              </w:rPr>
            </w:pPr>
          </w:p>
        </w:tc>
        <w:tc>
          <w:tcPr>
            <w:tcW w:w="709" w:type="dxa"/>
            <w:vAlign w:val="center"/>
          </w:tcPr>
          <w:p w14:paraId="6E8743BC" w14:textId="77777777" w:rsidR="00431F4F" w:rsidRPr="009F566E" w:rsidRDefault="00431F4F" w:rsidP="00431F4F">
            <w:pPr>
              <w:spacing w:before="20" w:after="20"/>
              <w:jc w:val="right"/>
              <w:rPr>
                <w:noProof/>
                <w:sz w:val="22"/>
                <w:lang w:eastAsia="en-GB"/>
              </w:rPr>
            </w:pPr>
          </w:p>
        </w:tc>
        <w:tc>
          <w:tcPr>
            <w:tcW w:w="708" w:type="dxa"/>
            <w:vAlign w:val="center"/>
          </w:tcPr>
          <w:p w14:paraId="563E7124" w14:textId="77777777" w:rsidR="00431F4F" w:rsidRPr="009F566E" w:rsidRDefault="00431F4F" w:rsidP="00431F4F">
            <w:pPr>
              <w:spacing w:before="20" w:after="20"/>
              <w:jc w:val="center"/>
              <w:rPr>
                <w:b/>
                <w:noProof/>
                <w:sz w:val="22"/>
                <w:lang w:eastAsia="en-GB"/>
              </w:rPr>
            </w:pPr>
          </w:p>
        </w:tc>
        <w:tc>
          <w:tcPr>
            <w:tcW w:w="1276" w:type="dxa"/>
            <w:vAlign w:val="center"/>
          </w:tcPr>
          <w:p w14:paraId="34875702" w14:textId="77777777" w:rsidR="00431F4F" w:rsidRPr="009F566E" w:rsidRDefault="00431F4F" w:rsidP="00431F4F">
            <w:pPr>
              <w:spacing w:before="20" w:after="20"/>
              <w:jc w:val="center"/>
              <w:rPr>
                <w:b/>
                <w:noProof/>
                <w:sz w:val="22"/>
                <w:lang w:eastAsia="en-GB"/>
              </w:rPr>
            </w:pPr>
          </w:p>
        </w:tc>
        <w:tc>
          <w:tcPr>
            <w:tcW w:w="1843" w:type="dxa"/>
            <w:vAlign w:val="center"/>
          </w:tcPr>
          <w:p w14:paraId="4721B4E7" w14:textId="77777777" w:rsidR="00431F4F" w:rsidRPr="009F566E" w:rsidRDefault="00431F4F" w:rsidP="00431F4F">
            <w:pPr>
              <w:spacing w:before="20" w:after="20"/>
              <w:jc w:val="center"/>
              <w:rPr>
                <w:b/>
                <w:noProof/>
                <w:sz w:val="22"/>
              </w:rPr>
            </w:pPr>
            <w:r w:rsidRPr="002C6368">
              <w:rPr>
                <w:b/>
                <w:noProof/>
                <w:sz w:val="22"/>
              </w:rPr>
              <w:t>0</w:t>
            </w:r>
            <w:r w:rsidRPr="009F566E">
              <w:rPr>
                <w:b/>
                <w:noProof/>
                <w:sz w:val="22"/>
              </w:rPr>
              <w:t>,</w:t>
            </w:r>
            <w:r w:rsidRPr="002C6368">
              <w:rPr>
                <w:b/>
                <w:noProof/>
                <w:sz w:val="22"/>
              </w:rPr>
              <w:t>000</w:t>
            </w:r>
          </w:p>
        </w:tc>
      </w:tr>
      <w:tr w:rsidR="00431F4F" w:rsidRPr="009F566E" w14:paraId="2521135A" w14:textId="77777777" w:rsidTr="00A27D48">
        <w:tc>
          <w:tcPr>
            <w:tcW w:w="3904" w:type="dxa"/>
            <w:vMerge/>
          </w:tcPr>
          <w:p w14:paraId="0EF0AD34" w14:textId="77777777" w:rsidR="00431F4F" w:rsidRPr="009F566E" w:rsidRDefault="00431F4F" w:rsidP="00431F4F">
            <w:pPr>
              <w:rPr>
                <w:noProof/>
                <w:sz w:val="20"/>
                <w:lang w:eastAsia="en-GB"/>
              </w:rPr>
            </w:pPr>
          </w:p>
        </w:tc>
        <w:tc>
          <w:tcPr>
            <w:tcW w:w="1276" w:type="dxa"/>
            <w:vAlign w:val="center"/>
          </w:tcPr>
          <w:p w14:paraId="4231592A" w14:textId="77777777" w:rsidR="00431F4F" w:rsidRPr="009F566E" w:rsidRDefault="00431F4F" w:rsidP="00431F4F">
            <w:pPr>
              <w:rPr>
                <w:noProof/>
                <w:sz w:val="18"/>
              </w:rPr>
            </w:pPr>
            <w:r w:rsidRPr="009F566E">
              <w:rPr>
                <w:noProof/>
                <w:sz w:val="18"/>
              </w:rPr>
              <w:t>Zahlungen</w:t>
            </w:r>
          </w:p>
        </w:tc>
        <w:tc>
          <w:tcPr>
            <w:tcW w:w="576" w:type="dxa"/>
            <w:vAlign w:val="center"/>
          </w:tcPr>
          <w:p w14:paraId="7A367FB7" w14:textId="77777777" w:rsidR="00431F4F" w:rsidRPr="009F566E" w:rsidRDefault="00431F4F" w:rsidP="00431F4F">
            <w:pPr>
              <w:jc w:val="center"/>
              <w:rPr>
                <w:noProof/>
                <w:sz w:val="14"/>
              </w:rPr>
            </w:pPr>
            <w:r w:rsidRPr="009F566E">
              <w:rPr>
                <w:noProof/>
                <w:sz w:val="14"/>
              </w:rPr>
              <w:t>=</w:t>
            </w:r>
            <w:r w:rsidRPr="002C6368">
              <w:rPr>
                <w:noProof/>
                <w:sz w:val="14"/>
              </w:rPr>
              <w:t>2</w:t>
            </w:r>
            <w:r w:rsidRPr="009F566E">
              <w:rPr>
                <w:noProof/>
                <w:sz w:val="14"/>
              </w:rPr>
              <w:t>a+</w:t>
            </w:r>
            <w:r w:rsidRPr="002C6368">
              <w:rPr>
                <w:noProof/>
                <w:sz w:val="14"/>
              </w:rPr>
              <w:t>2</w:t>
            </w:r>
            <w:r w:rsidRPr="009F566E">
              <w:rPr>
                <w:noProof/>
                <w:sz w:val="14"/>
              </w:rPr>
              <w:t>b</w:t>
            </w:r>
          </w:p>
          <w:p w14:paraId="17CE790F" w14:textId="77777777" w:rsidR="00431F4F" w:rsidRPr="009F566E" w:rsidRDefault="00431F4F" w:rsidP="00431F4F">
            <w:pPr>
              <w:jc w:val="center"/>
              <w:rPr>
                <w:noProof/>
                <w:sz w:val="14"/>
              </w:rPr>
            </w:pPr>
            <w:r w:rsidRPr="009F566E">
              <w:rPr>
                <w:noProof/>
                <w:sz w:val="14"/>
              </w:rPr>
              <w:t>+</w:t>
            </w:r>
            <w:r w:rsidRPr="002C6368">
              <w:rPr>
                <w:noProof/>
                <w:sz w:val="14"/>
              </w:rPr>
              <w:t>3</w:t>
            </w:r>
          </w:p>
        </w:tc>
        <w:tc>
          <w:tcPr>
            <w:tcW w:w="703" w:type="dxa"/>
            <w:vAlign w:val="center"/>
          </w:tcPr>
          <w:p w14:paraId="6706E560" w14:textId="77777777" w:rsidR="00431F4F" w:rsidRPr="009F566E" w:rsidRDefault="00431F4F" w:rsidP="00431F4F">
            <w:pPr>
              <w:spacing w:before="20" w:after="20"/>
              <w:jc w:val="right"/>
              <w:rPr>
                <w:noProof/>
                <w:sz w:val="22"/>
                <w:lang w:eastAsia="en-GB"/>
              </w:rPr>
            </w:pPr>
          </w:p>
        </w:tc>
        <w:tc>
          <w:tcPr>
            <w:tcW w:w="1134" w:type="dxa"/>
            <w:vAlign w:val="center"/>
          </w:tcPr>
          <w:p w14:paraId="0E9A852B" w14:textId="77777777" w:rsidR="00431F4F" w:rsidRPr="009F566E" w:rsidRDefault="00431F4F" w:rsidP="00431F4F">
            <w:pPr>
              <w:spacing w:before="20" w:after="20"/>
              <w:jc w:val="right"/>
              <w:rPr>
                <w:noProof/>
                <w:sz w:val="22"/>
              </w:rPr>
            </w:pPr>
            <w:r w:rsidRPr="002C6368">
              <w:rPr>
                <w:noProof/>
                <w:sz w:val="22"/>
              </w:rPr>
              <w:t>1</w:t>
            </w:r>
            <w:r w:rsidRPr="009F566E">
              <w:rPr>
                <w:noProof/>
                <w:sz w:val="22"/>
              </w:rPr>
              <w:t> </w:t>
            </w:r>
            <w:r w:rsidRPr="002C6368">
              <w:rPr>
                <w:noProof/>
                <w:sz w:val="22"/>
              </w:rPr>
              <w:t>743</w:t>
            </w:r>
            <w:r w:rsidRPr="009F566E">
              <w:rPr>
                <w:noProof/>
                <w:sz w:val="22"/>
              </w:rPr>
              <w:t>,</w:t>
            </w:r>
            <w:r w:rsidRPr="002C6368">
              <w:rPr>
                <w:noProof/>
                <w:sz w:val="22"/>
              </w:rPr>
              <w:t>000</w:t>
            </w:r>
          </w:p>
        </w:tc>
        <w:tc>
          <w:tcPr>
            <w:tcW w:w="1131" w:type="dxa"/>
            <w:vAlign w:val="center"/>
          </w:tcPr>
          <w:p w14:paraId="58F38EAC" w14:textId="77777777" w:rsidR="00431F4F" w:rsidRPr="009F566E" w:rsidRDefault="00431F4F" w:rsidP="00431F4F">
            <w:pPr>
              <w:spacing w:before="20" w:after="20"/>
              <w:jc w:val="right"/>
              <w:rPr>
                <w:noProof/>
                <w:sz w:val="22"/>
              </w:rPr>
            </w:pPr>
            <w:r w:rsidRPr="002C6368">
              <w:rPr>
                <w:noProof/>
                <w:sz w:val="22"/>
              </w:rPr>
              <w:t>1</w:t>
            </w:r>
            <w:r w:rsidRPr="009F566E">
              <w:rPr>
                <w:noProof/>
                <w:sz w:val="22"/>
              </w:rPr>
              <w:t> </w:t>
            </w:r>
            <w:r w:rsidRPr="002C6368">
              <w:rPr>
                <w:noProof/>
                <w:sz w:val="22"/>
              </w:rPr>
              <w:t>743</w:t>
            </w:r>
            <w:r w:rsidRPr="009F566E">
              <w:rPr>
                <w:noProof/>
                <w:sz w:val="22"/>
              </w:rPr>
              <w:t>,</w:t>
            </w:r>
            <w:r w:rsidRPr="002C6368">
              <w:rPr>
                <w:noProof/>
                <w:sz w:val="22"/>
              </w:rPr>
              <w:t>000</w:t>
            </w:r>
          </w:p>
        </w:tc>
        <w:tc>
          <w:tcPr>
            <w:tcW w:w="992" w:type="dxa"/>
            <w:vAlign w:val="center"/>
          </w:tcPr>
          <w:p w14:paraId="12B54457" w14:textId="77777777" w:rsidR="00431F4F" w:rsidRPr="009F566E" w:rsidRDefault="00431F4F" w:rsidP="00841AC1">
            <w:pPr>
              <w:spacing w:before="20" w:after="20"/>
              <w:jc w:val="right"/>
              <w:rPr>
                <w:noProof/>
                <w:sz w:val="22"/>
              </w:rPr>
            </w:pPr>
            <w:r w:rsidRPr="009F566E">
              <w:rPr>
                <w:noProof/>
                <w:sz w:val="22"/>
              </w:rPr>
              <w:t>-</w:t>
            </w:r>
          </w:p>
        </w:tc>
        <w:tc>
          <w:tcPr>
            <w:tcW w:w="709" w:type="dxa"/>
            <w:vAlign w:val="center"/>
          </w:tcPr>
          <w:p w14:paraId="4F0B67A4" w14:textId="77777777" w:rsidR="00431F4F" w:rsidRPr="009F566E" w:rsidRDefault="00431F4F" w:rsidP="00431F4F">
            <w:pPr>
              <w:spacing w:before="20" w:after="20"/>
              <w:jc w:val="right"/>
              <w:rPr>
                <w:noProof/>
                <w:sz w:val="22"/>
              </w:rPr>
            </w:pPr>
          </w:p>
        </w:tc>
        <w:tc>
          <w:tcPr>
            <w:tcW w:w="708" w:type="dxa"/>
            <w:vAlign w:val="center"/>
          </w:tcPr>
          <w:p w14:paraId="0393D49A" w14:textId="77777777" w:rsidR="00431F4F" w:rsidRPr="009F566E" w:rsidRDefault="00431F4F" w:rsidP="00431F4F">
            <w:pPr>
              <w:spacing w:before="20" w:after="20"/>
              <w:jc w:val="center"/>
              <w:rPr>
                <w:b/>
                <w:noProof/>
                <w:sz w:val="22"/>
                <w:lang w:eastAsia="en-GB"/>
              </w:rPr>
            </w:pPr>
          </w:p>
        </w:tc>
        <w:tc>
          <w:tcPr>
            <w:tcW w:w="1276" w:type="dxa"/>
            <w:vAlign w:val="center"/>
          </w:tcPr>
          <w:p w14:paraId="594FB923" w14:textId="77777777" w:rsidR="00431F4F" w:rsidRPr="009F566E" w:rsidRDefault="00431F4F" w:rsidP="00431F4F">
            <w:pPr>
              <w:spacing w:before="20" w:after="20"/>
              <w:jc w:val="center"/>
              <w:rPr>
                <w:b/>
                <w:noProof/>
                <w:sz w:val="22"/>
              </w:rPr>
            </w:pPr>
            <w:r w:rsidRPr="009F566E">
              <w:rPr>
                <w:noProof/>
                <w:sz w:val="22"/>
              </w:rPr>
              <w:t>-</w:t>
            </w:r>
            <w:r w:rsidRPr="002C6368">
              <w:rPr>
                <w:noProof/>
                <w:sz w:val="22"/>
              </w:rPr>
              <w:t>3</w:t>
            </w:r>
            <w:r w:rsidRPr="009F566E">
              <w:rPr>
                <w:noProof/>
                <w:sz w:val="22"/>
              </w:rPr>
              <w:t> </w:t>
            </w:r>
            <w:r w:rsidRPr="002C6368">
              <w:rPr>
                <w:noProof/>
                <w:sz w:val="22"/>
              </w:rPr>
              <w:t>486</w:t>
            </w:r>
            <w:r w:rsidRPr="009F566E">
              <w:rPr>
                <w:noProof/>
                <w:sz w:val="22"/>
              </w:rPr>
              <w:t>,</w:t>
            </w:r>
            <w:r w:rsidRPr="002C6368">
              <w:rPr>
                <w:noProof/>
                <w:sz w:val="22"/>
              </w:rPr>
              <w:t>000</w:t>
            </w:r>
          </w:p>
        </w:tc>
        <w:tc>
          <w:tcPr>
            <w:tcW w:w="1843" w:type="dxa"/>
            <w:vAlign w:val="center"/>
          </w:tcPr>
          <w:p w14:paraId="627E5F76" w14:textId="77777777" w:rsidR="00431F4F" w:rsidRPr="009F566E" w:rsidRDefault="00431F4F" w:rsidP="00431F4F">
            <w:pPr>
              <w:spacing w:before="20" w:after="20"/>
              <w:jc w:val="center"/>
              <w:rPr>
                <w:b/>
                <w:noProof/>
                <w:sz w:val="22"/>
              </w:rPr>
            </w:pPr>
            <w:r w:rsidRPr="002C6368">
              <w:rPr>
                <w:b/>
                <w:noProof/>
                <w:sz w:val="22"/>
              </w:rPr>
              <w:t>0</w:t>
            </w:r>
            <w:r w:rsidRPr="009F566E">
              <w:rPr>
                <w:b/>
                <w:noProof/>
                <w:sz w:val="22"/>
              </w:rPr>
              <w:t>,</w:t>
            </w:r>
            <w:r w:rsidRPr="002C6368">
              <w:rPr>
                <w:b/>
                <w:noProof/>
                <w:sz w:val="22"/>
              </w:rPr>
              <w:t>000</w:t>
            </w:r>
          </w:p>
        </w:tc>
      </w:tr>
    </w:tbl>
    <w:p w14:paraId="00F0233D" w14:textId="77777777" w:rsidR="00C87E1E" w:rsidRPr="009F566E" w:rsidRDefault="00C87E1E" w:rsidP="00C87E1E">
      <w:pPr>
        <w:rPr>
          <w:noProof/>
        </w:rPr>
      </w:pPr>
      <w:r w:rsidRPr="009F566E">
        <w:rPr>
          <w:noProof/>
        </w:rPr>
        <w:t xml:space="preserve"> </w:t>
      </w:r>
      <w:r w:rsidRPr="009F566E">
        <w:rPr>
          <w:noProof/>
        </w:rPr>
        <w:br/>
      </w: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20"/>
        <w:gridCol w:w="567"/>
        <w:gridCol w:w="709"/>
        <w:gridCol w:w="1134"/>
        <w:gridCol w:w="1134"/>
        <w:gridCol w:w="992"/>
        <w:gridCol w:w="709"/>
        <w:gridCol w:w="708"/>
        <w:gridCol w:w="1276"/>
        <w:gridCol w:w="1843"/>
      </w:tblGrid>
      <w:tr w:rsidR="00841AC1" w:rsidRPr="009F566E" w14:paraId="2CF7FCDD" w14:textId="77777777" w:rsidTr="00A27D48">
        <w:trPr>
          <w:trHeight w:val="277"/>
        </w:trPr>
        <w:tc>
          <w:tcPr>
            <w:tcW w:w="3960" w:type="dxa"/>
            <w:vMerge w:val="restart"/>
            <w:vAlign w:val="center"/>
          </w:tcPr>
          <w:p w14:paraId="17848FD6" w14:textId="77777777" w:rsidR="00841AC1" w:rsidRPr="009F566E" w:rsidRDefault="00841AC1" w:rsidP="00841AC1">
            <w:pPr>
              <w:spacing w:before="20" w:after="20"/>
              <w:rPr>
                <w:noProof/>
              </w:rPr>
            </w:pPr>
            <w:r w:rsidRPr="009F566E">
              <w:rPr>
                <w:noProof/>
              </w:rPr>
              <w:br w:type="page"/>
            </w:r>
            <w:r w:rsidRPr="009F566E">
              <w:rPr>
                <w:noProof/>
                <w:sz w:val="21"/>
              </w:rPr>
              <w:sym w:font="Wingdings" w:char="F09F"/>
            </w:r>
            <w:r w:rsidRPr="009F566E">
              <w:rPr>
                <w:noProof/>
                <w:sz w:val="21"/>
              </w:rPr>
              <w:t xml:space="preserve"> Operative Mittel INSGESAMT </w:t>
            </w:r>
          </w:p>
        </w:tc>
        <w:tc>
          <w:tcPr>
            <w:tcW w:w="1220" w:type="dxa"/>
            <w:vAlign w:val="center"/>
          </w:tcPr>
          <w:p w14:paraId="538ED2D1" w14:textId="77777777" w:rsidR="00841AC1" w:rsidRPr="009F566E" w:rsidRDefault="00841AC1" w:rsidP="00841AC1">
            <w:pPr>
              <w:spacing w:beforeLines="20" w:before="48" w:afterLines="20" w:after="48"/>
              <w:rPr>
                <w:noProof/>
                <w:sz w:val="18"/>
              </w:rPr>
            </w:pPr>
            <w:r w:rsidRPr="009F566E">
              <w:rPr>
                <w:noProof/>
                <w:sz w:val="18"/>
              </w:rPr>
              <w:t>Verpflichtungen</w:t>
            </w:r>
          </w:p>
        </w:tc>
        <w:tc>
          <w:tcPr>
            <w:tcW w:w="567" w:type="dxa"/>
            <w:vAlign w:val="center"/>
          </w:tcPr>
          <w:p w14:paraId="293A8B9C" w14:textId="77777777" w:rsidR="00841AC1" w:rsidRPr="009F566E" w:rsidRDefault="00841AC1" w:rsidP="00841AC1">
            <w:pPr>
              <w:spacing w:beforeLines="20" w:before="48" w:afterLines="20" w:after="48"/>
              <w:jc w:val="center"/>
              <w:rPr>
                <w:noProof/>
                <w:sz w:val="14"/>
              </w:rPr>
            </w:pPr>
            <w:r w:rsidRPr="009F566E">
              <w:rPr>
                <w:noProof/>
                <w:sz w:val="14"/>
              </w:rPr>
              <w:t>(</w:t>
            </w:r>
            <w:r w:rsidRPr="002C6368">
              <w:rPr>
                <w:noProof/>
                <w:sz w:val="14"/>
              </w:rPr>
              <w:t>4</w:t>
            </w:r>
            <w:r w:rsidRPr="009F566E">
              <w:rPr>
                <w:noProof/>
                <w:sz w:val="14"/>
              </w:rPr>
              <w:t>)</w:t>
            </w:r>
          </w:p>
        </w:tc>
        <w:tc>
          <w:tcPr>
            <w:tcW w:w="709" w:type="dxa"/>
            <w:vAlign w:val="center"/>
          </w:tcPr>
          <w:p w14:paraId="460A9C37" w14:textId="77777777" w:rsidR="00841AC1" w:rsidRPr="009F566E" w:rsidRDefault="00841AC1" w:rsidP="00841AC1">
            <w:pPr>
              <w:spacing w:before="20" w:after="20"/>
              <w:jc w:val="right"/>
              <w:rPr>
                <w:noProof/>
                <w:sz w:val="20"/>
                <w:lang w:eastAsia="en-GB"/>
              </w:rPr>
            </w:pPr>
          </w:p>
        </w:tc>
        <w:tc>
          <w:tcPr>
            <w:tcW w:w="1134" w:type="dxa"/>
            <w:vAlign w:val="center"/>
          </w:tcPr>
          <w:p w14:paraId="2017BAD5" w14:textId="77777777" w:rsidR="00841AC1" w:rsidRPr="009F566E" w:rsidRDefault="00841AC1" w:rsidP="00841AC1">
            <w:pPr>
              <w:spacing w:before="20" w:after="20"/>
              <w:jc w:val="right"/>
              <w:rPr>
                <w:noProof/>
                <w:sz w:val="20"/>
                <w:lang w:eastAsia="en-GB"/>
              </w:rPr>
            </w:pPr>
          </w:p>
        </w:tc>
        <w:tc>
          <w:tcPr>
            <w:tcW w:w="1134" w:type="dxa"/>
            <w:vAlign w:val="center"/>
          </w:tcPr>
          <w:p w14:paraId="4967307B" w14:textId="77777777" w:rsidR="00841AC1" w:rsidRPr="009F566E" w:rsidRDefault="00841AC1" w:rsidP="00841AC1">
            <w:pPr>
              <w:spacing w:before="20" w:after="20"/>
              <w:jc w:val="right"/>
              <w:rPr>
                <w:noProof/>
                <w:sz w:val="20"/>
                <w:lang w:eastAsia="en-GB"/>
              </w:rPr>
            </w:pPr>
          </w:p>
        </w:tc>
        <w:tc>
          <w:tcPr>
            <w:tcW w:w="992" w:type="dxa"/>
            <w:vAlign w:val="center"/>
          </w:tcPr>
          <w:p w14:paraId="16BBB3E1" w14:textId="77777777" w:rsidR="00841AC1" w:rsidRPr="009F566E" w:rsidRDefault="00841AC1" w:rsidP="00841AC1">
            <w:pPr>
              <w:spacing w:before="20" w:after="20"/>
              <w:jc w:val="right"/>
              <w:rPr>
                <w:noProof/>
                <w:sz w:val="20"/>
                <w:lang w:eastAsia="en-GB"/>
              </w:rPr>
            </w:pPr>
          </w:p>
        </w:tc>
        <w:tc>
          <w:tcPr>
            <w:tcW w:w="709" w:type="dxa"/>
            <w:vAlign w:val="center"/>
          </w:tcPr>
          <w:p w14:paraId="39F0865F" w14:textId="77777777" w:rsidR="00841AC1" w:rsidRPr="009F566E" w:rsidRDefault="00841AC1" w:rsidP="00841AC1">
            <w:pPr>
              <w:spacing w:before="20" w:after="20"/>
              <w:jc w:val="right"/>
              <w:rPr>
                <w:noProof/>
                <w:sz w:val="20"/>
                <w:lang w:eastAsia="en-GB"/>
              </w:rPr>
            </w:pPr>
          </w:p>
        </w:tc>
        <w:tc>
          <w:tcPr>
            <w:tcW w:w="708" w:type="dxa"/>
            <w:vAlign w:val="center"/>
          </w:tcPr>
          <w:p w14:paraId="5B5FB6DD" w14:textId="77777777" w:rsidR="00841AC1" w:rsidRPr="009F566E" w:rsidRDefault="00841AC1" w:rsidP="00841AC1">
            <w:pPr>
              <w:spacing w:before="20" w:after="20"/>
              <w:jc w:val="right"/>
              <w:rPr>
                <w:b/>
                <w:noProof/>
                <w:sz w:val="20"/>
                <w:lang w:eastAsia="en-GB"/>
              </w:rPr>
            </w:pPr>
          </w:p>
        </w:tc>
        <w:tc>
          <w:tcPr>
            <w:tcW w:w="1276" w:type="dxa"/>
            <w:vAlign w:val="center"/>
          </w:tcPr>
          <w:p w14:paraId="01F719A6" w14:textId="77777777" w:rsidR="00841AC1" w:rsidRPr="009F566E" w:rsidRDefault="00841AC1" w:rsidP="00841AC1">
            <w:pPr>
              <w:spacing w:before="20" w:after="20"/>
              <w:jc w:val="right"/>
              <w:rPr>
                <w:b/>
                <w:noProof/>
                <w:sz w:val="20"/>
                <w:lang w:eastAsia="en-GB"/>
              </w:rPr>
            </w:pPr>
          </w:p>
        </w:tc>
        <w:tc>
          <w:tcPr>
            <w:tcW w:w="1843" w:type="dxa"/>
            <w:vAlign w:val="center"/>
          </w:tcPr>
          <w:p w14:paraId="7F9FB537" w14:textId="77777777" w:rsidR="00841AC1" w:rsidRPr="009F566E" w:rsidRDefault="00841AC1" w:rsidP="00841AC1">
            <w:pPr>
              <w:spacing w:before="20" w:after="20"/>
              <w:jc w:val="right"/>
              <w:rPr>
                <w:b/>
                <w:noProof/>
                <w:sz w:val="20"/>
                <w:lang w:eastAsia="en-GB"/>
              </w:rPr>
            </w:pPr>
          </w:p>
        </w:tc>
      </w:tr>
      <w:tr w:rsidR="00841AC1" w:rsidRPr="009F566E" w14:paraId="00E3E8A3" w14:textId="77777777" w:rsidTr="00A27D48">
        <w:tc>
          <w:tcPr>
            <w:tcW w:w="3960" w:type="dxa"/>
            <w:vMerge/>
          </w:tcPr>
          <w:p w14:paraId="40AC7AD5" w14:textId="77777777" w:rsidR="00841AC1" w:rsidRPr="009F566E" w:rsidRDefault="00841AC1" w:rsidP="00841AC1">
            <w:pPr>
              <w:jc w:val="center"/>
              <w:rPr>
                <w:noProof/>
                <w:sz w:val="20"/>
                <w:lang w:eastAsia="en-GB"/>
              </w:rPr>
            </w:pPr>
          </w:p>
        </w:tc>
        <w:tc>
          <w:tcPr>
            <w:tcW w:w="1220" w:type="dxa"/>
            <w:vAlign w:val="center"/>
          </w:tcPr>
          <w:p w14:paraId="33F12156" w14:textId="77777777" w:rsidR="00841AC1" w:rsidRPr="009F566E" w:rsidRDefault="00841AC1" w:rsidP="00841AC1">
            <w:pPr>
              <w:spacing w:beforeLines="20" w:before="48" w:afterLines="20" w:after="48"/>
              <w:rPr>
                <w:noProof/>
                <w:sz w:val="18"/>
              </w:rPr>
            </w:pPr>
            <w:r w:rsidRPr="009F566E">
              <w:rPr>
                <w:noProof/>
                <w:sz w:val="18"/>
              </w:rPr>
              <w:t>Zahlungen</w:t>
            </w:r>
          </w:p>
        </w:tc>
        <w:tc>
          <w:tcPr>
            <w:tcW w:w="567" w:type="dxa"/>
            <w:vAlign w:val="center"/>
          </w:tcPr>
          <w:p w14:paraId="44989F8F" w14:textId="77777777" w:rsidR="00841AC1" w:rsidRPr="009F566E" w:rsidRDefault="00841AC1" w:rsidP="00841AC1">
            <w:pPr>
              <w:spacing w:beforeLines="20" w:before="48" w:afterLines="20" w:after="48"/>
              <w:jc w:val="center"/>
              <w:rPr>
                <w:noProof/>
                <w:sz w:val="14"/>
              </w:rPr>
            </w:pPr>
            <w:r w:rsidRPr="009F566E">
              <w:rPr>
                <w:noProof/>
                <w:sz w:val="14"/>
              </w:rPr>
              <w:t>(</w:t>
            </w:r>
            <w:r w:rsidRPr="002C6368">
              <w:rPr>
                <w:noProof/>
                <w:sz w:val="14"/>
              </w:rPr>
              <w:t>5</w:t>
            </w:r>
            <w:r w:rsidRPr="009F566E">
              <w:rPr>
                <w:noProof/>
                <w:sz w:val="14"/>
              </w:rPr>
              <w:t>)</w:t>
            </w:r>
          </w:p>
        </w:tc>
        <w:tc>
          <w:tcPr>
            <w:tcW w:w="709" w:type="dxa"/>
            <w:vAlign w:val="center"/>
          </w:tcPr>
          <w:p w14:paraId="2E2DF715" w14:textId="77777777" w:rsidR="00841AC1" w:rsidRPr="009F566E" w:rsidRDefault="00841AC1" w:rsidP="00841AC1">
            <w:pPr>
              <w:spacing w:before="20" w:after="20"/>
              <w:jc w:val="right"/>
              <w:rPr>
                <w:noProof/>
                <w:sz w:val="20"/>
                <w:lang w:eastAsia="en-GB"/>
              </w:rPr>
            </w:pPr>
          </w:p>
        </w:tc>
        <w:tc>
          <w:tcPr>
            <w:tcW w:w="1134" w:type="dxa"/>
            <w:vAlign w:val="center"/>
          </w:tcPr>
          <w:p w14:paraId="346CBB12" w14:textId="77777777" w:rsidR="00841AC1" w:rsidRPr="009F566E" w:rsidRDefault="00841AC1" w:rsidP="00841AC1">
            <w:pPr>
              <w:spacing w:before="20" w:after="20"/>
              <w:jc w:val="right"/>
              <w:rPr>
                <w:noProof/>
                <w:sz w:val="20"/>
                <w:lang w:eastAsia="en-GB"/>
              </w:rPr>
            </w:pPr>
          </w:p>
        </w:tc>
        <w:tc>
          <w:tcPr>
            <w:tcW w:w="1134" w:type="dxa"/>
            <w:vAlign w:val="center"/>
          </w:tcPr>
          <w:p w14:paraId="4A515E3B" w14:textId="77777777" w:rsidR="00841AC1" w:rsidRPr="009F566E" w:rsidRDefault="00841AC1" w:rsidP="00841AC1">
            <w:pPr>
              <w:spacing w:before="20" w:after="20"/>
              <w:jc w:val="right"/>
              <w:rPr>
                <w:noProof/>
                <w:sz w:val="20"/>
                <w:lang w:eastAsia="en-GB"/>
              </w:rPr>
            </w:pPr>
          </w:p>
        </w:tc>
        <w:tc>
          <w:tcPr>
            <w:tcW w:w="992" w:type="dxa"/>
            <w:vAlign w:val="center"/>
          </w:tcPr>
          <w:p w14:paraId="2E98DC38" w14:textId="77777777" w:rsidR="00841AC1" w:rsidRPr="009F566E" w:rsidRDefault="00841AC1" w:rsidP="00841AC1">
            <w:pPr>
              <w:spacing w:before="20" w:after="20"/>
              <w:jc w:val="right"/>
              <w:rPr>
                <w:noProof/>
                <w:sz w:val="20"/>
                <w:lang w:eastAsia="en-GB"/>
              </w:rPr>
            </w:pPr>
          </w:p>
        </w:tc>
        <w:tc>
          <w:tcPr>
            <w:tcW w:w="709" w:type="dxa"/>
            <w:vAlign w:val="center"/>
          </w:tcPr>
          <w:p w14:paraId="39452191" w14:textId="77777777" w:rsidR="00841AC1" w:rsidRPr="009F566E" w:rsidRDefault="00841AC1" w:rsidP="00841AC1">
            <w:pPr>
              <w:spacing w:before="20" w:after="20"/>
              <w:jc w:val="right"/>
              <w:rPr>
                <w:noProof/>
                <w:sz w:val="20"/>
                <w:lang w:eastAsia="en-GB"/>
              </w:rPr>
            </w:pPr>
          </w:p>
        </w:tc>
        <w:tc>
          <w:tcPr>
            <w:tcW w:w="708" w:type="dxa"/>
            <w:vAlign w:val="center"/>
          </w:tcPr>
          <w:p w14:paraId="2C258D9F" w14:textId="77777777" w:rsidR="00841AC1" w:rsidRPr="009F566E" w:rsidRDefault="00841AC1" w:rsidP="00841AC1">
            <w:pPr>
              <w:spacing w:before="20" w:after="20"/>
              <w:jc w:val="right"/>
              <w:rPr>
                <w:b/>
                <w:noProof/>
                <w:sz w:val="20"/>
                <w:lang w:eastAsia="en-GB"/>
              </w:rPr>
            </w:pPr>
          </w:p>
        </w:tc>
        <w:tc>
          <w:tcPr>
            <w:tcW w:w="1276" w:type="dxa"/>
            <w:vAlign w:val="center"/>
          </w:tcPr>
          <w:p w14:paraId="37B6CD5A" w14:textId="77777777" w:rsidR="00841AC1" w:rsidRPr="009F566E" w:rsidRDefault="00841AC1" w:rsidP="00841AC1">
            <w:pPr>
              <w:spacing w:before="20" w:after="20"/>
              <w:jc w:val="right"/>
              <w:rPr>
                <w:b/>
                <w:noProof/>
                <w:sz w:val="20"/>
                <w:lang w:eastAsia="en-GB"/>
              </w:rPr>
            </w:pPr>
          </w:p>
        </w:tc>
        <w:tc>
          <w:tcPr>
            <w:tcW w:w="1843" w:type="dxa"/>
            <w:vAlign w:val="center"/>
          </w:tcPr>
          <w:p w14:paraId="7AF0BF32" w14:textId="77777777" w:rsidR="00841AC1" w:rsidRPr="009F566E" w:rsidRDefault="00841AC1" w:rsidP="00841AC1">
            <w:pPr>
              <w:spacing w:before="20" w:after="20"/>
              <w:jc w:val="right"/>
              <w:rPr>
                <w:b/>
                <w:noProof/>
                <w:sz w:val="20"/>
                <w:lang w:eastAsia="en-GB"/>
              </w:rPr>
            </w:pPr>
          </w:p>
        </w:tc>
      </w:tr>
      <w:tr w:rsidR="00841AC1" w:rsidRPr="009F566E" w14:paraId="77F5BA94" w14:textId="77777777" w:rsidTr="00A27D48">
        <w:trPr>
          <w:trHeight w:val="533"/>
        </w:trPr>
        <w:tc>
          <w:tcPr>
            <w:tcW w:w="5180" w:type="dxa"/>
            <w:gridSpan w:val="2"/>
            <w:vAlign w:val="center"/>
          </w:tcPr>
          <w:p w14:paraId="42607847" w14:textId="77777777" w:rsidR="00841AC1" w:rsidRPr="009F566E" w:rsidRDefault="00841AC1" w:rsidP="00841AC1">
            <w:pPr>
              <w:spacing w:beforeLines="20" w:before="48" w:afterLines="20" w:after="48"/>
              <w:rPr>
                <w:noProof/>
              </w:rPr>
            </w:pPr>
            <w:r w:rsidRPr="009F566E">
              <w:rPr>
                <w:noProof/>
                <w:sz w:val="21"/>
              </w:rPr>
              <w:sym w:font="Wingdings" w:char="F09F"/>
            </w:r>
            <w:r w:rsidRPr="009F566E">
              <w:rPr>
                <w:noProof/>
                <w:sz w:val="21"/>
              </w:rPr>
              <w:t xml:space="preserve"> Aus der Dotation bestimmter spezifischer Programme finanzierte Verwaltungsausgaben INSGESAMT </w:t>
            </w:r>
          </w:p>
        </w:tc>
        <w:tc>
          <w:tcPr>
            <w:tcW w:w="567" w:type="dxa"/>
            <w:vAlign w:val="center"/>
          </w:tcPr>
          <w:p w14:paraId="09F30514" w14:textId="77777777" w:rsidR="00841AC1" w:rsidRPr="009F566E" w:rsidRDefault="00841AC1" w:rsidP="00841AC1">
            <w:pPr>
              <w:spacing w:beforeLines="20" w:before="48" w:afterLines="20" w:after="48"/>
              <w:jc w:val="center"/>
              <w:rPr>
                <w:noProof/>
                <w:sz w:val="14"/>
              </w:rPr>
            </w:pPr>
            <w:r w:rsidRPr="009F566E">
              <w:rPr>
                <w:noProof/>
                <w:sz w:val="14"/>
              </w:rPr>
              <w:t>(</w:t>
            </w:r>
            <w:r w:rsidRPr="002C6368">
              <w:rPr>
                <w:noProof/>
                <w:sz w:val="14"/>
              </w:rPr>
              <w:t>6</w:t>
            </w:r>
            <w:r w:rsidRPr="009F566E">
              <w:rPr>
                <w:noProof/>
                <w:sz w:val="14"/>
              </w:rPr>
              <w:t>)</w:t>
            </w:r>
          </w:p>
        </w:tc>
        <w:tc>
          <w:tcPr>
            <w:tcW w:w="709" w:type="dxa"/>
            <w:vAlign w:val="center"/>
          </w:tcPr>
          <w:p w14:paraId="4B168191" w14:textId="77777777" w:rsidR="00841AC1" w:rsidRPr="009F566E" w:rsidRDefault="00841AC1" w:rsidP="00841AC1">
            <w:pPr>
              <w:spacing w:before="20" w:after="20"/>
              <w:jc w:val="right"/>
              <w:rPr>
                <w:b/>
                <w:noProof/>
                <w:sz w:val="20"/>
                <w:lang w:eastAsia="en-GB"/>
              </w:rPr>
            </w:pPr>
          </w:p>
        </w:tc>
        <w:tc>
          <w:tcPr>
            <w:tcW w:w="1134" w:type="dxa"/>
            <w:vAlign w:val="center"/>
          </w:tcPr>
          <w:p w14:paraId="39758572" w14:textId="77777777" w:rsidR="00841AC1" w:rsidRPr="009F566E" w:rsidRDefault="00841AC1" w:rsidP="00841AC1">
            <w:pPr>
              <w:spacing w:before="20" w:after="20"/>
              <w:jc w:val="right"/>
              <w:rPr>
                <w:b/>
                <w:noProof/>
                <w:sz w:val="20"/>
                <w:lang w:eastAsia="en-GB"/>
              </w:rPr>
            </w:pPr>
          </w:p>
        </w:tc>
        <w:tc>
          <w:tcPr>
            <w:tcW w:w="1134" w:type="dxa"/>
            <w:vAlign w:val="center"/>
          </w:tcPr>
          <w:p w14:paraId="6C8D4439" w14:textId="77777777" w:rsidR="00841AC1" w:rsidRPr="009F566E" w:rsidRDefault="00841AC1" w:rsidP="00841AC1">
            <w:pPr>
              <w:spacing w:before="20" w:after="20"/>
              <w:jc w:val="right"/>
              <w:rPr>
                <w:b/>
                <w:noProof/>
                <w:sz w:val="20"/>
                <w:lang w:eastAsia="en-GB"/>
              </w:rPr>
            </w:pPr>
          </w:p>
        </w:tc>
        <w:tc>
          <w:tcPr>
            <w:tcW w:w="992" w:type="dxa"/>
            <w:vAlign w:val="center"/>
          </w:tcPr>
          <w:p w14:paraId="027F286F" w14:textId="77777777" w:rsidR="00841AC1" w:rsidRPr="009F566E" w:rsidRDefault="00841AC1" w:rsidP="00841AC1">
            <w:pPr>
              <w:spacing w:before="20" w:after="20"/>
              <w:jc w:val="right"/>
              <w:rPr>
                <w:b/>
                <w:noProof/>
                <w:sz w:val="20"/>
                <w:lang w:eastAsia="en-GB"/>
              </w:rPr>
            </w:pPr>
          </w:p>
        </w:tc>
        <w:tc>
          <w:tcPr>
            <w:tcW w:w="709" w:type="dxa"/>
            <w:vAlign w:val="center"/>
          </w:tcPr>
          <w:p w14:paraId="633EE930" w14:textId="77777777" w:rsidR="00841AC1" w:rsidRPr="009F566E" w:rsidRDefault="00841AC1" w:rsidP="00841AC1">
            <w:pPr>
              <w:spacing w:before="20" w:after="20"/>
              <w:jc w:val="right"/>
              <w:rPr>
                <w:b/>
                <w:noProof/>
                <w:sz w:val="20"/>
                <w:lang w:eastAsia="en-GB"/>
              </w:rPr>
            </w:pPr>
          </w:p>
        </w:tc>
        <w:tc>
          <w:tcPr>
            <w:tcW w:w="708" w:type="dxa"/>
            <w:vAlign w:val="center"/>
          </w:tcPr>
          <w:p w14:paraId="7F84BF7C" w14:textId="77777777" w:rsidR="00841AC1" w:rsidRPr="009F566E" w:rsidRDefault="00841AC1" w:rsidP="00841AC1">
            <w:pPr>
              <w:spacing w:before="20" w:after="20"/>
              <w:jc w:val="right"/>
              <w:rPr>
                <w:b/>
                <w:noProof/>
                <w:sz w:val="20"/>
                <w:lang w:eastAsia="en-GB"/>
              </w:rPr>
            </w:pPr>
          </w:p>
        </w:tc>
        <w:tc>
          <w:tcPr>
            <w:tcW w:w="1276" w:type="dxa"/>
            <w:vAlign w:val="center"/>
          </w:tcPr>
          <w:p w14:paraId="22B30237" w14:textId="77777777" w:rsidR="00841AC1" w:rsidRPr="009F566E" w:rsidRDefault="00841AC1" w:rsidP="00841AC1">
            <w:pPr>
              <w:spacing w:before="20" w:after="20"/>
              <w:jc w:val="right"/>
              <w:rPr>
                <w:b/>
                <w:noProof/>
                <w:sz w:val="20"/>
                <w:lang w:eastAsia="en-GB"/>
              </w:rPr>
            </w:pPr>
          </w:p>
        </w:tc>
        <w:tc>
          <w:tcPr>
            <w:tcW w:w="1843" w:type="dxa"/>
            <w:vAlign w:val="center"/>
          </w:tcPr>
          <w:p w14:paraId="4868CFB9" w14:textId="77777777" w:rsidR="00841AC1" w:rsidRPr="009F566E" w:rsidRDefault="00841AC1" w:rsidP="00841AC1">
            <w:pPr>
              <w:spacing w:before="20" w:after="20"/>
              <w:jc w:val="right"/>
              <w:rPr>
                <w:b/>
                <w:noProof/>
                <w:sz w:val="20"/>
                <w:lang w:eastAsia="en-GB"/>
              </w:rPr>
            </w:pPr>
          </w:p>
        </w:tc>
      </w:tr>
      <w:tr w:rsidR="00841AC1" w:rsidRPr="009F566E" w14:paraId="0CBA845A" w14:textId="77777777" w:rsidTr="00A27D48">
        <w:tc>
          <w:tcPr>
            <w:tcW w:w="3960" w:type="dxa"/>
            <w:vMerge w:val="restart"/>
            <w:shd w:val="thinDiagStripe" w:color="C0C0C0" w:fill="auto"/>
            <w:vAlign w:val="center"/>
          </w:tcPr>
          <w:p w14:paraId="2903BFD2" w14:textId="77777777" w:rsidR="00841AC1" w:rsidRPr="009F566E" w:rsidRDefault="00841AC1" w:rsidP="00841AC1">
            <w:pPr>
              <w:jc w:val="center"/>
              <w:rPr>
                <w:b/>
                <w:noProof/>
              </w:rPr>
            </w:pPr>
            <w:r w:rsidRPr="009F566E">
              <w:rPr>
                <w:b/>
                <w:noProof/>
                <w:sz w:val="22"/>
              </w:rPr>
              <w:t xml:space="preserve">Mittel INSGESAMT </w:t>
            </w:r>
            <w:r w:rsidRPr="009F566E">
              <w:rPr>
                <w:b/>
                <w:noProof/>
                <w:sz w:val="22"/>
              </w:rPr>
              <w:br/>
              <w:t>unter der Rubrik </w:t>
            </w:r>
            <w:r w:rsidRPr="002C6368">
              <w:rPr>
                <w:b/>
                <w:noProof/>
                <w:sz w:val="22"/>
              </w:rPr>
              <w:t>2</w:t>
            </w:r>
            <w:r w:rsidRPr="009F566E">
              <w:rPr>
                <w:b/>
                <w:noProof/>
                <w:sz w:val="22"/>
              </w:rPr>
              <w:t>a</w:t>
            </w:r>
            <w:r w:rsidRPr="009F566E">
              <w:rPr>
                <w:noProof/>
              </w:rPr>
              <w:t xml:space="preserve"> </w:t>
            </w:r>
            <w:r w:rsidRPr="009F566E">
              <w:rPr>
                <w:noProof/>
              </w:rPr>
              <w:br/>
            </w:r>
            <w:r w:rsidRPr="009F566E">
              <w:rPr>
                <w:noProof/>
                <w:sz w:val="22"/>
              </w:rPr>
              <w:t>des Mehrjährigen Finanzrahmens</w:t>
            </w:r>
          </w:p>
        </w:tc>
        <w:tc>
          <w:tcPr>
            <w:tcW w:w="1220" w:type="dxa"/>
            <w:vAlign w:val="center"/>
          </w:tcPr>
          <w:p w14:paraId="0FE29F1A" w14:textId="77777777" w:rsidR="00841AC1" w:rsidRPr="009F566E" w:rsidRDefault="00841AC1" w:rsidP="00841AC1">
            <w:pPr>
              <w:rPr>
                <w:noProof/>
                <w:sz w:val="18"/>
              </w:rPr>
            </w:pPr>
            <w:r w:rsidRPr="009F566E">
              <w:rPr>
                <w:noProof/>
                <w:sz w:val="18"/>
              </w:rPr>
              <w:t>Verpflichtungen</w:t>
            </w:r>
          </w:p>
        </w:tc>
        <w:tc>
          <w:tcPr>
            <w:tcW w:w="567" w:type="dxa"/>
            <w:vAlign w:val="center"/>
          </w:tcPr>
          <w:p w14:paraId="03FE6AB0" w14:textId="77777777" w:rsidR="00841AC1" w:rsidRPr="009F566E" w:rsidRDefault="00841AC1" w:rsidP="00841AC1">
            <w:pPr>
              <w:jc w:val="center"/>
              <w:rPr>
                <w:noProof/>
                <w:sz w:val="14"/>
              </w:rPr>
            </w:pPr>
            <w:r w:rsidRPr="009F566E">
              <w:rPr>
                <w:noProof/>
                <w:sz w:val="14"/>
              </w:rPr>
              <w:t>=</w:t>
            </w:r>
            <w:r w:rsidRPr="002C6368">
              <w:rPr>
                <w:noProof/>
                <w:sz w:val="14"/>
              </w:rPr>
              <w:t>4</w:t>
            </w:r>
            <w:r w:rsidRPr="009F566E">
              <w:rPr>
                <w:noProof/>
                <w:sz w:val="14"/>
              </w:rPr>
              <w:t xml:space="preserve">+ </w:t>
            </w:r>
            <w:r w:rsidRPr="002C6368">
              <w:rPr>
                <w:noProof/>
                <w:sz w:val="14"/>
              </w:rPr>
              <w:t>6</w:t>
            </w:r>
          </w:p>
        </w:tc>
        <w:tc>
          <w:tcPr>
            <w:tcW w:w="709" w:type="dxa"/>
            <w:vAlign w:val="center"/>
          </w:tcPr>
          <w:p w14:paraId="524F84EE" w14:textId="77777777" w:rsidR="00841AC1" w:rsidRPr="009F566E" w:rsidRDefault="00841AC1" w:rsidP="00841AC1">
            <w:pPr>
              <w:spacing w:before="20" w:after="20"/>
              <w:jc w:val="right"/>
              <w:rPr>
                <w:noProof/>
                <w:sz w:val="22"/>
                <w:lang w:eastAsia="en-GB"/>
              </w:rPr>
            </w:pPr>
          </w:p>
        </w:tc>
        <w:tc>
          <w:tcPr>
            <w:tcW w:w="1134" w:type="dxa"/>
            <w:vAlign w:val="center"/>
          </w:tcPr>
          <w:p w14:paraId="4FAB71A1" w14:textId="77777777" w:rsidR="00841AC1" w:rsidRPr="009F566E" w:rsidRDefault="00841AC1" w:rsidP="00841AC1">
            <w:pPr>
              <w:spacing w:before="20" w:after="20"/>
              <w:jc w:val="right"/>
              <w:rPr>
                <w:noProof/>
                <w:sz w:val="22"/>
                <w:lang w:eastAsia="en-GB"/>
              </w:rPr>
            </w:pPr>
          </w:p>
        </w:tc>
        <w:tc>
          <w:tcPr>
            <w:tcW w:w="1134" w:type="dxa"/>
            <w:vAlign w:val="center"/>
          </w:tcPr>
          <w:p w14:paraId="7F331F27" w14:textId="77777777" w:rsidR="00841AC1" w:rsidRPr="009F566E" w:rsidRDefault="00841AC1" w:rsidP="00841AC1">
            <w:pPr>
              <w:spacing w:before="20" w:after="20"/>
              <w:jc w:val="right"/>
              <w:rPr>
                <w:noProof/>
                <w:sz w:val="22"/>
                <w:lang w:eastAsia="en-GB"/>
              </w:rPr>
            </w:pPr>
          </w:p>
        </w:tc>
        <w:tc>
          <w:tcPr>
            <w:tcW w:w="992" w:type="dxa"/>
            <w:vAlign w:val="center"/>
          </w:tcPr>
          <w:p w14:paraId="673F0A0F" w14:textId="77777777" w:rsidR="00841AC1" w:rsidRPr="009F566E" w:rsidRDefault="00841AC1" w:rsidP="00841AC1">
            <w:pPr>
              <w:spacing w:before="20" w:after="20"/>
              <w:jc w:val="right"/>
              <w:rPr>
                <w:noProof/>
                <w:sz w:val="22"/>
                <w:lang w:eastAsia="en-GB"/>
              </w:rPr>
            </w:pPr>
          </w:p>
        </w:tc>
        <w:tc>
          <w:tcPr>
            <w:tcW w:w="709" w:type="dxa"/>
            <w:vAlign w:val="center"/>
          </w:tcPr>
          <w:p w14:paraId="7871DB0E" w14:textId="77777777" w:rsidR="00841AC1" w:rsidRPr="009F566E" w:rsidRDefault="00841AC1" w:rsidP="00841AC1">
            <w:pPr>
              <w:spacing w:before="20" w:after="20"/>
              <w:jc w:val="right"/>
              <w:rPr>
                <w:noProof/>
                <w:sz w:val="22"/>
                <w:lang w:eastAsia="en-GB"/>
              </w:rPr>
            </w:pPr>
          </w:p>
        </w:tc>
        <w:tc>
          <w:tcPr>
            <w:tcW w:w="708" w:type="dxa"/>
            <w:vAlign w:val="center"/>
          </w:tcPr>
          <w:p w14:paraId="42EDA0B8" w14:textId="77777777" w:rsidR="00841AC1" w:rsidRPr="009F566E" w:rsidRDefault="00841AC1" w:rsidP="00841AC1">
            <w:pPr>
              <w:spacing w:before="20" w:after="20"/>
              <w:jc w:val="center"/>
              <w:rPr>
                <w:b/>
                <w:noProof/>
                <w:sz w:val="22"/>
                <w:lang w:eastAsia="en-GB"/>
              </w:rPr>
            </w:pPr>
          </w:p>
        </w:tc>
        <w:tc>
          <w:tcPr>
            <w:tcW w:w="1276" w:type="dxa"/>
            <w:vAlign w:val="center"/>
          </w:tcPr>
          <w:p w14:paraId="313B9DC5" w14:textId="77777777" w:rsidR="00841AC1" w:rsidRPr="009F566E" w:rsidRDefault="00841AC1" w:rsidP="00841AC1">
            <w:pPr>
              <w:spacing w:before="20" w:after="20"/>
              <w:jc w:val="center"/>
              <w:rPr>
                <w:b/>
                <w:noProof/>
                <w:sz w:val="22"/>
                <w:lang w:eastAsia="en-GB"/>
              </w:rPr>
            </w:pPr>
          </w:p>
        </w:tc>
        <w:tc>
          <w:tcPr>
            <w:tcW w:w="1843" w:type="dxa"/>
            <w:vAlign w:val="center"/>
          </w:tcPr>
          <w:p w14:paraId="572049C2" w14:textId="77777777" w:rsidR="00841AC1" w:rsidRPr="009F566E" w:rsidRDefault="00841AC1" w:rsidP="00841AC1">
            <w:pPr>
              <w:spacing w:before="20" w:after="20"/>
              <w:jc w:val="center"/>
              <w:rPr>
                <w:b/>
                <w:noProof/>
                <w:sz w:val="22"/>
              </w:rPr>
            </w:pPr>
            <w:r w:rsidRPr="002C6368">
              <w:rPr>
                <w:b/>
                <w:noProof/>
                <w:sz w:val="22"/>
              </w:rPr>
              <w:t>0</w:t>
            </w:r>
            <w:r w:rsidRPr="009F566E">
              <w:rPr>
                <w:b/>
                <w:noProof/>
                <w:sz w:val="22"/>
              </w:rPr>
              <w:t>,</w:t>
            </w:r>
            <w:r w:rsidRPr="002C6368">
              <w:rPr>
                <w:b/>
                <w:noProof/>
                <w:sz w:val="22"/>
              </w:rPr>
              <w:t>000</w:t>
            </w:r>
          </w:p>
        </w:tc>
      </w:tr>
      <w:tr w:rsidR="00841AC1" w:rsidRPr="009F566E" w14:paraId="1691687C" w14:textId="77777777" w:rsidTr="00A27D48">
        <w:tc>
          <w:tcPr>
            <w:tcW w:w="3960" w:type="dxa"/>
            <w:vMerge/>
            <w:shd w:val="thinDiagStripe" w:color="C0C0C0" w:fill="auto"/>
          </w:tcPr>
          <w:p w14:paraId="6A74213F" w14:textId="77777777" w:rsidR="00841AC1" w:rsidRPr="009F566E" w:rsidRDefault="00841AC1" w:rsidP="00841AC1">
            <w:pPr>
              <w:rPr>
                <w:noProof/>
                <w:sz w:val="20"/>
                <w:lang w:eastAsia="en-GB"/>
              </w:rPr>
            </w:pPr>
          </w:p>
        </w:tc>
        <w:tc>
          <w:tcPr>
            <w:tcW w:w="1220" w:type="dxa"/>
            <w:vAlign w:val="center"/>
          </w:tcPr>
          <w:p w14:paraId="042C62B4" w14:textId="77777777" w:rsidR="00841AC1" w:rsidRPr="009F566E" w:rsidRDefault="00841AC1" w:rsidP="00841AC1">
            <w:pPr>
              <w:rPr>
                <w:noProof/>
                <w:sz w:val="18"/>
              </w:rPr>
            </w:pPr>
            <w:r w:rsidRPr="009F566E">
              <w:rPr>
                <w:noProof/>
                <w:sz w:val="18"/>
              </w:rPr>
              <w:t>Zahlungen</w:t>
            </w:r>
          </w:p>
        </w:tc>
        <w:tc>
          <w:tcPr>
            <w:tcW w:w="567" w:type="dxa"/>
            <w:vAlign w:val="center"/>
          </w:tcPr>
          <w:p w14:paraId="35D34DB0" w14:textId="77777777" w:rsidR="00841AC1" w:rsidRPr="009F566E" w:rsidRDefault="00841AC1" w:rsidP="00841AC1">
            <w:pPr>
              <w:jc w:val="center"/>
              <w:rPr>
                <w:noProof/>
                <w:sz w:val="14"/>
              </w:rPr>
            </w:pPr>
            <w:r w:rsidRPr="009F566E">
              <w:rPr>
                <w:noProof/>
                <w:sz w:val="14"/>
              </w:rPr>
              <w:t>=</w:t>
            </w:r>
            <w:r w:rsidRPr="002C6368">
              <w:rPr>
                <w:noProof/>
                <w:sz w:val="14"/>
              </w:rPr>
              <w:t>5</w:t>
            </w:r>
            <w:r w:rsidRPr="009F566E">
              <w:rPr>
                <w:noProof/>
                <w:sz w:val="14"/>
              </w:rPr>
              <w:t xml:space="preserve">+ </w:t>
            </w:r>
            <w:r w:rsidRPr="002C6368">
              <w:rPr>
                <w:noProof/>
                <w:sz w:val="14"/>
              </w:rPr>
              <w:t>6</w:t>
            </w:r>
          </w:p>
        </w:tc>
        <w:tc>
          <w:tcPr>
            <w:tcW w:w="709" w:type="dxa"/>
            <w:vAlign w:val="center"/>
          </w:tcPr>
          <w:p w14:paraId="0658188E" w14:textId="77777777" w:rsidR="00841AC1" w:rsidRPr="009F566E" w:rsidRDefault="00841AC1" w:rsidP="00841AC1">
            <w:pPr>
              <w:spacing w:before="20" w:after="20"/>
              <w:jc w:val="right"/>
              <w:rPr>
                <w:noProof/>
                <w:sz w:val="22"/>
                <w:lang w:eastAsia="en-GB"/>
              </w:rPr>
            </w:pPr>
          </w:p>
        </w:tc>
        <w:tc>
          <w:tcPr>
            <w:tcW w:w="1134" w:type="dxa"/>
            <w:vAlign w:val="center"/>
          </w:tcPr>
          <w:p w14:paraId="7CB2BB3A" w14:textId="77777777" w:rsidR="00841AC1" w:rsidRPr="009F566E" w:rsidRDefault="00841AC1" w:rsidP="00841AC1">
            <w:pPr>
              <w:spacing w:before="20" w:after="20"/>
              <w:jc w:val="right"/>
              <w:rPr>
                <w:noProof/>
                <w:sz w:val="22"/>
              </w:rPr>
            </w:pPr>
            <w:r w:rsidRPr="002C6368">
              <w:rPr>
                <w:noProof/>
                <w:sz w:val="22"/>
              </w:rPr>
              <w:t>1</w:t>
            </w:r>
            <w:r w:rsidRPr="009F566E">
              <w:rPr>
                <w:noProof/>
                <w:sz w:val="22"/>
              </w:rPr>
              <w:t> </w:t>
            </w:r>
            <w:r w:rsidRPr="002C6368">
              <w:rPr>
                <w:noProof/>
                <w:sz w:val="22"/>
              </w:rPr>
              <w:t>743</w:t>
            </w:r>
            <w:r w:rsidRPr="009F566E">
              <w:rPr>
                <w:noProof/>
                <w:sz w:val="22"/>
              </w:rPr>
              <w:t>,</w:t>
            </w:r>
            <w:r w:rsidRPr="002C6368">
              <w:rPr>
                <w:noProof/>
                <w:sz w:val="22"/>
              </w:rPr>
              <w:t>000</w:t>
            </w:r>
          </w:p>
        </w:tc>
        <w:tc>
          <w:tcPr>
            <w:tcW w:w="1134" w:type="dxa"/>
            <w:vAlign w:val="center"/>
          </w:tcPr>
          <w:p w14:paraId="6FC59063" w14:textId="77777777" w:rsidR="00841AC1" w:rsidRPr="009F566E" w:rsidRDefault="00841AC1" w:rsidP="00841AC1">
            <w:pPr>
              <w:spacing w:before="20" w:after="20"/>
              <w:jc w:val="right"/>
              <w:rPr>
                <w:noProof/>
                <w:sz w:val="22"/>
              </w:rPr>
            </w:pPr>
            <w:r w:rsidRPr="002C6368">
              <w:rPr>
                <w:noProof/>
                <w:sz w:val="22"/>
              </w:rPr>
              <w:t>1</w:t>
            </w:r>
            <w:r w:rsidRPr="009F566E">
              <w:rPr>
                <w:noProof/>
                <w:sz w:val="22"/>
              </w:rPr>
              <w:t> </w:t>
            </w:r>
            <w:r w:rsidRPr="002C6368">
              <w:rPr>
                <w:noProof/>
                <w:sz w:val="22"/>
              </w:rPr>
              <w:t>743</w:t>
            </w:r>
            <w:r w:rsidRPr="009F566E">
              <w:rPr>
                <w:noProof/>
                <w:sz w:val="22"/>
              </w:rPr>
              <w:t>,</w:t>
            </w:r>
            <w:r w:rsidRPr="002C6368">
              <w:rPr>
                <w:noProof/>
                <w:sz w:val="22"/>
              </w:rPr>
              <w:t>000</w:t>
            </w:r>
          </w:p>
        </w:tc>
        <w:tc>
          <w:tcPr>
            <w:tcW w:w="992" w:type="dxa"/>
            <w:vAlign w:val="center"/>
          </w:tcPr>
          <w:p w14:paraId="09410A99" w14:textId="77777777" w:rsidR="00841AC1" w:rsidRPr="009F566E" w:rsidRDefault="00841AC1" w:rsidP="00841AC1">
            <w:pPr>
              <w:spacing w:before="20" w:after="20"/>
              <w:jc w:val="right"/>
              <w:rPr>
                <w:noProof/>
                <w:sz w:val="22"/>
                <w:lang w:eastAsia="en-GB"/>
              </w:rPr>
            </w:pPr>
          </w:p>
        </w:tc>
        <w:tc>
          <w:tcPr>
            <w:tcW w:w="709" w:type="dxa"/>
            <w:vAlign w:val="center"/>
          </w:tcPr>
          <w:p w14:paraId="1F4040F6" w14:textId="77777777" w:rsidR="00841AC1" w:rsidRPr="009F566E" w:rsidRDefault="00841AC1" w:rsidP="00841AC1">
            <w:pPr>
              <w:spacing w:before="20" w:after="20"/>
              <w:jc w:val="right"/>
              <w:rPr>
                <w:noProof/>
                <w:sz w:val="22"/>
              </w:rPr>
            </w:pPr>
          </w:p>
        </w:tc>
        <w:tc>
          <w:tcPr>
            <w:tcW w:w="708" w:type="dxa"/>
            <w:vAlign w:val="center"/>
          </w:tcPr>
          <w:p w14:paraId="7F08EBBD" w14:textId="77777777" w:rsidR="00841AC1" w:rsidRPr="009F566E" w:rsidRDefault="00841AC1" w:rsidP="00841AC1">
            <w:pPr>
              <w:spacing w:before="20" w:after="20"/>
              <w:jc w:val="center"/>
              <w:rPr>
                <w:b/>
                <w:noProof/>
                <w:sz w:val="22"/>
                <w:lang w:eastAsia="en-GB"/>
              </w:rPr>
            </w:pPr>
          </w:p>
        </w:tc>
        <w:tc>
          <w:tcPr>
            <w:tcW w:w="1276" w:type="dxa"/>
            <w:vAlign w:val="center"/>
          </w:tcPr>
          <w:p w14:paraId="1448B1B7" w14:textId="77777777" w:rsidR="00841AC1" w:rsidRPr="009F566E" w:rsidRDefault="00841AC1" w:rsidP="00841AC1">
            <w:pPr>
              <w:spacing w:before="20" w:after="20"/>
              <w:jc w:val="center"/>
              <w:rPr>
                <w:b/>
                <w:noProof/>
                <w:sz w:val="22"/>
              </w:rPr>
            </w:pPr>
            <w:r w:rsidRPr="009F566E">
              <w:rPr>
                <w:noProof/>
                <w:sz w:val="22"/>
              </w:rPr>
              <w:t>-</w:t>
            </w:r>
            <w:r w:rsidRPr="002C6368">
              <w:rPr>
                <w:noProof/>
                <w:sz w:val="22"/>
              </w:rPr>
              <w:t>3</w:t>
            </w:r>
            <w:r w:rsidRPr="009F566E">
              <w:rPr>
                <w:noProof/>
                <w:sz w:val="22"/>
              </w:rPr>
              <w:t> </w:t>
            </w:r>
            <w:r w:rsidRPr="002C6368">
              <w:rPr>
                <w:noProof/>
                <w:sz w:val="22"/>
              </w:rPr>
              <w:t>486</w:t>
            </w:r>
            <w:r w:rsidRPr="009F566E">
              <w:rPr>
                <w:noProof/>
                <w:sz w:val="22"/>
              </w:rPr>
              <w:t>,</w:t>
            </w:r>
            <w:r w:rsidRPr="002C6368">
              <w:rPr>
                <w:noProof/>
                <w:sz w:val="22"/>
              </w:rPr>
              <w:t>000</w:t>
            </w:r>
          </w:p>
        </w:tc>
        <w:tc>
          <w:tcPr>
            <w:tcW w:w="1843" w:type="dxa"/>
            <w:vAlign w:val="center"/>
          </w:tcPr>
          <w:p w14:paraId="43D67D4A" w14:textId="77777777" w:rsidR="00841AC1" w:rsidRPr="009F566E" w:rsidRDefault="00841AC1" w:rsidP="00841AC1">
            <w:pPr>
              <w:spacing w:before="20" w:after="20"/>
              <w:jc w:val="center"/>
              <w:rPr>
                <w:b/>
                <w:noProof/>
                <w:sz w:val="22"/>
              </w:rPr>
            </w:pPr>
            <w:r w:rsidRPr="002C6368">
              <w:rPr>
                <w:b/>
                <w:noProof/>
                <w:sz w:val="22"/>
              </w:rPr>
              <w:t>0</w:t>
            </w:r>
            <w:r w:rsidRPr="009F566E">
              <w:rPr>
                <w:b/>
                <w:noProof/>
                <w:sz w:val="22"/>
              </w:rPr>
              <w:t>,</w:t>
            </w:r>
            <w:r w:rsidRPr="002C6368">
              <w:rPr>
                <w:b/>
                <w:noProof/>
                <w:sz w:val="22"/>
              </w:rPr>
              <w:t>000</w:t>
            </w:r>
          </w:p>
        </w:tc>
      </w:tr>
    </w:tbl>
    <w:p w14:paraId="63622666" w14:textId="77777777" w:rsidR="00C87E1E" w:rsidRPr="009F566E" w:rsidRDefault="00C87E1E" w:rsidP="00C87E1E">
      <w:pPr>
        <w:rPr>
          <w:noProof/>
          <w:lang w:eastAsia="en-GB"/>
        </w:rPr>
      </w:pPr>
    </w:p>
    <w:p w14:paraId="47681097" w14:textId="77777777" w:rsidR="00C87E1E" w:rsidRPr="009F566E" w:rsidRDefault="00C87E1E" w:rsidP="00C87E1E">
      <w:pPr>
        <w:spacing w:before="0" w:after="0"/>
        <w:jc w:val="left"/>
        <w:rPr>
          <w:noProof/>
        </w:rPr>
      </w:pPr>
      <w:r w:rsidRPr="009F566E">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87E1E" w:rsidRPr="009F566E" w14:paraId="38FFF9BE" w14:textId="77777777" w:rsidTr="00C87E1E">
        <w:trPr>
          <w:jc w:val="center"/>
        </w:trPr>
        <w:tc>
          <w:tcPr>
            <w:tcW w:w="4744" w:type="dxa"/>
            <w:shd w:val="thinDiagStripe" w:color="C0C0C0" w:fill="auto"/>
            <w:vAlign w:val="center"/>
          </w:tcPr>
          <w:p w14:paraId="7E513C28" w14:textId="77777777" w:rsidR="00C87E1E" w:rsidRPr="009F566E" w:rsidRDefault="00C87E1E" w:rsidP="00C87E1E">
            <w:pPr>
              <w:spacing w:before="60" w:after="60"/>
              <w:jc w:val="center"/>
              <w:rPr>
                <w:b/>
                <w:noProof/>
              </w:rPr>
            </w:pPr>
            <w:r w:rsidRPr="009F566E">
              <w:rPr>
                <w:noProof/>
              </w:rPr>
              <w:br w:type="page"/>
            </w:r>
            <w:r w:rsidRPr="009F566E">
              <w:rPr>
                <w:b/>
                <w:noProof/>
                <w:sz w:val="22"/>
              </w:rPr>
              <w:t xml:space="preserve">Rubrik des Mehrjährigen </w:t>
            </w:r>
            <w:r w:rsidRPr="009F566E">
              <w:rPr>
                <w:noProof/>
              </w:rPr>
              <w:t xml:space="preserve"> </w:t>
            </w:r>
            <w:r w:rsidRPr="009F566E">
              <w:rPr>
                <w:noProof/>
              </w:rPr>
              <w:br/>
            </w:r>
            <w:r w:rsidRPr="009F566E">
              <w:rPr>
                <w:b/>
                <w:noProof/>
                <w:sz w:val="22"/>
              </w:rPr>
              <w:t xml:space="preserve">Finanzrahmens </w:t>
            </w:r>
          </w:p>
        </w:tc>
        <w:tc>
          <w:tcPr>
            <w:tcW w:w="1080" w:type="dxa"/>
            <w:shd w:val="thinDiagStripe" w:color="C0C0C0" w:fill="auto"/>
            <w:vAlign w:val="center"/>
          </w:tcPr>
          <w:p w14:paraId="0D7DB96E" w14:textId="77777777" w:rsidR="00C87E1E" w:rsidRPr="009F566E" w:rsidRDefault="00C87E1E" w:rsidP="00C87E1E">
            <w:pPr>
              <w:spacing w:before="60" w:after="60"/>
              <w:jc w:val="center"/>
              <w:rPr>
                <w:noProof/>
              </w:rPr>
            </w:pPr>
            <w:r w:rsidRPr="002C6368">
              <w:rPr>
                <w:b/>
                <w:noProof/>
                <w:sz w:val="22"/>
              </w:rPr>
              <w:t>7</w:t>
            </w:r>
          </w:p>
        </w:tc>
        <w:tc>
          <w:tcPr>
            <w:tcW w:w="7817" w:type="dxa"/>
            <w:vAlign w:val="center"/>
          </w:tcPr>
          <w:p w14:paraId="2B3F5DD8" w14:textId="77777777" w:rsidR="00C87E1E" w:rsidRPr="009F566E" w:rsidRDefault="00C87E1E" w:rsidP="00C87E1E">
            <w:pPr>
              <w:spacing w:before="60" w:after="60"/>
              <w:rPr>
                <w:noProof/>
              </w:rPr>
            </w:pPr>
            <w:r w:rsidRPr="009F566E">
              <w:rPr>
                <w:noProof/>
                <w:sz w:val="22"/>
              </w:rPr>
              <w:t>Verwaltungsausgaben</w:t>
            </w:r>
          </w:p>
        </w:tc>
      </w:tr>
    </w:tbl>
    <w:p w14:paraId="4F1CB26F" w14:textId="77777777" w:rsidR="00C87E1E" w:rsidRPr="009F566E" w:rsidRDefault="00C87E1E" w:rsidP="00C87E1E">
      <w:pPr>
        <w:jc w:val="left"/>
        <w:rPr>
          <w:noProof/>
          <w:sz w:val="20"/>
        </w:rPr>
      </w:pPr>
      <w:r w:rsidRPr="009F566E">
        <w:rPr>
          <w:noProof/>
        </w:rPr>
        <w:t xml:space="preserve">Zum Ausfüllen dieses Teils ist die „Tabelle für Verwaltungsausgaben“ zu verwenden, die zuerst in den </w:t>
      </w:r>
      <w:hyperlink r:id="rId15" w:history="1">
        <w:r w:rsidRPr="009F566E">
          <w:rPr>
            <w:noProof/>
            <w:color w:val="0000FF"/>
            <w:u w:val="single"/>
          </w:rPr>
          <w:t>Anhang des Finanzbogens zu Rechtsakten</w:t>
        </w:r>
      </w:hyperlink>
      <w:r w:rsidRPr="009F566E">
        <w:rPr>
          <w:noProof/>
        </w:rPr>
        <w:t xml:space="preserve"> (Anhang V der Internen Vorschriften), der für die dienststellenübergreifende Konsultation in DECIDE hochgeladen wird, aufgenommen wird.</w:t>
      </w:r>
    </w:p>
    <w:p w14:paraId="1AF61FF2" w14:textId="77777777" w:rsidR="00C87E1E" w:rsidRPr="009F566E" w:rsidRDefault="00C87E1E" w:rsidP="00C87E1E">
      <w:pPr>
        <w:jc w:val="right"/>
        <w:rPr>
          <w:noProof/>
          <w:sz w:val="20"/>
        </w:rPr>
      </w:pPr>
      <w:r w:rsidRPr="009F566E">
        <w:rPr>
          <w:noProof/>
          <w:sz w:val="20"/>
        </w:rPr>
        <w:t>in Mio. EUR (</w:t>
      </w:r>
      <w:r w:rsidRPr="002C6368">
        <w:rPr>
          <w:noProof/>
          <w:sz w:val="20"/>
        </w:rPr>
        <w:t>3</w:t>
      </w:r>
      <w:r w:rsidRPr="009F566E">
        <w:rPr>
          <w:noProof/>
          <w:sz w:val="20"/>
        </w:rPr>
        <w:t>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C87E1E" w:rsidRPr="009F566E" w14:paraId="213C4E67" w14:textId="77777777" w:rsidTr="00C87E1E">
        <w:tc>
          <w:tcPr>
            <w:tcW w:w="3960" w:type="dxa"/>
            <w:tcBorders>
              <w:top w:val="nil"/>
              <w:left w:val="nil"/>
              <w:right w:val="nil"/>
            </w:tcBorders>
            <w:vAlign w:val="center"/>
          </w:tcPr>
          <w:p w14:paraId="6F3455A9" w14:textId="77777777" w:rsidR="00C87E1E" w:rsidRPr="009F566E" w:rsidRDefault="00C87E1E" w:rsidP="00C87E1E">
            <w:pPr>
              <w:jc w:val="center"/>
              <w:rPr>
                <w:noProof/>
                <w:lang w:eastAsia="en-GB"/>
              </w:rPr>
            </w:pPr>
          </w:p>
        </w:tc>
        <w:tc>
          <w:tcPr>
            <w:tcW w:w="1560" w:type="dxa"/>
            <w:tcBorders>
              <w:top w:val="nil"/>
              <w:left w:val="nil"/>
              <w:right w:val="nil"/>
            </w:tcBorders>
          </w:tcPr>
          <w:p w14:paraId="45C730ED" w14:textId="77777777" w:rsidR="00C87E1E" w:rsidRPr="009F566E" w:rsidRDefault="00C87E1E" w:rsidP="00C87E1E">
            <w:pPr>
              <w:rPr>
                <w:noProof/>
                <w:sz w:val="20"/>
                <w:lang w:eastAsia="en-GB"/>
              </w:rPr>
            </w:pPr>
          </w:p>
        </w:tc>
        <w:tc>
          <w:tcPr>
            <w:tcW w:w="534" w:type="dxa"/>
            <w:tcBorders>
              <w:top w:val="nil"/>
              <w:left w:val="nil"/>
            </w:tcBorders>
          </w:tcPr>
          <w:p w14:paraId="05ACC9BF" w14:textId="77777777" w:rsidR="00C87E1E" w:rsidRPr="009F566E" w:rsidRDefault="00C87E1E" w:rsidP="00C87E1E">
            <w:pPr>
              <w:jc w:val="center"/>
              <w:rPr>
                <w:noProof/>
                <w:sz w:val="20"/>
                <w:lang w:eastAsia="en-GB"/>
              </w:rPr>
            </w:pPr>
          </w:p>
        </w:tc>
        <w:tc>
          <w:tcPr>
            <w:tcW w:w="868" w:type="dxa"/>
            <w:vAlign w:val="center"/>
          </w:tcPr>
          <w:p w14:paraId="50C4491A" w14:textId="77777777" w:rsidR="00C87E1E" w:rsidRPr="009F566E" w:rsidRDefault="00C87E1E" w:rsidP="00C87E1E">
            <w:pPr>
              <w:jc w:val="center"/>
              <w:rPr>
                <w:noProof/>
                <w:sz w:val="20"/>
              </w:rPr>
            </w:pPr>
            <w:r w:rsidRPr="009F566E">
              <w:rPr>
                <w:noProof/>
                <w:sz w:val="20"/>
              </w:rPr>
              <w:t>Jahr</w:t>
            </w:r>
            <w:r w:rsidRPr="009F566E">
              <w:rPr>
                <w:noProof/>
              </w:rPr>
              <w:t xml:space="preserve"> </w:t>
            </w:r>
            <w:r w:rsidRPr="009F566E">
              <w:rPr>
                <w:noProof/>
              </w:rPr>
              <w:br/>
            </w:r>
            <w:r w:rsidRPr="009F566E">
              <w:rPr>
                <w:b/>
                <w:noProof/>
                <w:sz w:val="20"/>
              </w:rPr>
              <w:t>N</w:t>
            </w:r>
          </w:p>
        </w:tc>
        <w:tc>
          <w:tcPr>
            <w:tcW w:w="868" w:type="dxa"/>
            <w:vAlign w:val="center"/>
          </w:tcPr>
          <w:p w14:paraId="15354470" w14:textId="77777777" w:rsidR="00C87E1E" w:rsidRPr="009F566E" w:rsidRDefault="00C87E1E" w:rsidP="00C87E1E">
            <w:pPr>
              <w:jc w:val="center"/>
              <w:rPr>
                <w:noProof/>
                <w:sz w:val="20"/>
              </w:rPr>
            </w:pPr>
            <w:r w:rsidRPr="009F566E">
              <w:rPr>
                <w:noProof/>
                <w:sz w:val="20"/>
              </w:rPr>
              <w:t>Jahr</w:t>
            </w:r>
            <w:r w:rsidRPr="009F566E">
              <w:rPr>
                <w:noProof/>
              </w:rPr>
              <w:t xml:space="preserve"> </w:t>
            </w:r>
            <w:r w:rsidRPr="009F566E">
              <w:rPr>
                <w:noProof/>
              </w:rPr>
              <w:br/>
            </w:r>
            <w:r w:rsidRPr="009F566E">
              <w:rPr>
                <w:b/>
                <w:noProof/>
                <w:sz w:val="20"/>
              </w:rPr>
              <w:t>N+</w:t>
            </w:r>
            <w:r w:rsidRPr="002C6368">
              <w:rPr>
                <w:b/>
                <w:noProof/>
                <w:sz w:val="20"/>
              </w:rPr>
              <w:t>1</w:t>
            </w:r>
          </w:p>
        </w:tc>
        <w:tc>
          <w:tcPr>
            <w:tcW w:w="868" w:type="dxa"/>
            <w:vAlign w:val="center"/>
          </w:tcPr>
          <w:p w14:paraId="378F35EF" w14:textId="77777777" w:rsidR="00C87E1E" w:rsidRPr="009F566E" w:rsidRDefault="00C87E1E" w:rsidP="00C87E1E">
            <w:pPr>
              <w:jc w:val="center"/>
              <w:rPr>
                <w:noProof/>
                <w:sz w:val="20"/>
              </w:rPr>
            </w:pPr>
            <w:r w:rsidRPr="009F566E">
              <w:rPr>
                <w:noProof/>
                <w:sz w:val="20"/>
              </w:rPr>
              <w:t>Jahr</w:t>
            </w:r>
            <w:r w:rsidRPr="009F566E">
              <w:rPr>
                <w:noProof/>
              </w:rPr>
              <w:t xml:space="preserve"> </w:t>
            </w:r>
            <w:r w:rsidRPr="009F566E">
              <w:rPr>
                <w:noProof/>
              </w:rPr>
              <w:br/>
            </w:r>
            <w:r w:rsidRPr="009F566E">
              <w:rPr>
                <w:b/>
                <w:noProof/>
                <w:sz w:val="20"/>
              </w:rPr>
              <w:t>N+</w:t>
            </w:r>
            <w:r w:rsidRPr="002C6368">
              <w:rPr>
                <w:b/>
                <w:noProof/>
                <w:sz w:val="20"/>
              </w:rPr>
              <w:t>2</w:t>
            </w:r>
          </w:p>
        </w:tc>
        <w:tc>
          <w:tcPr>
            <w:tcW w:w="868" w:type="dxa"/>
            <w:vAlign w:val="center"/>
          </w:tcPr>
          <w:p w14:paraId="0C14E2FA" w14:textId="77777777" w:rsidR="00C87E1E" w:rsidRPr="009F566E" w:rsidRDefault="00C87E1E" w:rsidP="00C87E1E">
            <w:pPr>
              <w:jc w:val="center"/>
              <w:rPr>
                <w:noProof/>
                <w:sz w:val="20"/>
              </w:rPr>
            </w:pPr>
            <w:r w:rsidRPr="009F566E">
              <w:rPr>
                <w:noProof/>
                <w:sz w:val="20"/>
              </w:rPr>
              <w:t>Jahr</w:t>
            </w:r>
            <w:r w:rsidRPr="009F566E">
              <w:rPr>
                <w:noProof/>
              </w:rPr>
              <w:t xml:space="preserve"> </w:t>
            </w:r>
            <w:r w:rsidRPr="009F566E">
              <w:rPr>
                <w:noProof/>
              </w:rPr>
              <w:br/>
            </w:r>
            <w:r w:rsidRPr="009F566E">
              <w:rPr>
                <w:b/>
                <w:noProof/>
                <w:sz w:val="20"/>
              </w:rPr>
              <w:t>N+</w:t>
            </w:r>
            <w:r w:rsidRPr="002C6368">
              <w:rPr>
                <w:b/>
                <w:noProof/>
                <w:sz w:val="20"/>
              </w:rPr>
              <w:t>3</w:t>
            </w:r>
          </w:p>
        </w:tc>
        <w:tc>
          <w:tcPr>
            <w:tcW w:w="2604" w:type="dxa"/>
            <w:gridSpan w:val="3"/>
            <w:vAlign w:val="center"/>
          </w:tcPr>
          <w:p w14:paraId="1854396F" w14:textId="77777777" w:rsidR="00C87E1E" w:rsidRPr="009F566E" w:rsidRDefault="00C87E1E" w:rsidP="00C87E1E">
            <w:pPr>
              <w:jc w:val="center"/>
              <w:rPr>
                <w:b/>
                <w:noProof/>
                <w:sz w:val="18"/>
              </w:rPr>
            </w:pPr>
            <w:r w:rsidRPr="009F566E">
              <w:rPr>
                <w:noProof/>
                <w:sz w:val="18"/>
              </w:rPr>
              <w:t xml:space="preserve">Bei länger andauernden Auswirkungen (siehe </w:t>
            </w:r>
            <w:r w:rsidRPr="002C6368">
              <w:rPr>
                <w:noProof/>
                <w:sz w:val="18"/>
              </w:rPr>
              <w:t>1</w:t>
            </w:r>
            <w:r w:rsidRPr="009F566E">
              <w:rPr>
                <w:noProof/>
                <w:sz w:val="18"/>
              </w:rPr>
              <w:t>.</w:t>
            </w:r>
            <w:r w:rsidRPr="002C6368">
              <w:rPr>
                <w:noProof/>
                <w:sz w:val="18"/>
              </w:rPr>
              <w:t>6</w:t>
            </w:r>
            <w:r w:rsidRPr="009F566E">
              <w:rPr>
                <w:noProof/>
                <w:sz w:val="18"/>
              </w:rPr>
              <w:t xml:space="preserve">.) bitte weitere Spalten einfügen. </w:t>
            </w:r>
          </w:p>
        </w:tc>
        <w:tc>
          <w:tcPr>
            <w:tcW w:w="1777" w:type="dxa"/>
            <w:vAlign w:val="center"/>
          </w:tcPr>
          <w:p w14:paraId="722C1C08" w14:textId="77777777" w:rsidR="00C87E1E" w:rsidRPr="009F566E" w:rsidRDefault="00C87E1E" w:rsidP="00C87E1E">
            <w:pPr>
              <w:jc w:val="center"/>
              <w:rPr>
                <w:b/>
                <w:noProof/>
                <w:sz w:val="20"/>
              </w:rPr>
            </w:pPr>
            <w:r w:rsidRPr="009F566E">
              <w:rPr>
                <w:b/>
                <w:noProof/>
                <w:sz w:val="20"/>
              </w:rPr>
              <w:t>INSGESAMT</w:t>
            </w:r>
          </w:p>
        </w:tc>
      </w:tr>
      <w:tr w:rsidR="00C87E1E" w:rsidRPr="009F566E" w14:paraId="7300A83D" w14:textId="77777777" w:rsidTr="00C87E1E">
        <w:trPr>
          <w:gridAfter w:val="10"/>
          <w:wAfter w:w="9947" w:type="dxa"/>
        </w:trPr>
        <w:tc>
          <w:tcPr>
            <w:tcW w:w="3960" w:type="dxa"/>
            <w:vAlign w:val="center"/>
          </w:tcPr>
          <w:p w14:paraId="219883B0" w14:textId="77777777" w:rsidR="00C87E1E" w:rsidRPr="009F566E" w:rsidRDefault="00C87E1E" w:rsidP="00C87E1E">
            <w:pPr>
              <w:spacing w:before="60" w:after="60"/>
              <w:jc w:val="center"/>
              <w:rPr>
                <w:noProof/>
              </w:rPr>
            </w:pPr>
            <w:r w:rsidRPr="009F566E">
              <w:rPr>
                <w:noProof/>
                <w:sz w:val="22"/>
              </w:rPr>
              <w:t>GD &lt;…….&gt;</w:t>
            </w:r>
          </w:p>
        </w:tc>
      </w:tr>
      <w:tr w:rsidR="00C87E1E" w:rsidRPr="009F566E" w14:paraId="11374BDC" w14:textId="77777777" w:rsidTr="00C87E1E">
        <w:trPr>
          <w:trHeight w:val="313"/>
        </w:trPr>
        <w:tc>
          <w:tcPr>
            <w:tcW w:w="6054" w:type="dxa"/>
            <w:gridSpan w:val="3"/>
            <w:vAlign w:val="center"/>
          </w:tcPr>
          <w:p w14:paraId="7B4319ED" w14:textId="77777777" w:rsidR="00C87E1E" w:rsidRPr="009F566E" w:rsidRDefault="00C87E1E" w:rsidP="00C87E1E">
            <w:pPr>
              <w:spacing w:before="20" w:after="20"/>
              <w:rPr>
                <w:noProof/>
              </w:rPr>
            </w:pPr>
            <w:r w:rsidRPr="009F566E">
              <w:rPr>
                <w:noProof/>
                <w:sz w:val="22"/>
              </w:rPr>
              <w:sym w:font="Wingdings" w:char="F09F"/>
            </w:r>
            <w:r w:rsidRPr="009F566E">
              <w:rPr>
                <w:noProof/>
                <w:sz w:val="22"/>
              </w:rPr>
              <w:t xml:space="preserve"> Personal </w:t>
            </w:r>
          </w:p>
        </w:tc>
        <w:tc>
          <w:tcPr>
            <w:tcW w:w="868" w:type="dxa"/>
            <w:vAlign w:val="center"/>
          </w:tcPr>
          <w:p w14:paraId="58469D58" w14:textId="77777777" w:rsidR="00C87E1E" w:rsidRPr="009F566E" w:rsidRDefault="00C87E1E" w:rsidP="00C87E1E">
            <w:pPr>
              <w:spacing w:before="20" w:after="20"/>
              <w:jc w:val="right"/>
              <w:rPr>
                <w:noProof/>
                <w:sz w:val="20"/>
                <w:lang w:eastAsia="en-GB"/>
              </w:rPr>
            </w:pPr>
          </w:p>
        </w:tc>
        <w:tc>
          <w:tcPr>
            <w:tcW w:w="868" w:type="dxa"/>
            <w:vAlign w:val="center"/>
          </w:tcPr>
          <w:p w14:paraId="280F29BD" w14:textId="77777777" w:rsidR="00C87E1E" w:rsidRPr="009F566E" w:rsidRDefault="00C87E1E" w:rsidP="00C87E1E">
            <w:pPr>
              <w:spacing w:before="20" w:after="20"/>
              <w:jc w:val="right"/>
              <w:rPr>
                <w:noProof/>
                <w:sz w:val="20"/>
                <w:lang w:eastAsia="en-GB"/>
              </w:rPr>
            </w:pPr>
          </w:p>
        </w:tc>
        <w:tc>
          <w:tcPr>
            <w:tcW w:w="868" w:type="dxa"/>
            <w:vAlign w:val="center"/>
          </w:tcPr>
          <w:p w14:paraId="68C0F94C" w14:textId="77777777" w:rsidR="00C87E1E" w:rsidRPr="009F566E" w:rsidRDefault="00C87E1E" w:rsidP="00C87E1E">
            <w:pPr>
              <w:spacing w:before="20" w:after="20"/>
              <w:jc w:val="right"/>
              <w:rPr>
                <w:noProof/>
                <w:sz w:val="20"/>
                <w:lang w:eastAsia="en-GB"/>
              </w:rPr>
            </w:pPr>
          </w:p>
        </w:tc>
        <w:tc>
          <w:tcPr>
            <w:tcW w:w="868" w:type="dxa"/>
            <w:vAlign w:val="center"/>
          </w:tcPr>
          <w:p w14:paraId="4E28B6F2" w14:textId="77777777" w:rsidR="00C87E1E" w:rsidRPr="009F566E" w:rsidRDefault="00C87E1E" w:rsidP="00C87E1E">
            <w:pPr>
              <w:spacing w:before="20" w:after="20"/>
              <w:jc w:val="right"/>
              <w:rPr>
                <w:noProof/>
                <w:sz w:val="20"/>
                <w:lang w:eastAsia="en-GB"/>
              </w:rPr>
            </w:pPr>
          </w:p>
        </w:tc>
        <w:tc>
          <w:tcPr>
            <w:tcW w:w="868" w:type="dxa"/>
            <w:vAlign w:val="center"/>
          </w:tcPr>
          <w:p w14:paraId="0AFF2FB1" w14:textId="77777777" w:rsidR="00C87E1E" w:rsidRPr="009F566E" w:rsidRDefault="00C87E1E" w:rsidP="00C87E1E">
            <w:pPr>
              <w:spacing w:before="20" w:after="20"/>
              <w:jc w:val="right"/>
              <w:rPr>
                <w:noProof/>
                <w:sz w:val="20"/>
                <w:lang w:eastAsia="en-GB"/>
              </w:rPr>
            </w:pPr>
          </w:p>
        </w:tc>
        <w:tc>
          <w:tcPr>
            <w:tcW w:w="868" w:type="dxa"/>
            <w:vAlign w:val="center"/>
          </w:tcPr>
          <w:p w14:paraId="7AD5619A" w14:textId="77777777" w:rsidR="00C87E1E" w:rsidRPr="009F566E" w:rsidRDefault="00C87E1E" w:rsidP="00C87E1E">
            <w:pPr>
              <w:spacing w:before="20" w:after="20"/>
              <w:jc w:val="right"/>
              <w:rPr>
                <w:noProof/>
                <w:sz w:val="20"/>
                <w:lang w:eastAsia="en-GB"/>
              </w:rPr>
            </w:pPr>
          </w:p>
        </w:tc>
        <w:tc>
          <w:tcPr>
            <w:tcW w:w="868" w:type="dxa"/>
            <w:vAlign w:val="center"/>
          </w:tcPr>
          <w:p w14:paraId="670E5C03" w14:textId="77777777" w:rsidR="00C87E1E" w:rsidRPr="009F566E" w:rsidRDefault="00C87E1E" w:rsidP="00C87E1E">
            <w:pPr>
              <w:spacing w:before="20" w:after="20"/>
              <w:jc w:val="right"/>
              <w:rPr>
                <w:b/>
                <w:noProof/>
                <w:sz w:val="20"/>
                <w:lang w:eastAsia="en-GB"/>
              </w:rPr>
            </w:pPr>
          </w:p>
        </w:tc>
        <w:tc>
          <w:tcPr>
            <w:tcW w:w="1777" w:type="dxa"/>
            <w:vAlign w:val="center"/>
          </w:tcPr>
          <w:p w14:paraId="2CECBDBA" w14:textId="77777777" w:rsidR="00C87E1E" w:rsidRPr="009F566E" w:rsidRDefault="00C87E1E" w:rsidP="00C87E1E">
            <w:pPr>
              <w:spacing w:before="20" w:after="20"/>
              <w:jc w:val="right"/>
              <w:rPr>
                <w:b/>
                <w:noProof/>
                <w:sz w:val="20"/>
                <w:lang w:eastAsia="en-GB"/>
              </w:rPr>
            </w:pPr>
          </w:p>
        </w:tc>
      </w:tr>
      <w:tr w:rsidR="00C87E1E" w:rsidRPr="009F566E" w14:paraId="530315F2" w14:textId="77777777" w:rsidTr="00C87E1E">
        <w:trPr>
          <w:trHeight w:val="351"/>
        </w:trPr>
        <w:tc>
          <w:tcPr>
            <w:tcW w:w="6054" w:type="dxa"/>
            <w:gridSpan w:val="3"/>
            <w:vAlign w:val="center"/>
          </w:tcPr>
          <w:p w14:paraId="1165EEBF" w14:textId="77777777" w:rsidR="00C87E1E" w:rsidRPr="009F566E" w:rsidRDefault="00C87E1E" w:rsidP="00C87E1E">
            <w:pPr>
              <w:spacing w:before="20" w:after="20"/>
              <w:rPr>
                <w:noProof/>
              </w:rPr>
            </w:pPr>
            <w:r w:rsidRPr="009F566E">
              <w:rPr>
                <w:noProof/>
                <w:sz w:val="22"/>
              </w:rPr>
              <w:sym w:font="Wingdings" w:char="F09F"/>
            </w:r>
            <w:r w:rsidRPr="009F566E">
              <w:rPr>
                <w:noProof/>
                <w:sz w:val="22"/>
              </w:rPr>
              <w:t xml:space="preserve"> Sonstige Verwaltungsausgaben </w:t>
            </w:r>
          </w:p>
        </w:tc>
        <w:tc>
          <w:tcPr>
            <w:tcW w:w="868" w:type="dxa"/>
            <w:vAlign w:val="center"/>
          </w:tcPr>
          <w:p w14:paraId="0E84D53B" w14:textId="77777777" w:rsidR="00C87E1E" w:rsidRPr="009F566E" w:rsidRDefault="00C87E1E" w:rsidP="00C87E1E">
            <w:pPr>
              <w:spacing w:before="20" w:after="20"/>
              <w:jc w:val="right"/>
              <w:rPr>
                <w:b/>
                <w:noProof/>
                <w:sz w:val="20"/>
                <w:lang w:eastAsia="en-GB"/>
              </w:rPr>
            </w:pPr>
          </w:p>
        </w:tc>
        <w:tc>
          <w:tcPr>
            <w:tcW w:w="868" w:type="dxa"/>
            <w:vAlign w:val="center"/>
          </w:tcPr>
          <w:p w14:paraId="18F4E29F" w14:textId="77777777" w:rsidR="00C87E1E" w:rsidRPr="009F566E" w:rsidRDefault="00C87E1E" w:rsidP="00C87E1E">
            <w:pPr>
              <w:spacing w:before="20" w:after="20"/>
              <w:jc w:val="right"/>
              <w:rPr>
                <w:b/>
                <w:noProof/>
                <w:sz w:val="20"/>
                <w:lang w:eastAsia="en-GB"/>
              </w:rPr>
            </w:pPr>
          </w:p>
        </w:tc>
        <w:tc>
          <w:tcPr>
            <w:tcW w:w="868" w:type="dxa"/>
            <w:vAlign w:val="center"/>
          </w:tcPr>
          <w:p w14:paraId="05A6AB5B" w14:textId="77777777" w:rsidR="00C87E1E" w:rsidRPr="009F566E" w:rsidRDefault="00C87E1E" w:rsidP="00C87E1E">
            <w:pPr>
              <w:spacing w:before="20" w:after="20"/>
              <w:jc w:val="right"/>
              <w:rPr>
                <w:b/>
                <w:noProof/>
                <w:sz w:val="20"/>
                <w:lang w:eastAsia="en-GB"/>
              </w:rPr>
            </w:pPr>
          </w:p>
        </w:tc>
        <w:tc>
          <w:tcPr>
            <w:tcW w:w="868" w:type="dxa"/>
            <w:vAlign w:val="center"/>
          </w:tcPr>
          <w:p w14:paraId="6608815F" w14:textId="77777777" w:rsidR="00C87E1E" w:rsidRPr="009F566E" w:rsidRDefault="00C87E1E" w:rsidP="00C87E1E">
            <w:pPr>
              <w:spacing w:before="20" w:after="20"/>
              <w:jc w:val="right"/>
              <w:rPr>
                <w:b/>
                <w:noProof/>
                <w:sz w:val="20"/>
                <w:lang w:eastAsia="en-GB"/>
              </w:rPr>
            </w:pPr>
          </w:p>
        </w:tc>
        <w:tc>
          <w:tcPr>
            <w:tcW w:w="868" w:type="dxa"/>
            <w:vAlign w:val="center"/>
          </w:tcPr>
          <w:p w14:paraId="6F580601" w14:textId="77777777" w:rsidR="00C87E1E" w:rsidRPr="009F566E" w:rsidRDefault="00C87E1E" w:rsidP="00C87E1E">
            <w:pPr>
              <w:spacing w:before="20" w:after="20"/>
              <w:jc w:val="right"/>
              <w:rPr>
                <w:b/>
                <w:noProof/>
                <w:sz w:val="20"/>
                <w:lang w:eastAsia="en-GB"/>
              </w:rPr>
            </w:pPr>
          </w:p>
        </w:tc>
        <w:tc>
          <w:tcPr>
            <w:tcW w:w="868" w:type="dxa"/>
            <w:vAlign w:val="center"/>
          </w:tcPr>
          <w:p w14:paraId="1EEB552B" w14:textId="77777777" w:rsidR="00C87E1E" w:rsidRPr="009F566E" w:rsidRDefault="00C87E1E" w:rsidP="00C87E1E">
            <w:pPr>
              <w:spacing w:before="20" w:after="20"/>
              <w:jc w:val="right"/>
              <w:rPr>
                <w:b/>
                <w:noProof/>
                <w:sz w:val="20"/>
                <w:lang w:eastAsia="en-GB"/>
              </w:rPr>
            </w:pPr>
          </w:p>
        </w:tc>
        <w:tc>
          <w:tcPr>
            <w:tcW w:w="868" w:type="dxa"/>
            <w:vAlign w:val="center"/>
          </w:tcPr>
          <w:p w14:paraId="452F0F63" w14:textId="77777777" w:rsidR="00C87E1E" w:rsidRPr="009F566E" w:rsidRDefault="00C87E1E" w:rsidP="00C87E1E">
            <w:pPr>
              <w:spacing w:before="20" w:after="20"/>
              <w:jc w:val="right"/>
              <w:rPr>
                <w:b/>
                <w:noProof/>
                <w:sz w:val="20"/>
                <w:lang w:eastAsia="en-GB"/>
              </w:rPr>
            </w:pPr>
          </w:p>
        </w:tc>
        <w:tc>
          <w:tcPr>
            <w:tcW w:w="1777" w:type="dxa"/>
            <w:vAlign w:val="center"/>
          </w:tcPr>
          <w:p w14:paraId="396E2EB8" w14:textId="77777777" w:rsidR="00C87E1E" w:rsidRPr="009F566E" w:rsidRDefault="00C87E1E" w:rsidP="00C87E1E">
            <w:pPr>
              <w:spacing w:before="20" w:after="20"/>
              <w:jc w:val="right"/>
              <w:rPr>
                <w:b/>
                <w:noProof/>
                <w:sz w:val="20"/>
                <w:lang w:eastAsia="en-GB"/>
              </w:rPr>
            </w:pPr>
          </w:p>
        </w:tc>
      </w:tr>
      <w:tr w:rsidR="00C87E1E" w:rsidRPr="009F566E" w14:paraId="14C64EBA" w14:textId="77777777" w:rsidTr="00C87E1E">
        <w:tc>
          <w:tcPr>
            <w:tcW w:w="3960" w:type="dxa"/>
            <w:vAlign w:val="center"/>
          </w:tcPr>
          <w:p w14:paraId="386DBB3B" w14:textId="77777777" w:rsidR="00C87E1E" w:rsidRPr="009F566E" w:rsidRDefault="00C87E1E" w:rsidP="00C87E1E">
            <w:pPr>
              <w:jc w:val="center"/>
              <w:rPr>
                <w:b/>
                <w:noProof/>
              </w:rPr>
            </w:pPr>
            <w:r w:rsidRPr="009F566E">
              <w:rPr>
                <w:b/>
                <w:noProof/>
                <w:sz w:val="22"/>
              </w:rPr>
              <w:t xml:space="preserve">GD </w:t>
            </w:r>
            <w:r w:rsidRPr="009F566E">
              <w:rPr>
                <w:noProof/>
                <w:sz w:val="22"/>
              </w:rPr>
              <w:t>&lt;…….&gt; INSGESAMT</w:t>
            </w:r>
          </w:p>
        </w:tc>
        <w:tc>
          <w:tcPr>
            <w:tcW w:w="2094" w:type="dxa"/>
            <w:gridSpan w:val="2"/>
            <w:vAlign w:val="center"/>
          </w:tcPr>
          <w:p w14:paraId="64B4A9DD" w14:textId="77777777" w:rsidR="00C87E1E" w:rsidRPr="009F566E" w:rsidRDefault="00C87E1E" w:rsidP="00C87E1E">
            <w:pPr>
              <w:rPr>
                <w:noProof/>
                <w:sz w:val="14"/>
              </w:rPr>
            </w:pPr>
            <w:r w:rsidRPr="009F566E">
              <w:rPr>
                <w:noProof/>
                <w:sz w:val="18"/>
              </w:rPr>
              <w:t xml:space="preserve">Mittel </w:t>
            </w:r>
          </w:p>
        </w:tc>
        <w:tc>
          <w:tcPr>
            <w:tcW w:w="868" w:type="dxa"/>
            <w:vAlign w:val="center"/>
          </w:tcPr>
          <w:p w14:paraId="01E55E8D" w14:textId="77777777" w:rsidR="00C87E1E" w:rsidRPr="009F566E" w:rsidRDefault="00C87E1E" w:rsidP="00C87E1E">
            <w:pPr>
              <w:spacing w:before="60" w:after="60"/>
              <w:jc w:val="right"/>
              <w:rPr>
                <w:noProof/>
                <w:sz w:val="20"/>
                <w:lang w:eastAsia="en-GB"/>
              </w:rPr>
            </w:pPr>
          </w:p>
        </w:tc>
        <w:tc>
          <w:tcPr>
            <w:tcW w:w="868" w:type="dxa"/>
            <w:vAlign w:val="center"/>
          </w:tcPr>
          <w:p w14:paraId="576903D7" w14:textId="77777777" w:rsidR="00C87E1E" w:rsidRPr="009F566E" w:rsidRDefault="00C87E1E" w:rsidP="00C87E1E">
            <w:pPr>
              <w:spacing w:before="20" w:after="20"/>
              <w:jc w:val="right"/>
              <w:rPr>
                <w:noProof/>
                <w:sz w:val="20"/>
                <w:lang w:eastAsia="en-GB"/>
              </w:rPr>
            </w:pPr>
          </w:p>
        </w:tc>
        <w:tc>
          <w:tcPr>
            <w:tcW w:w="868" w:type="dxa"/>
            <w:vAlign w:val="center"/>
          </w:tcPr>
          <w:p w14:paraId="72C526EC" w14:textId="77777777" w:rsidR="00C87E1E" w:rsidRPr="009F566E" w:rsidRDefault="00C87E1E" w:rsidP="00C87E1E">
            <w:pPr>
              <w:spacing w:before="20" w:after="20"/>
              <w:jc w:val="right"/>
              <w:rPr>
                <w:noProof/>
                <w:sz w:val="20"/>
                <w:lang w:eastAsia="en-GB"/>
              </w:rPr>
            </w:pPr>
          </w:p>
        </w:tc>
        <w:tc>
          <w:tcPr>
            <w:tcW w:w="868" w:type="dxa"/>
            <w:vAlign w:val="center"/>
          </w:tcPr>
          <w:p w14:paraId="10731815" w14:textId="77777777" w:rsidR="00C87E1E" w:rsidRPr="009F566E" w:rsidRDefault="00C87E1E" w:rsidP="00C87E1E">
            <w:pPr>
              <w:spacing w:before="20" w:after="20"/>
              <w:jc w:val="right"/>
              <w:rPr>
                <w:noProof/>
                <w:sz w:val="20"/>
                <w:lang w:eastAsia="en-GB"/>
              </w:rPr>
            </w:pPr>
          </w:p>
        </w:tc>
        <w:tc>
          <w:tcPr>
            <w:tcW w:w="868" w:type="dxa"/>
            <w:vAlign w:val="center"/>
          </w:tcPr>
          <w:p w14:paraId="2A6FAA48" w14:textId="77777777" w:rsidR="00C87E1E" w:rsidRPr="009F566E" w:rsidRDefault="00C87E1E" w:rsidP="00C87E1E">
            <w:pPr>
              <w:spacing w:before="20" w:after="20"/>
              <w:jc w:val="right"/>
              <w:rPr>
                <w:noProof/>
                <w:sz w:val="20"/>
                <w:lang w:eastAsia="en-GB"/>
              </w:rPr>
            </w:pPr>
          </w:p>
        </w:tc>
        <w:tc>
          <w:tcPr>
            <w:tcW w:w="868" w:type="dxa"/>
            <w:vAlign w:val="center"/>
          </w:tcPr>
          <w:p w14:paraId="18E45F08" w14:textId="77777777" w:rsidR="00C87E1E" w:rsidRPr="009F566E" w:rsidRDefault="00C87E1E" w:rsidP="00C87E1E">
            <w:pPr>
              <w:spacing w:before="20" w:after="20"/>
              <w:jc w:val="right"/>
              <w:rPr>
                <w:noProof/>
                <w:sz w:val="20"/>
                <w:lang w:eastAsia="en-GB"/>
              </w:rPr>
            </w:pPr>
          </w:p>
        </w:tc>
        <w:tc>
          <w:tcPr>
            <w:tcW w:w="868" w:type="dxa"/>
            <w:vAlign w:val="center"/>
          </w:tcPr>
          <w:p w14:paraId="0C1E6557" w14:textId="77777777" w:rsidR="00C87E1E" w:rsidRPr="009F566E" w:rsidRDefault="00C87E1E" w:rsidP="00C87E1E">
            <w:pPr>
              <w:spacing w:before="20" w:after="20"/>
              <w:jc w:val="right"/>
              <w:rPr>
                <w:b/>
                <w:noProof/>
                <w:sz w:val="20"/>
                <w:lang w:eastAsia="en-GB"/>
              </w:rPr>
            </w:pPr>
          </w:p>
        </w:tc>
        <w:tc>
          <w:tcPr>
            <w:tcW w:w="1777" w:type="dxa"/>
            <w:vAlign w:val="center"/>
          </w:tcPr>
          <w:p w14:paraId="05226D43" w14:textId="77777777" w:rsidR="00C87E1E" w:rsidRPr="009F566E" w:rsidRDefault="00C87E1E" w:rsidP="00C87E1E">
            <w:pPr>
              <w:spacing w:before="20" w:after="20"/>
              <w:jc w:val="right"/>
              <w:rPr>
                <w:b/>
                <w:noProof/>
                <w:sz w:val="20"/>
                <w:lang w:eastAsia="en-GB"/>
              </w:rPr>
            </w:pPr>
          </w:p>
        </w:tc>
      </w:tr>
    </w:tbl>
    <w:p w14:paraId="16C6EF91" w14:textId="77777777" w:rsidR="00C87E1E" w:rsidRPr="009F566E" w:rsidRDefault="00C87E1E" w:rsidP="00C87E1E">
      <w:pPr>
        <w:rPr>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C87E1E" w:rsidRPr="009F566E" w14:paraId="68564316" w14:textId="77777777" w:rsidTr="00C87E1E">
        <w:tc>
          <w:tcPr>
            <w:tcW w:w="3960" w:type="dxa"/>
            <w:shd w:val="thinDiagStripe" w:color="C0C0C0" w:fill="auto"/>
            <w:vAlign w:val="center"/>
          </w:tcPr>
          <w:p w14:paraId="68E157C7" w14:textId="77777777" w:rsidR="00C87E1E" w:rsidRPr="009F566E" w:rsidRDefault="00C87E1E" w:rsidP="00C87E1E">
            <w:pPr>
              <w:jc w:val="center"/>
              <w:rPr>
                <w:b/>
                <w:noProof/>
              </w:rPr>
            </w:pPr>
            <w:r w:rsidRPr="009F566E">
              <w:rPr>
                <w:b/>
                <w:noProof/>
                <w:sz w:val="22"/>
              </w:rPr>
              <w:t>Mittel INSGESAMT</w:t>
            </w:r>
            <w:r w:rsidRPr="009F566E">
              <w:rPr>
                <w:noProof/>
              </w:rPr>
              <w:t xml:space="preserve"> </w:t>
            </w:r>
            <w:r w:rsidRPr="009F566E">
              <w:rPr>
                <w:noProof/>
              </w:rPr>
              <w:br/>
            </w:r>
            <w:r w:rsidRPr="009F566E">
              <w:rPr>
                <w:b/>
                <w:noProof/>
                <w:sz w:val="22"/>
              </w:rPr>
              <w:t>unter der RUBRIK </w:t>
            </w:r>
            <w:r w:rsidRPr="002C6368">
              <w:rPr>
                <w:b/>
                <w:noProof/>
                <w:sz w:val="22"/>
              </w:rPr>
              <w:t>7</w:t>
            </w:r>
            <w:r w:rsidRPr="009F566E">
              <w:rPr>
                <w:noProof/>
              </w:rPr>
              <w:t xml:space="preserve"> </w:t>
            </w:r>
            <w:r w:rsidRPr="009F566E">
              <w:rPr>
                <w:noProof/>
              </w:rPr>
              <w:br/>
            </w:r>
            <w:r w:rsidRPr="009F566E">
              <w:rPr>
                <w:noProof/>
                <w:sz w:val="22"/>
              </w:rPr>
              <w:t>des Mehrjährigen Finanzrahmens</w:t>
            </w:r>
            <w:r w:rsidRPr="009F566E">
              <w:rPr>
                <w:b/>
                <w:noProof/>
                <w:sz w:val="22"/>
              </w:rPr>
              <w:t xml:space="preserve"> </w:t>
            </w:r>
          </w:p>
        </w:tc>
        <w:tc>
          <w:tcPr>
            <w:tcW w:w="2094" w:type="dxa"/>
            <w:vAlign w:val="center"/>
          </w:tcPr>
          <w:p w14:paraId="27F15FC9" w14:textId="77777777" w:rsidR="00C87E1E" w:rsidRPr="009F566E" w:rsidRDefault="00C87E1E" w:rsidP="00C87E1E">
            <w:pPr>
              <w:spacing w:before="40" w:after="40"/>
              <w:rPr>
                <w:noProof/>
              </w:rPr>
            </w:pPr>
            <w:r w:rsidRPr="009F566E">
              <w:rPr>
                <w:noProof/>
                <w:sz w:val="18"/>
              </w:rPr>
              <w:t>(Verpflichtungen insges. = Zahlungen insges.)</w:t>
            </w:r>
          </w:p>
        </w:tc>
        <w:tc>
          <w:tcPr>
            <w:tcW w:w="868" w:type="dxa"/>
            <w:vAlign w:val="center"/>
          </w:tcPr>
          <w:p w14:paraId="71F46A79" w14:textId="77777777" w:rsidR="00C87E1E" w:rsidRPr="009F566E" w:rsidRDefault="00C87E1E" w:rsidP="00C87E1E">
            <w:pPr>
              <w:spacing w:before="20" w:after="20"/>
              <w:jc w:val="right"/>
              <w:rPr>
                <w:noProof/>
                <w:sz w:val="20"/>
                <w:lang w:eastAsia="en-GB"/>
              </w:rPr>
            </w:pPr>
          </w:p>
        </w:tc>
        <w:tc>
          <w:tcPr>
            <w:tcW w:w="868" w:type="dxa"/>
            <w:vAlign w:val="center"/>
          </w:tcPr>
          <w:p w14:paraId="48A59699" w14:textId="77777777" w:rsidR="00C87E1E" w:rsidRPr="009F566E" w:rsidRDefault="00C87E1E" w:rsidP="00C87E1E">
            <w:pPr>
              <w:spacing w:before="20" w:after="20"/>
              <w:jc w:val="right"/>
              <w:rPr>
                <w:noProof/>
                <w:sz w:val="20"/>
                <w:lang w:eastAsia="en-GB"/>
              </w:rPr>
            </w:pPr>
          </w:p>
        </w:tc>
        <w:tc>
          <w:tcPr>
            <w:tcW w:w="868" w:type="dxa"/>
            <w:vAlign w:val="center"/>
          </w:tcPr>
          <w:p w14:paraId="138F4221" w14:textId="77777777" w:rsidR="00C87E1E" w:rsidRPr="009F566E" w:rsidRDefault="00C87E1E" w:rsidP="00C87E1E">
            <w:pPr>
              <w:spacing w:before="20" w:after="20"/>
              <w:jc w:val="right"/>
              <w:rPr>
                <w:noProof/>
                <w:sz w:val="20"/>
                <w:lang w:eastAsia="en-GB"/>
              </w:rPr>
            </w:pPr>
          </w:p>
        </w:tc>
        <w:tc>
          <w:tcPr>
            <w:tcW w:w="868" w:type="dxa"/>
            <w:vAlign w:val="center"/>
          </w:tcPr>
          <w:p w14:paraId="79E89798" w14:textId="77777777" w:rsidR="00C87E1E" w:rsidRPr="009F566E" w:rsidRDefault="00C87E1E" w:rsidP="00C87E1E">
            <w:pPr>
              <w:spacing w:before="20" w:after="20"/>
              <w:jc w:val="right"/>
              <w:rPr>
                <w:noProof/>
                <w:sz w:val="20"/>
                <w:lang w:eastAsia="en-GB"/>
              </w:rPr>
            </w:pPr>
          </w:p>
        </w:tc>
        <w:tc>
          <w:tcPr>
            <w:tcW w:w="868" w:type="dxa"/>
            <w:vAlign w:val="center"/>
          </w:tcPr>
          <w:p w14:paraId="6B0C977B" w14:textId="77777777" w:rsidR="00C87E1E" w:rsidRPr="009F566E" w:rsidRDefault="00C87E1E" w:rsidP="00C87E1E">
            <w:pPr>
              <w:spacing w:before="20" w:after="20"/>
              <w:jc w:val="right"/>
              <w:rPr>
                <w:noProof/>
                <w:sz w:val="20"/>
                <w:lang w:eastAsia="en-GB"/>
              </w:rPr>
            </w:pPr>
          </w:p>
        </w:tc>
        <w:tc>
          <w:tcPr>
            <w:tcW w:w="868" w:type="dxa"/>
            <w:vAlign w:val="center"/>
          </w:tcPr>
          <w:p w14:paraId="5D1C2DDC" w14:textId="77777777" w:rsidR="00C87E1E" w:rsidRPr="009F566E" w:rsidRDefault="00C87E1E" w:rsidP="00C87E1E">
            <w:pPr>
              <w:spacing w:before="20" w:after="20"/>
              <w:jc w:val="right"/>
              <w:rPr>
                <w:noProof/>
                <w:sz w:val="20"/>
                <w:lang w:eastAsia="en-GB"/>
              </w:rPr>
            </w:pPr>
          </w:p>
        </w:tc>
        <w:tc>
          <w:tcPr>
            <w:tcW w:w="868" w:type="dxa"/>
            <w:vAlign w:val="center"/>
          </w:tcPr>
          <w:p w14:paraId="1D184B95" w14:textId="77777777" w:rsidR="00C87E1E" w:rsidRPr="009F566E" w:rsidRDefault="00C87E1E" w:rsidP="00C87E1E">
            <w:pPr>
              <w:spacing w:before="20" w:after="20"/>
              <w:jc w:val="right"/>
              <w:rPr>
                <w:b/>
                <w:noProof/>
                <w:sz w:val="20"/>
                <w:lang w:eastAsia="en-GB"/>
              </w:rPr>
            </w:pPr>
          </w:p>
        </w:tc>
        <w:tc>
          <w:tcPr>
            <w:tcW w:w="1777" w:type="dxa"/>
            <w:vAlign w:val="center"/>
          </w:tcPr>
          <w:p w14:paraId="481853DE" w14:textId="77777777" w:rsidR="00C87E1E" w:rsidRPr="009F566E" w:rsidRDefault="00C87E1E" w:rsidP="00C87E1E">
            <w:pPr>
              <w:spacing w:before="20" w:after="20"/>
              <w:jc w:val="right"/>
              <w:rPr>
                <w:b/>
                <w:noProof/>
                <w:sz w:val="20"/>
                <w:lang w:eastAsia="en-GB"/>
              </w:rPr>
            </w:pPr>
          </w:p>
        </w:tc>
      </w:tr>
    </w:tbl>
    <w:p w14:paraId="5058A238" w14:textId="77777777" w:rsidR="00C87E1E" w:rsidRPr="009F566E" w:rsidRDefault="00C87E1E" w:rsidP="00C87E1E">
      <w:pPr>
        <w:jc w:val="right"/>
        <w:rPr>
          <w:noProof/>
          <w:sz w:val="20"/>
        </w:rPr>
      </w:pPr>
      <w:r w:rsidRPr="009F566E">
        <w:rPr>
          <w:noProof/>
          <w:sz w:val="20"/>
        </w:rPr>
        <w:t>in Mio. EUR (</w:t>
      </w:r>
      <w:r w:rsidRPr="002C6368">
        <w:rPr>
          <w:noProof/>
          <w:sz w:val="20"/>
        </w:rPr>
        <w:t>3</w:t>
      </w:r>
      <w:r w:rsidRPr="009F566E">
        <w:rPr>
          <w:noProof/>
          <w:sz w:val="20"/>
        </w:rPr>
        <w:t> Dezimalstellen)</w:t>
      </w: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38"/>
        <w:gridCol w:w="698"/>
        <w:gridCol w:w="1134"/>
        <w:gridCol w:w="1134"/>
        <w:gridCol w:w="992"/>
        <w:gridCol w:w="850"/>
        <w:gridCol w:w="1134"/>
        <w:gridCol w:w="1276"/>
        <w:gridCol w:w="1134"/>
      </w:tblGrid>
      <w:tr w:rsidR="00841AC1" w:rsidRPr="009F566E" w14:paraId="5EA3841B" w14:textId="77777777" w:rsidTr="00A27D48">
        <w:tc>
          <w:tcPr>
            <w:tcW w:w="3960" w:type="dxa"/>
            <w:tcBorders>
              <w:top w:val="nil"/>
              <w:left w:val="nil"/>
              <w:right w:val="nil"/>
            </w:tcBorders>
            <w:vAlign w:val="center"/>
          </w:tcPr>
          <w:p w14:paraId="73542884" w14:textId="77777777" w:rsidR="00841AC1" w:rsidRPr="009F566E" w:rsidRDefault="00841AC1" w:rsidP="00841AC1">
            <w:pPr>
              <w:jc w:val="center"/>
              <w:rPr>
                <w:noProof/>
                <w:lang w:eastAsia="en-GB"/>
              </w:rPr>
            </w:pPr>
          </w:p>
        </w:tc>
        <w:tc>
          <w:tcPr>
            <w:tcW w:w="1560" w:type="dxa"/>
            <w:tcBorders>
              <w:top w:val="nil"/>
              <w:left w:val="nil"/>
              <w:right w:val="nil"/>
            </w:tcBorders>
          </w:tcPr>
          <w:p w14:paraId="7EA3388D" w14:textId="77777777" w:rsidR="00841AC1" w:rsidRPr="009F566E" w:rsidRDefault="00841AC1" w:rsidP="00841AC1">
            <w:pPr>
              <w:rPr>
                <w:noProof/>
                <w:sz w:val="20"/>
                <w:lang w:eastAsia="en-GB"/>
              </w:rPr>
            </w:pPr>
          </w:p>
        </w:tc>
        <w:tc>
          <w:tcPr>
            <w:tcW w:w="238" w:type="dxa"/>
            <w:tcBorders>
              <w:top w:val="nil"/>
              <w:left w:val="nil"/>
            </w:tcBorders>
          </w:tcPr>
          <w:p w14:paraId="56BD68F1" w14:textId="77777777" w:rsidR="00841AC1" w:rsidRPr="009F566E" w:rsidRDefault="00841AC1" w:rsidP="00841AC1">
            <w:pPr>
              <w:jc w:val="center"/>
              <w:rPr>
                <w:noProof/>
                <w:sz w:val="20"/>
                <w:lang w:eastAsia="en-GB"/>
              </w:rPr>
            </w:pPr>
          </w:p>
        </w:tc>
        <w:tc>
          <w:tcPr>
            <w:tcW w:w="698" w:type="dxa"/>
            <w:vAlign w:val="center"/>
          </w:tcPr>
          <w:p w14:paraId="3B6FB8CC" w14:textId="77777777" w:rsidR="00841AC1" w:rsidRPr="009F566E" w:rsidRDefault="00841AC1" w:rsidP="00841AC1">
            <w:pPr>
              <w:jc w:val="center"/>
              <w:rPr>
                <w:noProof/>
                <w:sz w:val="20"/>
              </w:rPr>
            </w:pPr>
            <w:r w:rsidRPr="002C6368">
              <w:rPr>
                <w:b/>
                <w:noProof/>
                <w:sz w:val="20"/>
              </w:rPr>
              <w:t>2021</w:t>
            </w:r>
          </w:p>
        </w:tc>
        <w:tc>
          <w:tcPr>
            <w:tcW w:w="1134" w:type="dxa"/>
            <w:vAlign w:val="center"/>
          </w:tcPr>
          <w:p w14:paraId="48113C61" w14:textId="77777777" w:rsidR="00841AC1" w:rsidRPr="009F566E" w:rsidRDefault="00841AC1" w:rsidP="00841AC1">
            <w:pPr>
              <w:jc w:val="center"/>
              <w:rPr>
                <w:noProof/>
                <w:sz w:val="20"/>
              </w:rPr>
            </w:pPr>
            <w:r w:rsidRPr="002C6368">
              <w:rPr>
                <w:b/>
                <w:noProof/>
                <w:sz w:val="20"/>
              </w:rPr>
              <w:t>2022</w:t>
            </w:r>
          </w:p>
        </w:tc>
        <w:tc>
          <w:tcPr>
            <w:tcW w:w="1134" w:type="dxa"/>
            <w:vAlign w:val="center"/>
          </w:tcPr>
          <w:p w14:paraId="58464003" w14:textId="77777777" w:rsidR="00841AC1" w:rsidRPr="009F566E" w:rsidRDefault="00841AC1" w:rsidP="00841AC1">
            <w:pPr>
              <w:jc w:val="center"/>
              <w:rPr>
                <w:noProof/>
                <w:sz w:val="20"/>
              </w:rPr>
            </w:pPr>
            <w:r w:rsidRPr="002C6368">
              <w:rPr>
                <w:b/>
                <w:noProof/>
                <w:sz w:val="20"/>
              </w:rPr>
              <w:t>2023</w:t>
            </w:r>
          </w:p>
        </w:tc>
        <w:tc>
          <w:tcPr>
            <w:tcW w:w="992" w:type="dxa"/>
            <w:vAlign w:val="center"/>
          </w:tcPr>
          <w:p w14:paraId="1A1286B6" w14:textId="77777777" w:rsidR="00841AC1" w:rsidRPr="009F566E" w:rsidRDefault="00841AC1" w:rsidP="00841AC1">
            <w:pPr>
              <w:jc w:val="center"/>
              <w:rPr>
                <w:noProof/>
                <w:sz w:val="20"/>
              </w:rPr>
            </w:pPr>
            <w:r w:rsidRPr="002C6368">
              <w:rPr>
                <w:b/>
                <w:noProof/>
                <w:sz w:val="20"/>
              </w:rPr>
              <w:t>2024</w:t>
            </w:r>
          </w:p>
        </w:tc>
        <w:tc>
          <w:tcPr>
            <w:tcW w:w="850" w:type="dxa"/>
          </w:tcPr>
          <w:p w14:paraId="53C6C2DE" w14:textId="77777777" w:rsidR="00841AC1" w:rsidRPr="009F566E" w:rsidRDefault="00841AC1" w:rsidP="00841AC1">
            <w:pPr>
              <w:jc w:val="center"/>
              <w:rPr>
                <w:b/>
                <w:noProof/>
                <w:sz w:val="20"/>
                <w:szCs w:val="20"/>
              </w:rPr>
            </w:pPr>
            <w:r w:rsidRPr="002C6368">
              <w:rPr>
                <w:b/>
                <w:noProof/>
                <w:sz w:val="20"/>
              </w:rPr>
              <w:t>2025</w:t>
            </w:r>
          </w:p>
        </w:tc>
        <w:tc>
          <w:tcPr>
            <w:tcW w:w="1134" w:type="dxa"/>
          </w:tcPr>
          <w:p w14:paraId="0B2E94D2" w14:textId="77777777" w:rsidR="00841AC1" w:rsidRPr="009F566E" w:rsidRDefault="00841AC1" w:rsidP="00841AC1">
            <w:pPr>
              <w:jc w:val="center"/>
              <w:rPr>
                <w:b/>
                <w:noProof/>
                <w:sz w:val="20"/>
              </w:rPr>
            </w:pPr>
            <w:r w:rsidRPr="002C6368">
              <w:rPr>
                <w:b/>
                <w:noProof/>
                <w:sz w:val="20"/>
              </w:rPr>
              <w:t>2026</w:t>
            </w:r>
          </w:p>
        </w:tc>
        <w:tc>
          <w:tcPr>
            <w:tcW w:w="1276" w:type="dxa"/>
          </w:tcPr>
          <w:p w14:paraId="150FEB6C" w14:textId="77777777" w:rsidR="00841AC1" w:rsidRPr="009F566E" w:rsidRDefault="00841AC1" w:rsidP="00841AC1">
            <w:pPr>
              <w:jc w:val="center"/>
              <w:rPr>
                <w:b/>
                <w:noProof/>
                <w:sz w:val="20"/>
              </w:rPr>
            </w:pPr>
            <w:r w:rsidRPr="002C6368">
              <w:rPr>
                <w:b/>
                <w:noProof/>
                <w:sz w:val="20"/>
              </w:rPr>
              <w:t>2027</w:t>
            </w:r>
          </w:p>
        </w:tc>
        <w:tc>
          <w:tcPr>
            <w:tcW w:w="1134" w:type="dxa"/>
            <w:vAlign w:val="center"/>
          </w:tcPr>
          <w:p w14:paraId="1EC74B61" w14:textId="7050F8F2" w:rsidR="00841AC1" w:rsidRPr="009F566E" w:rsidRDefault="00841AC1" w:rsidP="00841AC1">
            <w:pPr>
              <w:jc w:val="center"/>
              <w:rPr>
                <w:b/>
                <w:noProof/>
                <w:sz w:val="20"/>
              </w:rPr>
            </w:pPr>
            <w:r w:rsidRPr="009F566E">
              <w:rPr>
                <w:b/>
                <w:noProof/>
                <w:sz w:val="20"/>
              </w:rPr>
              <w:t>INS</w:t>
            </w:r>
            <w:r w:rsidR="002C6368">
              <w:rPr>
                <w:b/>
                <w:noProof/>
                <w:sz w:val="20"/>
              </w:rPr>
              <w:softHyphen/>
            </w:r>
            <w:r w:rsidRPr="009F566E">
              <w:rPr>
                <w:b/>
                <w:noProof/>
                <w:sz w:val="20"/>
              </w:rPr>
              <w:t>GESAMT</w:t>
            </w:r>
          </w:p>
        </w:tc>
      </w:tr>
      <w:tr w:rsidR="00841AC1" w:rsidRPr="009F566E" w14:paraId="27BC6D69" w14:textId="77777777" w:rsidTr="00A27D48">
        <w:tc>
          <w:tcPr>
            <w:tcW w:w="3960" w:type="dxa"/>
            <w:vMerge w:val="restart"/>
            <w:shd w:val="clear" w:color="auto" w:fill="C0C0C0"/>
            <w:vAlign w:val="center"/>
          </w:tcPr>
          <w:p w14:paraId="420FDEAB" w14:textId="77777777" w:rsidR="00841AC1" w:rsidRPr="009F566E" w:rsidRDefault="00841AC1" w:rsidP="00841AC1">
            <w:pPr>
              <w:jc w:val="center"/>
              <w:rPr>
                <w:b/>
                <w:noProof/>
              </w:rPr>
            </w:pPr>
            <w:r w:rsidRPr="009F566E">
              <w:rPr>
                <w:b/>
                <w:noProof/>
                <w:sz w:val="22"/>
              </w:rPr>
              <w:t xml:space="preserve">Mittel INSGESAMT </w:t>
            </w:r>
            <w:r w:rsidRPr="009F566E">
              <w:rPr>
                <w:b/>
                <w:noProof/>
                <w:sz w:val="22"/>
              </w:rPr>
              <w:br/>
              <w:t>unter den RUBRIKEN </w:t>
            </w:r>
            <w:r w:rsidRPr="002C6368">
              <w:rPr>
                <w:b/>
                <w:noProof/>
                <w:sz w:val="22"/>
              </w:rPr>
              <w:t>1</w:t>
            </w:r>
            <w:r w:rsidRPr="009F566E">
              <w:rPr>
                <w:b/>
                <w:noProof/>
                <w:sz w:val="22"/>
              </w:rPr>
              <w:t xml:space="preserve"> bis </w:t>
            </w:r>
            <w:r w:rsidRPr="002C6368">
              <w:rPr>
                <w:b/>
                <w:noProof/>
                <w:sz w:val="22"/>
              </w:rPr>
              <w:t>7</w:t>
            </w:r>
            <w:r w:rsidRPr="009F566E">
              <w:rPr>
                <w:noProof/>
              </w:rPr>
              <w:t xml:space="preserve"> </w:t>
            </w:r>
            <w:r w:rsidRPr="009F566E">
              <w:rPr>
                <w:noProof/>
              </w:rPr>
              <w:br/>
            </w:r>
            <w:r w:rsidRPr="009F566E">
              <w:rPr>
                <w:noProof/>
                <w:sz w:val="22"/>
              </w:rPr>
              <w:t>des Mehrjährigen Finanzrahmens</w:t>
            </w:r>
            <w:r w:rsidRPr="009F566E">
              <w:rPr>
                <w:b/>
                <w:noProof/>
                <w:sz w:val="22"/>
              </w:rPr>
              <w:t xml:space="preserve"> </w:t>
            </w:r>
          </w:p>
        </w:tc>
        <w:tc>
          <w:tcPr>
            <w:tcW w:w="1798" w:type="dxa"/>
            <w:gridSpan w:val="2"/>
            <w:vAlign w:val="center"/>
          </w:tcPr>
          <w:p w14:paraId="75DE1E4F" w14:textId="77777777" w:rsidR="00841AC1" w:rsidRPr="009F566E" w:rsidRDefault="00841AC1" w:rsidP="00841AC1">
            <w:pPr>
              <w:rPr>
                <w:noProof/>
                <w:sz w:val="14"/>
              </w:rPr>
            </w:pPr>
            <w:r w:rsidRPr="009F566E">
              <w:rPr>
                <w:noProof/>
                <w:sz w:val="18"/>
              </w:rPr>
              <w:t>Verpflichtungen</w:t>
            </w:r>
          </w:p>
        </w:tc>
        <w:tc>
          <w:tcPr>
            <w:tcW w:w="698" w:type="dxa"/>
            <w:vAlign w:val="center"/>
          </w:tcPr>
          <w:p w14:paraId="653DB4E2" w14:textId="77777777" w:rsidR="00841AC1" w:rsidRPr="009F566E" w:rsidRDefault="00841AC1" w:rsidP="00841AC1">
            <w:pPr>
              <w:spacing w:before="60" w:after="60"/>
              <w:jc w:val="right"/>
              <w:rPr>
                <w:noProof/>
                <w:sz w:val="22"/>
                <w:lang w:eastAsia="en-GB"/>
              </w:rPr>
            </w:pPr>
          </w:p>
        </w:tc>
        <w:tc>
          <w:tcPr>
            <w:tcW w:w="1134" w:type="dxa"/>
            <w:vAlign w:val="center"/>
          </w:tcPr>
          <w:p w14:paraId="0B51296E" w14:textId="77777777" w:rsidR="00841AC1" w:rsidRPr="009F566E" w:rsidRDefault="00841AC1" w:rsidP="00841AC1">
            <w:pPr>
              <w:spacing w:before="60" w:after="60"/>
              <w:jc w:val="right"/>
              <w:rPr>
                <w:noProof/>
                <w:sz w:val="22"/>
                <w:lang w:eastAsia="en-GB"/>
              </w:rPr>
            </w:pPr>
          </w:p>
        </w:tc>
        <w:tc>
          <w:tcPr>
            <w:tcW w:w="1134" w:type="dxa"/>
            <w:vAlign w:val="center"/>
          </w:tcPr>
          <w:p w14:paraId="43AF26F2" w14:textId="77777777" w:rsidR="00841AC1" w:rsidRPr="009F566E" w:rsidRDefault="00841AC1" w:rsidP="00841AC1">
            <w:pPr>
              <w:spacing w:before="60" w:after="60"/>
              <w:jc w:val="right"/>
              <w:rPr>
                <w:noProof/>
                <w:sz w:val="22"/>
                <w:lang w:eastAsia="en-GB"/>
              </w:rPr>
            </w:pPr>
          </w:p>
        </w:tc>
        <w:tc>
          <w:tcPr>
            <w:tcW w:w="992" w:type="dxa"/>
            <w:vAlign w:val="center"/>
          </w:tcPr>
          <w:p w14:paraId="3175DE6B" w14:textId="77777777" w:rsidR="00841AC1" w:rsidRPr="009F566E" w:rsidRDefault="00841AC1" w:rsidP="00841AC1">
            <w:pPr>
              <w:spacing w:before="60" w:after="60"/>
              <w:jc w:val="right"/>
              <w:rPr>
                <w:noProof/>
                <w:sz w:val="22"/>
                <w:lang w:eastAsia="en-GB"/>
              </w:rPr>
            </w:pPr>
          </w:p>
        </w:tc>
        <w:tc>
          <w:tcPr>
            <w:tcW w:w="850" w:type="dxa"/>
            <w:vAlign w:val="center"/>
          </w:tcPr>
          <w:p w14:paraId="11E273CF" w14:textId="77777777" w:rsidR="00841AC1" w:rsidRPr="009F566E" w:rsidRDefault="00841AC1" w:rsidP="00841AC1">
            <w:pPr>
              <w:spacing w:before="60" w:after="60"/>
              <w:jc w:val="right"/>
              <w:rPr>
                <w:noProof/>
                <w:sz w:val="22"/>
                <w:lang w:eastAsia="en-GB"/>
              </w:rPr>
            </w:pPr>
          </w:p>
        </w:tc>
        <w:tc>
          <w:tcPr>
            <w:tcW w:w="1134" w:type="dxa"/>
            <w:vAlign w:val="center"/>
          </w:tcPr>
          <w:p w14:paraId="378183DF" w14:textId="77777777" w:rsidR="00841AC1" w:rsidRPr="009F566E" w:rsidRDefault="00841AC1" w:rsidP="00841AC1">
            <w:pPr>
              <w:spacing w:before="60" w:after="60"/>
              <w:jc w:val="center"/>
              <w:rPr>
                <w:b/>
                <w:noProof/>
                <w:sz w:val="22"/>
                <w:lang w:eastAsia="en-GB"/>
              </w:rPr>
            </w:pPr>
          </w:p>
        </w:tc>
        <w:tc>
          <w:tcPr>
            <w:tcW w:w="1276" w:type="dxa"/>
            <w:vAlign w:val="center"/>
          </w:tcPr>
          <w:p w14:paraId="7EACDA46" w14:textId="77777777" w:rsidR="00841AC1" w:rsidRPr="009F566E" w:rsidRDefault="00841AC1" w:rsidP="00841AC1">
            <w:pPr>
              <w:spacing w:before="60" w:after="60"/>
              <w:jc w:val="center"/>
              <w:rPr>
                <w:b/>
                <w:noProof/>
                <w:sz w:val="22"/>
                <w:lang w:eastAsia="en-GB"/>
              </w:rPr>
            </w:pPr>
          </w:p>
        </w:tc>
        <w:tc>
          <w:tcPr>
            <w:tcW w:w="1134" w:type="dxa"/>
            <w:vAlign w:val="center"/>
          </w:tcPr>
          <w:p w14:paraId="483EAE95" w14:textId="77777777" w:rsidR="00841AC1" w:rsidRPr="009F566E" w:rsidRDefault="00841AC1" w:rsidP="00841AC1">
            <w:pPr>
              <w:spacing w:before="60" w:after="60"/>
              <w:jc w:val="center"/>
              <w:rPr>
                <w:noProof/>
                <w:sz w:val="22"/>
              </w:rPr>
            </w:pPr>
            <w:r w:rsidRPr="002C6368">
              <w:rPr>
                <w:b/>
                <w:noProof/>
                <w:sz w:val="22"/>
              </w:rPr>
              <w:t>0</w:t>
            </w:r>
            <w:r w:rsidRPr="009F566E">
              <w:rPr>
                <w:b/>
                <w:noProof/>
                <w:sz w:val="22"/>
              </w:rPr>
              <w:t>,</w:t>
            </w:r>
            <w:r w:rsidRPr="002C6368">
              <w:rPr>
                <w:b/>
                <w:noProof/>
                <w:sz w:val="22"/>
              </w:rPr>
              <w:t>000</w:t>
            </w:r>
          </w:p>
        </w:tc>
      </w:tr>
      <w:tr w:rsidR="00841AC1" w:rsidRPr="009F566E" w14:paraId="66405CD5" w14:textId="77777777" w:rsidTr="00841AC1">
        <w:tc>
          <w:tcPr>
            <w:tcW w:w="3960" w:type="dxa"/>
            <w:vMerge/>
            <w:shd w:val="clear" w:color="auto" w:fill="C0C0C0"/>
          </w:tcPr>
          <w:p w14:paraId="02BE2279" w14:textId="77777777" w:rsidR="00841AC1" w:rsidRPr="009F566E" w:rsidRDefault="00841AC1" w:rsidP="00841AC1">
            <w:pPr>
              <w:rPr>
                <w:noProof/>
                <w:sz w:val="20"/>
                <w:lang w:eastAsia="en-GB"/>
              </w:rPr>
            </w:pPr>
          </w:p>
        </w:tc>
        <w:tc>
          <w:tcPr>
            <w:tcW w:w="1798" w:type="dxa"/>
            <w:gridSpan w:val="2"/>
            <w:vAlign w:val="center"/>
          </w:tcPr>
          <w:p w14:paraId="533D40D1" w14:textId="77777777" w:rsidR="00841AC1" w:rsidRPr="009F566E" w:rsidRDefault="00841AC1" w:rsidP="00841AC1">
            <w:pPr>
              <w:rPr>
                <w:noProof/>
                <w:sz w:val="14"/>
              </w:rPr>
            </w:pPr>
            <w:r w:rsidRPr="009F566E">
              <w:rPr>
                <w:noProof/>
                <w:sz w:val="18"/>
              </w:rPr>
              <w:t>Zahlungen</w:t>
            </w:r>
          </w:p>
        </w:tc>
        <w:tc>
          <w:tcPr>
            <w:tcW w:w="698" w:type="dxa"/>
            <w:vAlign w:val="center"/>
          </w:tcPr>
          <w:p w14:paraId="6FEC68FE" w14:textId="77777777" w:rsidR="00841AC1" w:rsidRPr="009F566E" w:rsidRDefault="00841AC1" w:rsidP="00841AC1">
            <w:pPr>
              <w:spacing w:before="60" w:after="60"/>
              <w:jc w:val="right"/>
              <w:rPr>
                <w:noProof/>
                <w:sz w:val="22"/>
                <w:lang w:eastAsia="en-GB"/>
              </w:rPr>
            </w:pPr>
          </w:p>
        </w:tc>
        <w:tc>
          <w:tcPr>
            <w:tcW w:w="1134" w:type="dxa"/>
            <w:vAlign w:val="center"/>
          </w:tcPr>
          <w:p w14:paraId="5B84CBA9" w14:textId="77777777" w:rsidR="00841AC1" w:rsidRPr="009F566E" w:rsidRDefault="00841AC1" w:rsidP="00841AC1">
            <w:pPr>
              <w:spacing w:before="60" w:after="60"/>
              <w:jc w:val="right"/>
              <w:rPr>
                <w:noProof/>
                <w:sz w:val="22"/>
              </w:rPr>
            </w:pPr>
            <w:r w:rsidRPr="002C6368">
              <w:rPr>
                <w:noProof/>
                <w:sz w:val="22"/>
              </w:rPr>
              <w:t>1</w:t>
            </w:r>
            <w:r w:rsidRPr="009F566E">
              <w:rPr>
                <w:noProof/>
                <w:sz w:val="22"/>
              </w:rPr>
              <w:t> </w:t>
            </w:r>
            <w:r w:rsidRPr="002C6368">
              <w:rPr>
                <w:noProof/>
                <w:sz w:val="22"/>
              </w:rPr>
              <w:t>743</w:t>
            </w:r>
            <w:r w:rsidRPr="009F566E">
              <w:rPr>
                <w:noProof/>
                <w:sz w:val="22"/>
              </w:rPr>
              <w:t>,</w:t>
            </w:r>
            <w:r w:rsidRPr="002C6368">
              <w:rPr>
                <w:noProof/>
                <w:sz w:val="22"/>
              </w:rPr>
              <w:t>000</w:t>
            </w:r>
          </w:p>
        </w:tc>
        <w:tc>
          <w:tcPr>
            <w:tcW w:w="1134" w:type="dxa"/>
            <w:vAlign w:val="center"/>
          </w:tcPr>
          <w:p w14:paraId="1086081C" w14:textId="77777777" w:rsidR="00841AC1" w:rsidRPr="009F566E" w:rsidRDefault="00841AC1" w:rsidP="00841AC1">
            <w:pPr>
              <w:spacing w:before="60" w:after="60"/>
              <w:jc w:val="right"/>
              <w:rPr>
                <w:noProof/>
                <w:sz w:val="22"/>
              </w:rPr>
            </w:pPr>
            <w:r w:rsidRPr="002C6368">
              <w:rPr>
                <w:noProof/>
                <w:sz w:val="22"/>
              </w:rPr>
              <w:t>1</w:t>
            </w:r>
            <w:r w:rsidRPr="009F566E">
              <w:rPr>
                <w:noProof/>
                <w:sz w:val="22"/>
              </w:rPr>
              <w:t> </w:t>
            </w:r>
            <w:r w:rsidRPr="002C6368">
              <w:rPr>
                <w:noProof/>
                <w:sz w:val="22"/>
              </w:rPr>
              <w:t>743</w:t>
            </w:r>
            <w:r w:rsidRPr="009F566E">
              <w:rPr>
                <w:noProof/>
                <w:sz w:val="22"/>
              </w:rPr>
              <w:t>,</w:t>
            </w:r>
            <w:r w:rsidRPr="002C6368">
              <w:rPr>
                <w:noProof/>
                <w:sz w:val="22"/>
              </w:rPr>
              <w:t>000</w:t>
            </w:r>
          </w:p>
        </w:tc>
        <w:tc>
          <w:tcPr>
            <w:tcW w:w="992" w:type="dxa"/>
            <w:vAlign w:val="center"/>
          </w:tcPr>
          <w:p w14:paraId="00F1DB5D" w14:textId="77777777" w:rsidR="00841AC1" w:rsidRPr="009F566E" w:rsidRDefault="00841AC1" w:rsidP="00841AC1">
            <w:pPr>
              <w:spacing w:before="60" w:after="60"/>
              <w:jc w:val="right"/>
              <w:rPr>
                <w:noProof/>
                <w:sz w:val="22"/>
                <w:lang w:eastAsia="en-GB"/>
              </w:rPr>
            </w:pPr>
          </w:p>
        </w:tc>
        <w:tc>
          <w:tcPr>
            <w:tcW w:w="850" w:type="dxa"/>
            <w:vAlign w:val="center"/>
          </w:tcPr>
          <w:p w14:paraId="5979334F" w14:textId="77777777" w:rsidR="00841AC1" w:rsidRPr="009F566E" w:rsidRDefault="00841AC1" w:rsidP="00841AC1">
            <w:pPr>
              <w:spacing w:before="60" w:after="60"/>
              <w:jc w:val="right"/>
              <w:rPr>
                <w:noProof/>
                <w:sz w:val="22"/>
              </w:rPr>
            </w:pPr>
          </w:p>
        </w:tc>
        <w:tc>
          <w:tcPr>
            <w:tcW w:w="1134" w:type="dxa"/>
            <w:vAlign w:val="center"/>
          </w:tcPr>
          <w:p w14:paraId="19B24434" w14:textId="77777777" w:rsidR="00841AC1" w:rsidRPr="009F566E" w:rsidRDefault="00841AC1" w:rsidP="00841AC1">
            <w:pPr>
              <w:spacing w:before="60" w:after="60"/>
              <w:jc w:val="center"/>
              <w:rPr>
                <w:b/>
                <w:noProof/>
                <w:sz w:val="22"/>
                <w:lang w:eastAsia="en-GB"/>
              </w:rPr>
            </w:pPr>
          </w:p>
        </w:tc>
        <w:tc>
          <w:tcPr>
            <w:tcW w:w="1276" w:type="dxa"/>
            <w:vAlign w:val="center"/>
          </w:tcPr>
          <w:p w14:paraId="66EF5069" w14:textId="77777777" w:rsidR="00841AC1" w:rsidRPr="009F566E" w:rsidRDefault="00841AC1" w:rsidP="00841AC1">
            <w:pPr>
              <w:spacing w:before="60" w:after="60"/>
              <w:jc w:val="center"/>
              <w:rPr>
                <w:noProof/>
                <w:sz w:val="22"/>
              </w:rPr>
            </w:pPr>
            <w:r w:rsidRPr="009F566E">
              <w:rPr>
                <w:noProof/>
                <w:sz w:val="22"/>
              </w:rPr>
              <w:t>-</w:t>
            </w:r>
            <w:r w:rsidRPr="002C6368">
              <w:rPr>
                <w:noProof/>
                <w:sz w:val="22"/>
              </w:rPr>
              <w:t>3</w:t>
            </w:r>
            <w:r w:rsidRPr="009F566E">
              <w:rPr>
                <w:noProof/>
                <w:sz w:val="22"/>
              </w:rPr>
              <w:t> </w:t>
            </w:r>
            <w:r w:rsidRPr="002C6368">
              <w:rPr>
                <w:noProof/>
                <w:sz w:val="22"/>
              </w:rPr>
              <w:t>486</w:t>
            </w:r>
            <w:r w:rsidRPr="009F566E">
              <w:rPr>
                <w:noProof/>
                <w:sz w:val="22"/>
              </w:rPr>
              <w:t>,</w:t>
            </w:r>
            <w:r w:rsidRPr="002C6368">
              <w:rPr>
                <w:noProof/>
                <w:sz w:val="22"/>
              </w:rPr>
              <w:t>000</w:t>
            </w:r>
          </w:p>
        </w:tc>
        <w:tc>
          <w:tcPr>
            <w:tcW w:w="1134" w:type="dxa"/>
            <w:vAlign w:val="center"/>
          </w:tcPr>
          <w:p w14:paraId="05ECBDF7" w14:textId="77777777" w:rsidR="00841AC1" w:rsidRPr="009F566E" w:rsidRDefault="00841AC1" w:rsidP="00841AC1">
            <w:pPr>
              <w:spacing w:before="60" w:after="60"/>
              <w:jc w:val="center"/>
              <w:rPr>
                <w:b/>
                <w:noProof/>
                <w:sz w:val="22"/>
              </w:rPr>
            </w:pPr>
            <w:r w:rsidRPr="002C6368">
              <w:rPr>
                <w:b/>
                <w:noProof/>
                <w:sz w:val="22"/>
              </w:rPr>
              <w:t>0</w:t>
            </w:r>
            <w:r w:rsidRPr="009F566E">
              <w:rPr>
                <w:b/>
                <w:noProof/>
                <w:sz w:val="22"/>
              </w:rPr>
              <w:t>,</w:t>
            </w:r>
            <w:r w:rsidRPr="002C6368">
              <w:rPr>
                <w:b/>
                <w:noProof/>
                <w:sz w:val="22"/>
              </w:rPr>
              <w:t>000</w:t>
            </w:r>
          </w:p>
        </w:tc>
      </w:tr>
    </w:tbl>
    <w:p w14:paraId="4E3648BF" w14:textId="77777777" w:rsidR="00C87E1E" w:rsidRPr="009F566E" w:rsidRDefault="00C87E1E" w:rsidP="00C87E1E">
      <w:pPr>
        <w:rPr>
          <w:noProof/>
          <w:lang w:eastAsia="en-GB"/>
        </w:rPr>
      </w:pPr>
    </w:p>
    <w:p w14:paraId="13919A69" w14:textId="77777777" w:rsidR="00C87E1E" w:rsidRPr="009F566E" w:rsidRDefault="00C87E1E" w:rsidP="00FB18F4">
      <w:pPr>
        <w:keepNext/>
        <w:outlineLvl w:val="2"/>
        <w:rPr>
          <w:rFonts w:eastAsiaTheme="majorEastAsia"/>
          <w:bCs/>
          <w:i/>
          <w:noProof/>
        </w:rPr>
      </w:pPr>
      <w:bookmarkStart w:id="57" w:name="_Toc514938054"/>
      <w:bookmarkStart w:id="58" w:name="_Toc520485053"/>
      <w:r w:rsidRPr="009F566E">
        <w:rPr>
          <w:i/>
          <w:noProof/>
        </w:rPr>
        <w:t>Geschätzte Ergebnisse, die mit operativen Mitteln finanziert werden</w:t>
      </w:r>
      <w:bookmarkEnd w:id="57"/>
      <w:bookmarkEnd w:id="58"/>
      <w:r w:rsidRPr="009F566E">
        <w:rPr>
          <w:i/>
          <w:noProof/>
        </w:rPr>
        <w:t xml:space="preserve"> </w:t>
      </w:r>
    </w:p>
    <w:p w14:paraId="53DD6B83" w14:textId="77777777" w:rsidR="00C87E1E" w:rsidRPr="009F566E" w:rsidRDefault="00C87E1E" w:rsidP="00C87E1E">
      <w:pPr>
        <w:tabs>
          <w:tab w:val="num" w:pos="1134"/>
        </w:tabs>
        <w:ind w:left="1134" w:hanging="283"/>
        <w:rPr>
          <w:noProof/>
        </w:rPr>
      </w:pPr>
      <w:r w:rsidRPr="009F566E">
        <w:rPr>
          <w:noProof/>
        </w:rPr>
        <w:t>Für den Vorschlag/die Initiative werden die vorhandenen operativen Mittel benötigt (keine Änderungen):</w:t>
      </w:r>
    </w:p>
    <w:p w14:paraId="7072515C" w14:textId="77777777" w:rsidR="00C87E1E" w:rsidRPr="009F566E" w:rsidRDefault="00C87E1E" w:rsidP="00FB18F4">
      <w:pPr>
        <w:rPr>
          <w:bCs/>
          <w:noProof/>
          <w:lang w:eastAsia="en-GB"/>
        </w:rPr>
      </w:pPr>
    </w:p>
    <w:p w14:paraId="6CA82F47" w14:textId="77777777" w:rsidR="00C87E1E" w:rsidRPr="009F566E" w:rsidRDefault="00C87E1E" w:rsidP="00C87E1E">
      <w:pPr>
        <w:jc w:val="right"/>
        <w:rPr>
          <w:noProof/>
          <w:sz w:val="20"/>
        </w:rPr>
      </w:pPr>
      <w:r w:rsidRPr="009F566E">
        <w:rPr>
          <w:noProof/>
          <w:sz w:val="20"/>
        </w:rPr>
        <w:t>Mittel für Verpflichtungen, in Mio. EUR (</w:t>
      </w:r>
      <w:r w:rsidRPr="002C6368">
        <w:rPr>
          <w:noProof/>
          <w:sz w:val="20"/>
        </w:rPr>
        <w:t>3</w:t>
      </w:r>
      <w:r w:rsidRPr="009F566E">
        <w:rPr>
          <w:noProof/>
          <w:sz w:val="20"/>
        </w:rPr>
        <w:t xml:space="preserve"> Dezimalstellen)</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C87E1E" w:rsidRPr="009F566E" w14:paraId="71A88C1B" w14:textId="77777777" w:rsidTr="00C87E1E">
        <w:trPr>
          <w:jc w:val="center"/>
        </w:trPr>
        <w:tc>
          <w:tcPr>
            <w:tcW w:w="1423" w:type="dxa"/>
            <w:vMerge w:val="restart"/>
            <w:vAlign w:val="center"/>
          </w:tcPr>
          <w:p w14:paraId="0B2AB68D" w14:textId="77777777" w:rsidR="00C87E1E" w:rsidRPr="009F566E" w:rsidRDefault="00C87E1E" w:rsidP="00C87E1E">
            <w:pPr>
              <w:ind w:right="-29"/>
              <w:jc w:val="center"/>
              <w:rPr>
                <w:b/>
                <w:noProof/>
                <w:sz w:val="18"/>
                <w:szCs w:val="18"/>
              </w:rPr>
            </w:pPr>
            <w:r w:rsidRPr="009F566E">
              <w:rPr>
                <w:b/>
                <w:noProof/>
                <w:sz w:val="18"/>
              </w:rPr>
              <w:t xml:space="preserve">Ziele und Ergebnisse angeben </w:t>
            </w:r>
          </w:p>
          <w:p w14:paraId="00A9E72A" w14:textId="77777777" w:rsidR="00C87E1E" w:rsidRPr="009F566E" w:rsidRDefault="00C87E1E" w:rsidP="00C87E1E">
            <w:pPr>
              <w:ind w:right="-29"/>
              <w:jc w:val="center"/>
              <w:rPr>
                <w:b/>
                <w:noProof/>
                <w:sz w:val="18"/>
                <w:szCs w:val="18"/>
                <w:lang w:eastAsia="en-GB"/>
              </w:rPr>
            </w:pPr>
          </w:p>
          <w:p w14:paraId="1115E29E" w14:textId="77777777" w:rsidR="00C87E1E" w:rsidRPr="009F566E" w:rsidRDefault="00C87E1E" w:rsidP="00C87E1E">
            <w:pPr>
              <w:ind w:right="-29"/>
              <w:jc w:val="center"/>
              <w:rPr>
                <w:noProof/>
                <w:sz w:val="18"/>
                <w:szCs w:val="18"/>
              </w:rPr>
            </w:pPr>
            <w:r w:rsidRPr="009F566E">
              <w:rPr>
                <w:noProof/>
                <w:sz w:val="18"/>
              </w:rPr>
              <w:sym w:font="Wingdings" w:char="F0F2"/>
            </w:r>
          </w:p>
        </w:tc>
        <w:tc>
          <w:tcPr>
            <w:tcW w:w="720" w:type="dxa"/>
            <w:vAlign w:val="center"/>
          </w:tcPr>
          <w:p w14:paraId="0FA38F42" w14:textId="77777777" w:rsidR="00C87E1E" w:rsidRPr="009F566E" w:rsidRDefault="00C87E1E" w:rsidP="00C87E1E">
            <w:pPr>
              <w:ind w:right="-29"/>
              <w:jc w:val="center"/>
              <w:rPr>
                <w:noProof/>
                <w:sz w:val="18"/>
                <w:szCs w:val="18"/>
                <w:lang w:eastAsia="en-GB"/>
              </w:rPr>
            </w:pPr>
          </w:p>
        </w:tc>
        <w:tc>
          <w:tcPr>
            <w:tcW w:w="701" w:type="dxa"/>
            <w:vAlign w:val="center"/>
          </w:tcPr>
          <w:p w14:paraId="10BB9D60" w14:textId="77777777" w:rsidR="00C87E1E" w:rsidRPr="009F566E" w:rsidRDefault="00C87E1E" w:rsidP="00C87E1E">
            <w:pPr>
              <w:ind w:right="-29"/>
              <w:jc w:val="center"/>
              <w:rPr>
                <w:noProof/>
                <w:sz w:val="18"/>
                <w:szCs w:val="18"/>
                <w:lang w:eastAsia="en-GB"/>
              </w:rPr>
            </w:pPr>
          </w:p>
        </w:tc>
        <w:tc>
          <w:tcPr>
            <w:tcW w:w="1224" w:type="dxa"/>
            <w:gridSpan w:val="2"/>
            <w:tcBorders>
              <w:left w:val="nil"/>
            </w:tcBorders>
            <w:vAlign w:val="center"/>
          </w:tcPr>
          <w:p w14:paraId="08912529" w14:textId="77777777" w:rsidR="00C87E1E" w:rsidRPr="009F566E" w:rsidRDefault="00C87E1E" w:rsidP="00C87E1E">
            <w:pPr>
              <w:ind w:right="-29"/>
              <w:jc w:val="center"/>
              <w:rPr>
                <w:noProof/>
                <w:sz w:val="18"/>
                <w:szCs w:val="18"/>
              </w:rPr>
            </w:pPr>
            <w:r w:rsidRPr="009F566E">
              <w:rPr>
                <w:noProof/>
                <w:sz w:val="18"/>
              </w:rPr>
              <w:t>Jahr</w:t>
            </w:r>
            <w:r w:rsidRPr="009F566E">
              <w:rPr>
                <w:noProof/>
              </w:rPr>
              <w:t xml:space="preserve"> </w:t>
            </w:r>
            <w:r w:rsidRPr="009F566E">
              <w:rPr>
                <w:noProof/>
              </w:rPr>
              <w:br/>
            </w:r>
            <w:r w:rsidRPr="009F566E">
              <w:rPr>
                <w:b/>
                <w:noProof/>
                <w:sz w:val="18"/>
              </w:rPr>
              <w:t>N</w:t>
            </w:r>
          </w:p>
        </w:tc>
        <w:tc>
          <w:tcPr>
            <w:tcW w:w="1260" w:type="dxa"/>
            <w:gridSpan w:val="2"/>
            <w:vAlign w:val="center"/>
          </w:tcPr>
          <w:p w14:paraId="434B5758" w14:textId="77777777" w:rsidR="00C87E1E" w:rsidRPr="009F566E" w:rsidRDefault="00C87E1E" w:rsidP="00C87E1E">
            <w:pPr>
              <w:ind w:right="-29"/>
              <w:jc w:val="center"/>
              <w:rPr>
                <w:noProof/>
                <w:sz w:val="18"/>
                <w:szCs w:val="18"/>
              </w:rPr>
            </w:pPr>
            <w:r w:rsidRPr="009F566E">
              <w:rPr>
                <w:noProof/>
                <w:sz w:val="18"/>
              </w:rPr>
              <w:t>Jahr</w:t>
            </w:r>
            <w:r w:rsidRPr="009F566E">
              <w:rPr>
                <w:noProof/>
              </w:rPr>
              <w:t xml:space="preserve"> </w:t>
            </w:r>
            <w:r w:rsidRPr="009F566E">
              <w:rPr>
                <w:noProof/>
              </w:rPr>
              <w:br/>
            </w:r>
            <w:r w:rsidRPr="009F566E">
              <w:rPr>
                <w:b/>
                <w:noProof/>
                <w:sz w:val="18"/>
              </w:rPr>
              <w:t>N+</w:t>
            </w:r>
            <w:r w:rsidRPr="002C6368">
              <w:rPr>
                <w:b/>
                <w:noProof/>
                <w:sz w:val="18"/>
              </w:rPr>
              <w:t>1</w:t>
            </w:r>
          </w:p>
        </w:tc>
        <w:tc>
          <w:tcPr>
            <w:tcW w:w="1440" w:type="dxa"/>
            <w:gridSpan w:val="2"/>
            <w:vAlign w:val="center"/>
          </w:tcPr>
          <w:p w14:paraId="3C62AB11" w14:textId="77777777" w:rsidR="00C87E1E" w:rsidRPr="009F566E" w:rsidRDefault="00C87E1E" w:rsidP="00C87E1E">
            <w:pPr>
              <w:ind w:right="-29"/>
              <w:jc w:val="center"/>
              <w:rPr>
                <w:noProof/>
                <w:sz w:val="18"/>
                <w:szCs w:val="18"/>
              </w:rPr>
            </w:pPr>
            <w:r w:rsidRPr="009F566E">
              <w:rPr>
                <w:noProof/>
                <w:sz w:val="18"/>
              </w:rPr>
              <w:t>Jahr</w:t>
            </w:r>
            <w:r w:rsidRPr="009F566E">
              <w:rPr>
                <w:noProof/>
              </w:rPr>
              <w:t xml:space="preserve"> </w:t>
            </w:r>
            <w:r w:rsidRPr="009F566E">
              <w:rPr>
                <w:noProof/>
              </w:rPr>
              <w:br/>
            </w:r>
            <w:r w:rsidRPr="009F566E">
              <w:rPr>
                <w:b/>
                <w:noProof/>
                <w:sz w:val="18"/>
              </w:rPr>
              <w:t>N+</w:t>
            </w:r>
            <w:r w:rsidRPr="002C6368">
              <w:rPr>
                <w:b/>
                <w:noProof/>
                <w:sz w:val="18"/>
              </w:rPr>
              <w:t>2</w:t>
            </w:r>
          </w:p>
        </w:tc>
        <w:tc>
          <w:tcPr>
            <w:tcW w:w="1620" w:type="dxa"/>
            <w:gridSpan w:val="3"/>
            <w:vAlign w:val="center"/>
          </w:tcPr>
          <w:p w14:paraId="3049701C" w14:textId="77777777" w:rsidR="00C87E1E" w:rsidRPr="009F566E" w:rsidRDefault="00C87E1E" w:rsidP="00C87E1E">
            <w:pPr>
              <w:ind w:right="-29"/>
              <w:jc w:val="center"/>
              <w:rPr>
                <w:noProof/>
                <w:sz w:val="18"/>
                <w:szCs w:val="18"/>
              </w:rPr>
            </w:pPr>
            <w:r w:rsidRPr="009F566E">
              <w:rPr>
                <w:noProof/>
                <w:sz w:val="18"/>
              </w:rPr>
              <w:t>Jahr</w:t>
            </w:r>
            <w:r w:rsidRPr="009F566E">
              <w:rPr>
                <w:noProof/>
              </w:rPr>
              <w:t xml:space="preserve"> </w:t>
            </w:r>
            <w:r w:rsidRPr="009F566E">
              <w:rPr>
                <w:noProof/>
              </w:rPr>
              <w:br/>
            </w:r>
            <w:r w:rsidRPr="009F566E">
              <w:rPr>
                <w:b/>
                <w:noProof/>
                <w:sz w:val="18"/>
              </w:rPr>
              <w:t>N+</w:t>
            </w:r>
            <w:r w:rsidRPr="002C6368">
              <w:rPr>
                <w:b/>
                <w:noProof/>
                <w:sz w:val="18"/>
              </w:rPr>
              <w:t>3</w:t>
            </w:r>
          </w:p>
        </w:tc>
        <w:tc>
          <w:tcPr>
            <w:tcW w:w="3600" w:type="dxa"/>
            <w:gridSpan w:val="6"/>
            <w:vAlign w:val="center"/>
          </w:tcPr>
          <w:p w14:paraId="0C5EC036" w14:textId="77777777" w:rsidR="00C87E1E" w:rsidRPr="009F566E" w:rsidRDefault="00C87E1E" w:rsidP="00C87E1E">
            <w:pPr>
              <w:jc w:val="center"/>
              <w:rPr>
                <w:noProof/>
                <w:sz w:val="18"/>
                <w:szCs w:val="18"/>
              </w:rPr>
            </w:pPr>
            <w:r w:rsidRPr="009F566E">
              <w:rPr>
                <w:noProof/>
                <w:sz w:val="18"/>
              </w:rPr>
              <w:t xml:space="preserve">Bei länger andauernden Auswirkungen (siehe </w:t>
            </w:r>
            <w:r w:rsidRPr="002C6368">
              <w:rPr>
                <w:noProof/>
                <w:sz w:val="18"/>
              </w:rPr>
              <w:t>1</w:t>
            </w:r>
            <w:r w:rsidRPr="009F566E">
              <w:rPr>
                <w:noProof/>
                <w:sz w:val="18"/>
              </w:rPr>
              <w:t>.</w:t>
            </w:r>
            <w:r w:rsidRPr="002C6368">
              <w:rPr>
                <w:noProof/>
                <w:sz w:val="18"/>
              </w:rPr>
              <w:t>6</w:t>
            </w:r>
            <w:r w:rsidRPr="009F566E">
              <w:rPr>
                <w:noProof/>
                <w:sz w:val="18"/>
              </w:rPr>
              <w:t>.) bitte weitere Spalten einfügen.</w:t>
            </w:r>
          </w:p>
        </w:tc>
        <w:tc>
          <w:tcPr>
            <w:tcW w:w="1620" w:type="dxa"/>
            <w:gridSpan w:val="2"/>
            <w:tcBorders>
              <w:left w:val="nil"/>
              <w:bottom w:val="nil"/>
            </w:tcBorders>
            <w:vAlign w:val="center"/>
          </w:tcPr>
          <w:p w14:paraId="2A008985" w14:textId="77777777" w:rsidR="00C87E1E" w:rsidRPr="009F566E" w:rsidRDefault="00C87E1E" w:rsidP="00C87E1E">
            <w:pPr>
              <w:ind w:right="-29"/>
              <w:jc w:val="center"/>
              <w:rPr>
                <w:noProof/>
                <w:sz w:val="18"/>
                <w:szCs w:val="18"/>
              </w:rPr>
            </w:pPr>
            <w:r w:rsidRPr="009F566E">
              <w:rPr>
                <w:b/>
                <w:noProof/>
                <w:sz w:val="18"/>
              </w:rPr>
              <w:t>INSGESAMT</w:t>
            </w:r>
          </w:p>
        </w:tc>
      </w:tr>
      <w:tr w:rsidR="00C87E1E" w:rsidRPr="009F566E" w14:paraId="468ADA8B" w14:textId="77777777" w:rsidTr="00C87E1E">
        <w:trPr>
          <w:jc w:val="center"/>
        </w:trPr>
        <w:tc>
          <w:tcPr>
            <w:tcW w:w="1423" w:type="dxa"/>
            <w:vMerge/>
            <w:vAlign w:val="center"/>
          </w:tcPr>
          <w:p w14:paraId="6A13CB03" w14:textId="77777777" w:rsidR="00C87E1E" w:rsidRPr="009F566E" w:rsidRDefault="00C87E1E" w:rsidP="00C87E1E">
            <w:pPr>
              <w:ind w:right="-29"/>
              <w:jc w:val="center"/>
              <w:rPr>
                <w:noProof/>
                <w:sz w:val="18"/>
                <w:szCs w:val="18"/>
                <w:lang w:eastAsia="en-GB"/>
              </w:rPr>
            </w:pPr>
          </w:p>
        </w:tc>
        <w:tc>
          <w:tcPr>
            <w:tcW w:w="12185" w:type="dxa"/>
            <w:gridSpan w:val="19"/>
            <w:vAlign w:val="center"/>
          </w:tcPr>
          <w:p w14:paraId="14601ED0" w14:textId="77777777" w:rsidR="00C87E1E" w:rsidRPr="009F566E" w:rsidRDefault="00C87E1E" w:rsidP="00C87E1E">
            <w:pPr>
              <w:spacing w:before="60" w:after="60"/>
              <w:ind w:right="-29"/>
              <w:jc w:val="center"/>
              <w:rPr>
                <w:noProof/>
                <w:sz w:val="18"/>
                <w:szCs w:val="18"/>
              </w:rPr>
            </w:pPr>
            <w:r w:rsidRPr="009F566E">
              <w:rPr>
                <w:b/>
                <w:noProof/>
                <w:sz w:val="18"/>
              </w:rPr>
              <w:t>ERGEBNISSE</w:t>
            </w:r>
          </w:p>
        </w:tc>
      </w:tr>
      <w:tr w:rsidR="00C87E1E" w:rsidRPr="009F566E" w14:paraId="20BD9DED" w14:textId="77777777" w:rsidTr="00C87E1E">
        <w:trPr>
          <w:cantSplit/>
          <w:trHeight w:val="1134"/>
          <w:jc w:val="center"/>
        </w:trPr>
        <w:tc>
          <w:tcPr>
            <w:tcW w:w="1423" w:type="dxa"/>
            <w:vMerge/>
            <w:vAlign w:val="center"/>
          </w:tcPr>
          <w:p w14:paraId="57EEDD30" w14:textId="77777777" w:rsidR="00C87E1E" w:rsidRPr="009F566E" w:rsidRDefault="00C87E1E" w:rsidP="00C87E1E">
            <w:pPr>
              <w:rPr>
                <w:noProof/>
                <w:sz w:val="18"/>
                <w:szCs w:val="18"/>
                <w:lang w:eastAsia="en-GB"/>
              </w:rPr>
            </w:pPr>
          </w:p>
        </w:tc>
        <w:tc>
          <w:tcPr>
            <w:tcW w:w="720" w:type="dxa"/>
            <w:vAlign w:val="center"/>
          </w:tcPr>
          <w:p w14:paraId="01A85A5A" w14:textId="77777777" w:rsidR="00C87E1E" w:rsidRPr="009F566E" w:rsidRDefault="00C87E1E" w:rsidP="00C87E1E">
            <w:pPr>
              <w:jc w:val="center"/>
              <w:rPr>
                <w:noProof/>
                <w:sz w:val="18"/>
                <w:szCs w:val="18"/>
              </w:rPr>
            </w:pPr>
            <w:r w:rsidRPr="009F566E">
              <w:rPr>
                <w:noProof/>
                <w:sz w:val="18"/>
              </w:rPr>
              <w:t>Art</w:t>
            </w:r>
            <w:r w:rsidRPr="009F566E">
              <w:rPr>
                <w:rStyle w:val="FootnoteReference"/>
                <w:noProof/>
              </w:rPr>
              <w:footnoteReference w:id="26"/>
            </w:r>
          </w:p>
          <w:p w14:paraId="329ECEFE" w14:textId="77777777" w:rsidR="00C87E1E" w:rsidRPr="009F566E" w:rsidRDefault="00C87E1E" w:rsidP="00C87E1E">
            <w:pPr>
              <w:spacing w:before="0" w:after="0"/>
              <w:jc w:val="center"/>
              <w:rPr>
                <w:noProof/>
                <w:sz w:val="18"/>
                <w:szCs w:val="18"/>
                <w:lang w:eastAsia="en-GB"/>
              </w:rPr>
            </w:pPr>
          </w:p>
        </w:tc>
        <w:tc>
          <w:tcPr>
            <w:tcW w:w="701" w:type="dxa"/>
            <w:vAlign w:val="center"/>
          </w:tcPr>
          <w:p w14:paraId="1177A4C5" w14:textId="77777777" w:rsidR="00C87E1E" w:rsidRPr="009F566E" w:rsidRDefault="00C87E1E" w:rsidP="00C87E1E">
            <w:pPr>
              <w:jc w:val="center"/>
              <w:rPr>
                <w:noProof/>
                <w:sz w:val="18"/>
                <w:szCs w:val="18"/>
              </w:rPr>
            </w:pPr>
            <w:r w:rsidRPr="009F566E">
              <w:rPr>
                <w:noProof/>
                <w:sz w:val="18"/>
              </w:rPr>
              <w:t>Durchschnittskosten</w:t>
            </w:r>
          </w:p>
        </w:tc>
        <w:tc>
          <w:tcPr>
            <w:tcW w:w="504" w:type="dxa"/>
            <w:tcBorders>
              <w:left w:val="nil"/>
              <w:right w:val="dashSmallGap" w:sz="4" w:space="0" w:color="auto"/>
            </w:tcBorders>
            <w:shd w:val="pct10" w:color="auto" w:fill="auto"/>
            <w:textDirection w:val="btLr"/>
            <w:vAlign w:val="center"/>
          </w:tcPr>
          <w:p w14:paraId="35F8C4EA" w14:textId="77777777" w:rsidR="00C87E1E" w:rsidRPr="009F566E" w:rsidRDefault="00C87E1E" w:rsidP="00C87E1E">
            <w:pPr>
              <w:ind w:left="113" w:right="113"/>
              <w:jc w:val="center"/>
              <w:rPr>
                <w:noProof/>
                <w:sz w:val="18"/>
                <w:szCs w:val="18"/>
              </w:rPr>
            </w:pPr>
            <w:r w:rsidRPr="009F566E">
              <w:rPr>
                <w:noProof/>
                <w:sz w:val="18"/>
              </w:rPr>
              <w:t>Anzahl</w:t>
            </w:r>
          </w:p>
        </w:tc>
        <w:tc>
          <w:tcPr>
            <w:tcW w:w="720" w:type="dxa"/>
            <w:tcBorders>
              <w:left w:val="dashSmallGap" w:sz="4" w:space="0" w:color="auto"/>
            </w:tcBorders>
            <w:shd w:val="pct10" w:color="auto" w:fill="auto"/>
            <w:vAlign w:val="center"/>
          </w:tcPr>
          <w:p w14:paraId="23A70EB4" w14:textId="77777777" w:rsidR="00C87E1E" w:rsidRPr="009F566E" w:rsidRDefault="00C87E1E" w:rsidP="00C87E1E">
            <w:pPr>
              <w:jc w:val="center"/>
              <w:rPr>
                <w:noProof/>
                <w:sz w:val="18"/>
                <w:szCs w:val="18"/>
              </w:rPr>
            </w:pPr>
            <w:r w:rsidRPr="009F566E">
              <w:rPr>
                <w:noProof/>
                <w:sz w:val="18"/>
              </w:rPr>
              <w:t>Kosten</w:t>
            </w:r>
          </w:p>
        </w:tc>
        <w:tc>
          <w:tcPr>
            <w:tcW w:w="540" w:type="dxa"/>
            <w:tcBorders>
              <w:right w:val="dashSmallGap" w:sz="4" w:space="0" w:color="auto"/>
            </w:tcBorders>
            <w:shd w:val="pct10" w:color="auto" w:fill="auto"/>
            <w:textDirection w:val="btLr"/>
            <w:vAlign w:val="center"/>
          </w:tcPr>
          <w:p w14:paraId="5AEBC856" w14:textId="77777777" w:rsidR="00C87E1E" w:rsidRPr="009F566E" w:rsidRDefault="00C87E1E" w:rsidP="00C87E1E">
            <w:pPr>
              <w:ind w:left="113" w:right="113"/>
              <w:jc w:val="center"/>
              <w:rPr>
                <w:noProof/>
                <w:sz w:val="18"/>
                <w:szCs w:val="18"/>
              </w:rPr>
            </w:pPr>
            <w:r w:rsidRPr="009F566E">
              <w:rPr>
                <w:noProof/>
                <w:sz w:val="18"/>
              </w:rPr>
              <w:t>Anzahl</w:t>
            </w:r>
          </w:p>
        </w:tc>
        <w:tc>
          <w:tcPr>
            <w:tcW w:w="720" w:type="dxa"/>
            <w:tcBorders>
              <w:left w:val="dashSmallGap" w:sz="4" w:space="0" w:color="auto"/>
            </w:tcBorders>
            <w:shd w:val="pct10" w:color="auto" w:fill="auto"/>
            <w:vAlign w:val="center"/>
          </w:tcPr>
          <w:p w14:paraId="227166E2" w14:textId="77777777" w:rsidR="00C87E1E" w:rsidRPr="009F566E" w:rsidRDefault="00C87E1E" w:rsidP="00C87E1E">
            <w:pPr>
              <w:jc w:val="center"/>
              <w:rPr>
                <w:noProof/>
                <w:sz w:val="18"/>
                <w:szCs w:val="18"/>
              </w:rPr>
            </w:pPr>
            <w:r w:rsidRPr="009F566E">
              <w:rPr>
                <w:noProof/>
                <w:sz w:val="18"/>
              </w:rPr>
              <w:t>Kosten</w:t>
            </w:r>
          </w:p>
        </w:tc>
        <w:tc>
          <w:tcPr>
            <w:tcW w:w="720" w:type="dxa"/>
            <w:tcBorders>
              <w:right w:val="dashSmallGap" w:sz="4" w:space="0" w:color="auto"/>
            </w:tcBorders>
            <w:shd w:val="pct10" w:color="auto" w:fill="auto"/>
            <w:textDirection w:val="btLr"/>
            <w:vAlign w:val="center"/>
          </w:tcPr>
          <w:p w14:paraId="7384A532" w14:textId="77777777" w:rsidR="00C87E1E" w:rsidRPr="009F566E" w:rsidRDefault="00C87E1E" w:rsidP="00C87E1E">
            <w:pPr>
              <w:ind w:left="113" w:right="113"/>
              <w:jc w:val="center"/>
              <w:rPr>
                <w:noProof/>
                <w:sz w:val="18"/>
                <w:szCs w:val="18"/>
              </w:rPr>
            </w:pPr>
            <w:r w:rsidRPr="009F566E">
              <w:rPr>
                <w:noProof/>
                <w:sz w:val="18"/>
              </w:rPr>
              <w:t>Anzahl</w:t>
            </w:r>
          </w:p>
        </w:tc>
        <w:tc>
          <w:tcPr>
            <w:tcW w:w="720" w:type="dxa"/>
            <w:tcBorders>
              <w:left w:val="dashSmallGap" w:sz="4" w:space="0" w:color="auto"/>
            </w:tcBorders>
            <w:shd w:val="pct10" w:color="auto" w:fill="auto"/>
            <w:vAlign w:val="center"/>
          </w:tcPr>
          <w:p w14:paraId="42C258BD" w14:textId="77777777" w:rsidR="00C87E1E" w:rsidRPr="009F566E" w:rsidRDefault="00C87E1E" w:rsidP="00C87E1E">
            <w:pPr>
              <w:jc w:val="center"/>
              <w:rPr>
                <w:noProof/>
                <w:sz w:val="18"/>
                <w:szCs w:val="18"/>
              </w:rPr>
            </w:pPr>
            <w:r w:rsidRPr="009F566E">
              <w:rPr>
                <w:noProof/>
                <w:sz w:val="18"/>
              </w:rPr>
              <w:t>Kosten</w:t>
            </w:r>
          </w:p>
        </w:tc>
        <w:tc>
          <w:tcPr>
            <w:tcW w:w="900" w:type="dxa"/>
            <w:tcBorders>
              <w:right w:val="dashSmallGap" w:sz="4" w:space="0" w:color="auto"/>
            </w:tcBorders>
            <w:shd w:val="pct10" w:color="auto" w:fill="auto"/>
            <w:textDirection w:val="btLr"/>
            <w:vAlign w:val="center"/>
          </w:tcPr>
          <w:p w14:paraId="34D321F4" w14:textId="77777777" w:rsidR="00C87E1E" w:rsidRPr="009F566E" w:rsidRDefault="00C87E1E" w:rsidP="00C87E1E">
            <w:pPr>
              <w:ind w:left="113" w:right="113"/>
              <w:jc w:val="center"/>
              <w:rPr>
                <w:noProof/>
                <w:sz w:val="18"/>
                <w:szCs w:val="18"/>
              </w:rPr>
            </w:pPr>
            <w:r w:rsidRPr="009F566E">
              <w:rPr>
                <w:noProof/>
                <w:sz w:val="18"/>
              </w:rPr>
              <w:t>Anzahl</w:t>
            </w:r>
          </w:p>
        </w:tc>
        <w:tc>
          <w:tcPr>
            <w:tcW w:w="720" w:type="dxa"/>
            <w:gridSpan w:val="2"/>
            <w:tcBorders>
              <w:left w:val="dashSmallGap" w:sz="4" w:space="0" w:color="auto"/>
            </w:tcBorders>
            <w:shd w:val="pct10" w:color="auto" w:fill="auto"/>
            <w:vAlign w:val="center"/>
          </w:tcPr>
          <w:p w14:paraId="22CA5892" w14:textId="77777777" w:rsidR="00C87E1E" w:rsidRPr="009F566E" w:rsidRDefault="00C87E1E" w:rsidP="00C87E1E">
            <w:pPr>
              <w:jc w:val="center"/>
              <w:rPr>
                <w:noProof/>
                <w:sz w:val="18"/>
                <w:szCs w:val="18"/>
              </w:rPr>
            </w:pPr>
            <w:r w:rsidRPr="009F566E">
              <w:rPr>
                <w:noProof/>
                <w:sz w:val="18"/>
              </w:rPr>
              <w:t>Kosten</w:t>
            </w:r>
          </w:p>
        </w:tc>
        <w:tc>
          <w:tcPr>
            <w:tcW w:w="540" w:type="dxa"/>
            <w:tcBorders>
              <w:right w:val="dashSmallGap" w:sz="4" w:space="0" w:color="auto"/>
            </w:tcBorders>
            <w:shd w:val="pct10" w:color="auto" w:fill="auto"/>
            <w:textDirection w:val="btLr"/>
            <w:vAlign w:val="center"/>
          </w:tcPr>
          <w:p w14:paraId="47B4A517" w14:textId="77777777" w:rsidR="00C87E1E" w:rsidRPr="009F566E" w:rsidRDefault="00C87E1E" w:rsidP="00C87E1E">
            <w:pPr>
              <w:ind w:left="113" w:right="113"/>
              <w:jc w:val="center"/>
              <w:rPr>
                <w:noProof/>
                <w:sz w:val="18"/>
                <w:szCs w:val="18"/>
              </w:rPr>
            </w:pPr>
            <w:r w:rsidRPr="009F566E">
              <w:rPr>
                <w:noProof/>
                <w:sz w:val="18"/>
              </w:rPr>
              <w:t>Anzahl</w:t>
            </w:r>
          </w:p>
        </w:tc>
        <w:tc>
          <w:tcPr>
            <w:tcW w:w="648" w:type="dxa"/>
            <w:tcBorders>
              <w:left w:val="dashSmallGap" w:sz="4" w:space="0" w:color="auto"/>
            </w:tcBorders>
            <w:shd w:val="pct10" w:color="auto" w:fill="auto"/>
            <w:vAlign w:val="center"/>
          </w:tcPr>
          <w:p w14:paraId="782E4B34" w14:textId="77777777" w:rsidR="00C87E1E" w:rsidRPr="009F566E" w:rsidRDefault="00C87E1E" w:rsidP="00C87E1E">
            <w:pPr>
              <w:jc w:val="center"/>
              <w:rPr>
                <w:noProof/>
                <w:sz w:val="18"/>
                <w:szCs w:val="18"/>
              </w:rPr>
            </w:pPr>
            <w:r w:rsidRPr="009F566E">
              <w:rPr>
                <w:noProof/>
                <w:sz w:val="18"/>
              </w:rPr>
              <w:t>Kosten</w:t>
            </w:r>
          </w:p>
        </w:tc>
        <w:tc>
          <w:tcPr>
            <w:tcW w:w="432" w:type="dxa"/>
            <w:tcBorders>
              <w:right w:val="dashSmallGap" w:sz="4" w:space="0" w:color="auto"/>
            </w:tcBorders>
            <w:shd w:val="pct10" w:color="auto" w:fill="auto"/>
            <w:textDirection w:val="btLr"/>
            <w:vAlign w:val="center"/>
          </w:tcPr>
          <w:p w14:paraId="230800A7" w14:textId="77777777" w:rsidR="00C87E1E" w:rsidRPr="009F566E" w:rsidRDefault="00C87E1E" w:rsidP="00C87E1E">
            <w:pPr>
              <w:ind w:left="113" w:right="113"/>
              <w:jc w:val="center"/>
              <w:rPr>
                <w:noProof/>
                <w:sz w:val="18"/>
                <w:szCs w:val="18"/>
              </w:rPr>
            </w:pPr>
            <w:r w:rsidRPr="009F566E">
              <w:rPr>
                <w:noProof/>
                <w:sz w:val="18"/>
              </w:rPr>
              <w:t>Anzahl</w:t>
            </w:r>
          </w:p>
        </w:tc>
        <w:tc>
          <w:tcPr>
            <w:tcW w:w="720" w:type="dxa"/>
            <w:tcBorders>
              <w:left w:val="dashSmallGap" w:sz="4" w:space="0" w:color="auto"/>
            </w:tcBorders>
            <w:shd w:val="pct10" w:color="auto" w:fill="auto"/>
            <w:vAlign w:val="center"/>
          </w:tcPr>
          <w:p w14:paraId="050DDCC4" w14:textId="77777777" w:rsidR="00C87E1E" w:rsidRPr="009F566E" w:rsidRDefault="00C87E1E" w:rsidP="00C87E1E">
            <w:pPr>
              <w:jc w:val="center"/>
              <w:rPr>
                <w:noProof/>
                <w:sz w:val="18"/>
                <w:szCs w:val="18"/>
              </w:rPr>
            </w:pPr>
            <w:r w:rsidRPr="009F566E">
              <w:rPr>
                <w:noProof/>
                <w:sz w:val="18"/>
              </w:rPr>
              <w:t>Kosten</w:t>
            </w:r>
          </w:p>
        </w:tc>
        <w:tc>
          <w:tcPr>
            <w:tcW w:w="540" w:type="dxa"/>
            <w:tcBorders>
              <w:right w:val="dashSmallGap" w:sz="4" w:space="0" w:color="auto"/>
            </w:tcBorders>
            <w:shd w:val="pct10" w:color="auto" w:fill="auto"/>
            <w:textDirection w:val="btLr"/>
            <w:vAlign w:val="center"/>
          </w:tcPr>
          <w:p w14:paraId="7FDAF35C" w14:textId="77777777" w:rsidR="00C87E1E" w:rsidRPr="009F566E" w:rsidRDefault="00C87E1E" w:rsidP="00C87E1E">
            <w:pPr>
              <w:ind w:left="113" w:right="113"/>
              <w:jc w:val="center"/>
              <w:rPr>
                <w:noProof/>
                <w:sz w:val="18"/>
                <w:szCs w:val="18"/>
              </w:rPr>
            </w:pPr>
            <w:r w:rsidRPr="009F566E">
              <w:rPr>
                <w:noProof/>
                <w:sz w:val="18"/>
              </w:rPr>
              <w:t>Anzahl</w:t>
            </w:r>
          </w:p>
        </w:tc>
        <w:tc>
          <w:tcPr>
            <w:tcW w:w="720" w:type="dxa"/>
            <w:tcBorders>
              <w:left w:val="dashSmallGap" w:sz="4" w:space="0" w:color="auto"/>
            </w:tcBorders>
            <w:shd w:val="pct10" w:color="auto" w:fill="auto"/>
            <w:vAlign w:val="center"/>
          </w:tcPr>
          <w:p w14:paraId="0DB71E6A" w14:textId="77777777" w:rsidR="00C87E1E" w:rsidRPr="009F566E" w:rsidRDefault="00C87E1E" w:rsidP="00C87E1E">
            <w:pPr>
              <w:jc w:val="center"/>
              <w:rPr>
                <w:noProof/>
                <w:sz w:val="18"/>
                <w:szCs w:val="18"/>
              </w:rPr>
            </w:pPr>
            <w:r w:rsidRPr="009F566E">
              <w:rPr>
                <w:noProof/>
                <w:sz w:val="18"/>
              </w:rPr>
              <w:t>Kosten</w:t>
            </w:r>
          </w:p>
        </w:tc>
        <w:tc>
          <w:tcPr>
            <w:tcW w:w="720" w:type="dxa"/>
            <w:tcBorders>
              <w:right w:val="dashSmallGap" w:sz="4" w:space="0" w:color="auto"/>
            </w:tcBorders>
            <w:shd w:val="pct10" w:color="auto" w:fill="auto"/>
            <w:vAlign w:val="center"/>
          </w:tcPr>
          <w:p w14:paraId="45168413" w14:textId="77777777" w:rsidR="00C87E1E" w:rsidRPr="009F566E" w:rsidRDefault="00C87E1E" w:rsidP="00C87E1E">
            <w:pPr>
              <w:jc w:val="center"/>
              <w:rPr>
                <w:noProof/>
                <w:sz w:val="18"/>
                <w:szCs w:val="18"/>
              </w:rPr>
            </w:pPr>
            <w:r w:rsidRPr="009F566E">
              <w:rPr>
                <w:noProof/>
                <w:sz w:val="18"/>
              </w:rPr>
              <w:t>Gesamtzahl</w:t>
            </w:r>
          </w:p>
        </w:tc>
        <w:tc>
          <w:tcPr>
            <w:tcW w:w="900" w:type="dxa"/>
            <w:tcBorders>
              <w:left w:val="dashSmallGap" w:sz="4" w:space="0" w:color="auto"/>
            </w:tcBorders>
            <w:shd w:val="pct10" w:color="auto" w:fill="auto"/>
            <w:vAlign w:val="center"/>
          </w:tcPr>
          <w:p w14:paraId="0BD5B641" w14:textId="77777777" w:rsidR="00C87E1E" w:rsidRPr="009F566E" w:rsidRDefault="00C87E1E" w:rsidP="00C87E1E">
            <w:pPr>
              <w:jc w:val="center"/>
              <w:rPr>
                <w:noProof/>
                <w:sz w:val="18"/>
                <w:szCs w:val="18"/>
              </w:rPr>
            </w:pPr>
            <w:r w:rsidRPr="009F566E">
              <w:rPr>
                <w:noProof/>
                <w:sz w:val="18"/>
              </w:rPr>
              <w:t>Gesamtkosten</w:t>
            </w:r>
          </w:p>
        </w:tc>
      </w:tr>
      <w:tr w:rsidR="00C87E1E" w:rsidRPr="009F566E" w14:paraId="7FEFDAF9" w14:textId="77777777" w:rsidTr="00C87E1E">
        <w:trPr>
          <w:jc w:val="center"/>
        </w:trPr>
        <w:tc>
          <w:tcPr>
            <w:tcW w:w="2844" w:type="dxa"/>
            <w:gridSpan w:val="3"/>
            <w:vAlign w:val="center"/>
          </w:tcPr>
          <w:p w14:paraId="25605D6C" w14:textId="77777777" w:rsidR="00C87E1E" w:rsidRPr="009F566E" w:rsidRDefault="00C87E1E" w:rsidP="00C87E1E">
            <w:pPr>
              <w:spacing w:before="60" w:after="60"/>
              <w:ind w:right="-29"/>
              <w:jc w:val="center"/>
              <w:rPr>
                <w:noProof/>
                <w:sz w:val="18"/>
                <w:szCs w:val="18"/>
              </w:rPr>
            </w:pPr>
            <w:r w:rsidRPr="009F566E">
              <w:rPr>
                <w:noProof/>
                <w:sz w:val="18"/>
              </w:rPr>
              <w:t>EINZELZIEL Nr. </w:t>
            </w:r>
            <w:r w:rsidRPr="002C6368">
              <w:rPr>
                <w:noProof/>
                <w:sz w:val="18"/>
              </w:rPr>
              <w:t>1</w:t>
            </w:r>
            <w:r w:rsidRPr="009F566E">
              <w:rPr>
                <w:rStyle w:val="FootnoteReference"/>
                <w:noProof/>
              </w:rPr>
              <w:footnoteReference w:id="27"/>
            </w:r>
          </w:p>
        </w:tc>
        <w:tc>
          <w:tcPr>
            <w:tcW w:w="504" w:type="dxa"/>
            <w:tcBorders>
              <w:top w:val="nil"/>
              <w:left w:val="nil"/>
              <w:bottom w:val="nil"/>
              <w:right w:val="nil"/>
            </w:tcBorders>
          </w:tcPr>
          <w:p w14:paraId="7CECC748"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22A60733" w14:textId="77777777" w:rsidR="00C87E1E" w:rsidRPr="009F566E"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566EF4AF"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79ADD083"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1C2523DC"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57DD628C" w14:textId="77777777" w:rsidR="00C87E1E" w:rsidRPr="009F566E"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631A7477" w14:textId="77777777" w:rsidR="00C87E1E" w:rsidRPr="009F566E" w:rsidRDefault="00C87E1E" w:rsidP="00C87E1E">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08F2F0BF" w14:textId="77777777" w:rsidR="00C87E1E" w:rsidRPr="009F566E"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6B0A77FF" w14:textId="77777777" w:rsidR="00C87E1E" w:rsidRPr="009F566E" w:rsidRDefault="00C87E1E" w:rsidP="00C87E1E">
            <w:pPr>
              <w:spacing w:before="60" w:after="60"/>
              <w:ind w:right="-29"/>
              <w:jc w:val="center"/>
              <w:rPr>
                <w:noProof/>
                <w:sz w:val="18"/>
                <w:szCs w:val="18"/>
                <w:lang w:eastAsia="en-GB"/>
              </w:rPr>
            </w:pPr>
          </w:p>
        </w:tc>
        <w:tc>
          <w:tcPr>
            <w:tcW w:w="648" w:type="dxa"/>
            <w:tcBorders>
              <w:top w:val="nil"/>
              <w:left w:val="nil"/>
              <w:bottom w:val="nil"/>
              <w:right w:val="nil"/>
            </w:tcBorders>
          </w:tcPr>
          <w:p w14:paraId="0BAA5CB6" w14:textId="77777777" w:rsidR="00C87E1E" w:rsidRPr="009F566E" w:rsidRDefault="00C87E1E" w:rsidP="00C87E1E">
            <w:pPr>
              <w:spacing w:before="60" w:after="60"/>
              <w:ind w:right="-29"/>
              <w:jc w:val="center"/>
              <w:rPr>
                <w:noProof/>
                <w:sz w:val="18"/>
                <w:szCs w:val="18"/>
                <w:lang w:eastAsia="en-GB"/>
              </w:rPr>
            </w:pPr>
          </w:p>
        </w:tc>
        <w:tc>
          <w:tcPr>
            <w:tcW w:w="432" w:type="dxa"/>
            <w:tcBorders>
              <w:top w:val="nil"/>
              <w:left w:val="nil"/>
              <w:bottom w:val="nil"/>
              <w:right w:val="nil"/>
            </w:tcBorders>
          </w:tcPr>
          <w:p w14:paraId="21B37B53"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7D8EE462" w14:textId="77777777" w:rsidR="00C87E1E" w:rsidRPr="009F566E"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6DDC7D82"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3EC7D272"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12E140C0" w14:textId="77777777" w:rsidR="00C87E1E" w:rsidRPr="009F566E"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667DB75A" w14:textId="77777777" w:rsidR="00C87E1E" w:rsidRPr="009F566E" w:rsidRDefault="00C87E1E" w:rsidP="00C87E1E">
            <w:pPr>
              <w:spacing w:before="60" w:after="60"/>
              <w:ind w:right="-29"/>
              <w:jc w:val="center"/>
              <w:rPr>
                <w:noProof/>
                <w:sz w:val="18"/>
                <w:szCs w:val="18"/>
                <w:lang w:eastAsia="en-GB"/>
              </w:rPr>
            </w:pPr>
          </w:p>
        </w:tc>
      </w:tr>
      <w:tr w:rsidR="00C87E1E" w:rsidRPr="009F566E" w14:paraId="2012CE82" w14:textId="77777777" w:rsidTr="00C87E1E">
        <w:trPr>
          <w:trHeight w:hRule="exact" w:val="369"/>
          <w:jc w:val="center"/>
        </w:trPr>
        <w:tc>
          <w:tcPr>
            <w:tcW w:w="1423" w:type="dxa"/>
          </w:tcPr>
          <w:p w14:paraId="2FB07626" w14:textId="77777777" w:rsidR="00C87E1E" w:rsidRPr="009F566E" w:rsidRDefault="00C87E1E" w:rsidP="00C87E1E">
            <w:pPr>
              <w:ind w:right="-29"/>
              <w:jc w:val="center"/>
              <w:rPr>
                <w:noProof/>
                <w:sz w:val="18"/>
                <w:szCs w:val="18"/>
              </w:rPr>
            </w:pPr>
            <w:r w:rsidRPr="009F566E">
              <w:rPr>
                <w:noProof/>
                <w:sz w:val="18"/>
              </w:rPr>
              <w:t>- Ergebnis</w:t>
            </w:r>
          </w:p>
        </w:tc>
        <w:tc>
          <w:tcPr>
            <w:tcW w:w="720" w:type="dxa"/>
          </w:tcPr>
          <w:p w14:paraId="1FB154AB" w14:textId="77777777" w:rsidR="00C87E1E" w:rsidRPr="009F566E" w:rsidRDefault="00C87E1E" w:rsidP="00C87E1E">
            <w:pPr>
              <w:ind w:right="-29"/>
              <w:jc w:val="center"/>
              <w:rPr>
                <w:noProof/>
                <w:sz w:val="18"/>
                <w:szCs w:val="18"/>
                <w:lang w:eastAsia="en-GB"/>
              </w:rPr>
            </w:pPr>
          </w:p>
        </w:tc>
        <w:tc>
          <w:tcPr>
            <w:tcW w:w="701" w:type="dxa"/>
          </w:tcPr>
          <w:p w14:paraId="7109D4D2" w14:textId="77777777" w:rsidR="00C87E1E" w:rsidRPr="009F566E" w:rsidRDefault="00C87E1E" w:rsidP="00C87E1E">
            <w:pPr>
              <w:ind w:right="-29"/>
              <w:jc w:val="center"/>
              <w:rPr>
                <w:noProof/>
                <w:sz w:val="18"/>
                <w:szCs w:val="18"/>
                <w:lang w:eastAsia="en-GB"/>
              </w:rPr>
            </w:pPr>
          </w:p>
        </w:tc>
        <w:tc>
          <w:tcPr>
            <w:tcW w:w="504" w:type="dxa"/>
            <w:tcBorders>
              <w:right w:val="dashSmallGap" w:sz="4" w:space="0" w:color="auto"/>
            </w:tcBorders>
          </w:tcPr>
          <w:p w14:paraId="21367F0B" w14:textId="77777777" w:rsidR="00C87E1E" w:rsidRPr="009F566E" w:rsidRDefault="00C87E1E" w:rsidP="00C87E1E">
            <w:pPr>
              <w:ind w:right="-29"/>
              <w:jc w:val="center"/>
              <w:rPr>
                <w:noProof/>
                <w:sz w:val="18"/>
                <w:szCs w:val="18"/>
                <w:lang w:eastAsia="en-GB"/>
              </w:rPr>
            </w:pPr>
          </w:p>
        </w:tc>
        <w:tc>
          <w:tcPr>
            <w:tcW w:w="720" w:type="dxa"/>
            <w:tcBorders>
              <w:left w:val="dashSmallGap" w:sz="4" w:space="0" w:color="auto"/>
            </w:tcBorders>
          </w:tcPr>
          <w:p w14:paraId="42B47B20" w14:textId="77777777" w:rsidR="00C87E1E" w:rsidRPr="009F566E" w:rsidRDefault="00C87E1E" w:rsidP="00C87E1E">
            <w:pPr>
              <w:ind w:right="-29"/>
              <w:jc w:val="center"/>
              <w:rPr>
                <w:noProof/>
                <w:sz w:val="18"/>
                <w:szCs w:val="18"/>
                <w:lang w:eastAsia="en-GB"/>
              </w:rPr>
            </w:pPr>
          </w:p>
        </w:tc>
        <w:tc>
          <w:tcPr>
            <w:tcW w:w="540" w:type="dxa"/>
            <w:tcBorders>
              <w:right w:val="dashSmallGap" w:sz="4" w:space="0" w:color="auto"/>
            </w:tcBorders>
          </w:tcPr>
          <w:p w14:paraId="20E441F5" w14:textId="77777777" w:rsidR="00C87E1E" w:rsidRPr="009F566E" w:rsidRDefault="00C87E1E" w:rsidP="00C87E1E">
            <w:pPr>
              <w:ind w:right="-29"/>
              <w:jc w:val="center"/>
              <w:rPr>
                <w:noProof/>
                <w:sz w:val="18"/>
                <w:szCs w:val="18"/>
                <w:lang w:eastAsia="en-GB"/>
              </w:rPr>
            </w:pPr>
          </w:p>
        </w:tc>
        <w:tc>
          <w:tcPr>
            <w:tcW w:w="720" w:type="dxa"/>
            <w:tcBorders>
              <w:left w:val="dashSmallGap" w:sz="4" w:space="0" w:color="auto"/>
            </w:tcBorders>
          </w:tcPr>
          <w:p w14:paraId="6FC32AD8" w14:textId="77777777" w:rsidR="00C87E1E" w:rsidRPr="009F566E" w:rsidRDefault="00C87E1E" w:rsidP="00C87E1E">
            <w:pPr>
              <w:ind w:right="-29"/>
              <w:jc w:val="center"/>
              <w:rPr>
                <w:noProof/>
                <w:sz w:val="18"/>
                <w:szCs w:val="18"/>
                <w:lang w:eastAsia="en-GB"/>
              </w:rPr>
            </w:pPr>
          </w:p>
        </w:tc>
        <w:tc>
          <w:tcPr>
            <w:tcW w:w="720" w:type="dxa"/>
            <w:tcBorders>
              <w:right w:val="dashSmallGap" w:sz="4" w:space="0" w:color="auto"/>
            </w:tcBorders>
          </w:tcPr>
          <w:p w14:paraId="2D4F8E51" w14:textId="77777777" w:rsidR="00C87E1E" w:rsidRPr="009F566E" w:rsidRDefault="00C87E1E" w:rsidP="00C87E1E">
            <w:pPr>
              <w:ind w:right="-29"/>
              <w:jc w:val="center"/>
              <w:rPr>
                <w:noProof/>
                <w:sz w:val="18"/>
                <w:szCs w:val="18"/>
                <w:lang w:eastAsia="en-GB"/>
              </w:rPr>
            </w:pPr>
          </w:p>
        </w:tc>
        <w:tc>
          <w:tcPr>
            <w:tcW w:w="720" w:type="dxa"/>
            <w:tcBorders>
              <w:left w:val="dashSmallGap" w:sz="4" w:space="0" w:color="auto"/>
            </w:tcBorders>
          </w:tcPr>
          <w:p w14:paraId="601377FD" w14:textId="77777777" w:rsidR="00C87E1E" w:rsidRPr="009F566E" w:rsidRDefault="00C87E1E" w:rsidP="00C87E1E">
            <w:pPr>
              <w:ind w:right="-29"/>
              <w:jc w:val="center"/>
              <w:rPr>
                <w:noProof/>
                <w:sz w:val="18"/>
                <w:szCs w:val="18"/>
                <w:lang w:eastAsia="en-GB"/>
              </w:rPr>
            </w:pPr>
          </w:p>
        </w:tc>
        <w:tc>
          <w:tcPr>
            <w:tcW w:w="900" w:type="dxa"/>
            <w:tcBorders>
              <w:right w:val="dashSmallGap" w:sz="4" w:space="0" w:color="auto"/>
            </w:tcBorders>
          </w:tcPr>
          <w:p w14:paraId="65EF1873" w14:textId="77777777" w:rsidR="00C87E1E" w:rsidRPr="009F566E" w:rsidRDefault="00C87E1E" w:rsidP="00C87E1E">
            <w:pPr>
              <w:ind w:right="-29"/>
              <w:jc w:val="center"/>
              <w:rPr>
                <w:noProof/>
                <w:sz w:val="18"/>
                <w:szCs w:val="18"/>
                <w:lang w:eastAsia="en-GB"/>
              </w:rPr>
            </w:pPr>
          </w:p>
        </w:tc>
        <w:tc>
          <w:tcPr>
            <w:tcW w:w="720" w:type="dxa"/>
            <w:gridSpan w:val="2"/>
            <w:tcBorders>
              <w:left w:val="dashSmallGap" w:sz="4" w:space="0" w:color="auto"/>
            </w:tcBorders>
          </w:tcPr>
          <w:p w14:paraId="2089D111" w14:textId="77777777" w:rsidR="00C87E1E" w:rsidRPr="009F566E" w:rsidRDefault="00C87E1E" w:rsidP="00C87E1E">
            <w:pPr>
              <w:ind w:right="-29"/>
              <w:jc w:val="center"/>
              <w:rPr>
                <w:noProof/>
                <w:sz w:val="18"/>
                <w:szCs w:val="18"/>
                <w:lang w:eastAsia="en-GB"/>
              </w:rPr>
            </w:pPr>
          </w:p>
        </w:tc>
        <w:tc>
          <w:tcPr>
            <w:tcW w:w="540" w:type="dxa"/>
            <w:tcBorders>
              <w:right w:val="dashSmallGap" w:sz="4" w:space="0" w:color="auto"/>
            </w:tcBorders>
          </w:tcPr>
          <w:p w14:paraId="6226321F" w14:textId="77777777" w:rsidR="00C87E1E" w:rsidRPr="009F566E" w:rsidRDefault="00C87E1E" w:rsidP="00C87E1E">
            <w:pPr>
              <w:ind w:right="-29"/>
              <w:jc w:val="center"/>
              <w:rPr>
                <w:noProof/>
                <w:sz w:val="18"/>
                <w:szCs w:val="18"/>
                <w:lang w:eastAsia="en-GB"/>
              </w:rPr>
            </w:pPr>
          </w:p>
        </w:tc>
        <w:tc>
          <w:tcPr>
            <w:tcW w:w="648" w:type="dxa"/>
            <w:tcBorders>
              <w:left w:val="dashSmallGap" w:sz="4" w:space="0" w:color="auto"/>
            </w:tcBorders>
          </w:tcPr>
          <w:p w14:paraId="6E5DAAE6" w14:textId="77777777" w:rsidR="00C87E1E" w:rsidRPr="009F566E" w:rsidRDefault="00C87E1E" w:rsidP="00C87E1E">
            <w:pPr>
              <w:ind w:right="-29"/>
              <w:jc w:val="center"/>
              <w:rPr>
                <w:noProof/>
                <w:sz w:val="18"/>
                <w:szCs w:val="18"/>
                <w:lang w:eastAsia="en-GB"/>
              </w:rPr>
            </w:pPr>
          </w:p>
        </w:tc>
        <w:tc>
          <w:tcPr>
            <w:tcW w:w="432" w:type="dxa"/>
            <w:tcBorders>
              <w:right w:val="dashSmallGap" w:sz="4" w:space="0" w:color="auto"/>
            </w:tcBorders>
          </w:tcPr>
          <w:p w14:paraId="1A721904" w14:textId="77777777" w:rsidR="00C87E1E" w:rsidRPr="009F566E" w:rsidRDefault="00C87E1E" w:rsidP="00C87E1E">
            <w:pPr>
              <w:ind w:right="-29"/>
              <w:jc w:val="center"/>
              <w:rPr>
                <w:noProof/>
                <w:sz w:val="18"/>
                <w:szCs w:val="18"/>
                <w:lang w:eastAsia="en-GB"/>
              </w:rPr>
            </w:pPr>
          </w:p>
        </w:tc>
        <w:tc>
          <w:tcPr>
            <w:tcW w:w="720" w:type="dxa"/>
            <w:tcBorders>
              <w:left w:val="dashSmallGap" w:sz="4" w:space="0" w:color="auto"/>
            </w:tcBorders>
          </w:tcPr>
          <w:p w14:paraId="263671D1" w14:textId="77777777" w:rsidR="00C87E1E" w:rsidRPr="009F566E" w:rsidRDefault="00C87E1E" w:rsidP="00C87E1E">
            <w:pPr>
              <w:ind w:right="-29"/>
              <w:jc w:val="center"/>
              <w:rPr>
                <w:noProof/>
                <w:sz w:val="18"/>
                <w:szCs w:val="18"/>
                <w:lang w:eastAsia="en-GB"/>
              </w:rPr>
            </w:pPr>
          </w:p>
        </w:tc>
        <w:tc>
          <w:tcPr>
            <w:tcW w:w="540" w:type="dxa"/>
            <w:tcBorders>
              <w:right w:val="dashSmallGap" w:sz="4" w:space="0" w:color="auto"/>
            </w:tcBorders>
          </w:tcPr>
          <w:p w14:paraId="11B91DB8" w14:textId="77777777" w:rsidR="00C87E1E" w:rsidRPr="009F566E" w:rsidRDefault="00C87E1E" w:rsidP="00C87E1E">
            <w:pPr>
              <w:ind w:right="-29"/>
              <w:jc w:val="center"/>
              <w:rPr>
                <w:noProof/>
                <w:sz w:val="18"/>
                <w:szCs w:val="18"/>
                <w:lang w:eastAsia="en-GB"/>
              </w:rPr>
            </w:pPr>
          </w:p>
        </w:tc>
        <w:tc>
          <w:tcPr>
            <w:tcW w:w="720" w:type="dxa"/>
            <w:tcBorders>
              <w:left w:val="dashSmallGap" w:sz="4" w:space="0" w:color="auto"/>
            </w:tcBorders>
          </w:tcPr>
          <w:p w14:paraId="05B5D791" w14:textId="77777777" w:rsidR="00C87E1E" w:rsidRPr="009F566E" w:rsidRDefault="00C87E1E" w:rsidP="00C87E1E">
            <w:pPr>
              <w:ind w:right="-29"/>
              <w:jc w:val="center"/>
              <w:rPr>
                <w:noProof/>
                <w:sz w:val="18"/>
                <w:szCs w:val="18"/>
                <w:lang w:eastAsia="en-GB"/>
              </w:rPr>
            </w:pPr>
          </w:p>
        </w:tc>
        <w:tc>
          <w:tcPr>
            <w:tcW w:w="720" w:type="dxa"/>
          </w:tcPr>
          <w:p w14:paraId="2C1B803D" w14:textId="77777777" w:rsidR="00C87E1E" w:rsidRPr="009F566E" w:rsidRDefault="00C87E1E" w:rsidP="00C87E1E">
            <w:pPr>
              <w:ind w:right="-29"/>
              <w:jc w:val="center"/>
              <w:rPr>
                <w:noProof/>
                <w:sz w:val="18"/>
                <w:szCs w:val="18"/>
                <w:lang w:eastAsia="en-GB"/>
              </w:rPr>
            </w:pPr>
          </w:p>
        </w:tc>
        <w:tc>
          <w:tcPr>
            <w:tcW w:w="900" w:type="dxa"/>
          </w:tcPr>
          <w:p w14:paraId="36135E3B" w14:textId="77777777" w:rsidR="00C87E1E" w:rsidRPr="009F566E" w:rsidRDefault="00C87E1E" w:rsidP="00C87E1E">
            <w:pPr>
              <w:ind w:right="-29"/>
              <w:jc w:val="center"/>
              <w:rPr>
                <w:noProof/>
                <w:sz w:val="18"/>
                <w:szCs w:val="18"/>
                <w:lang w:eastAsia="en-GB"/>
              </w:rPr>
            </w:pPr>
          </w:p>
        </w:tc>
      </w:tr>
      <w:tr w:rsidR="00C87E1E" w:rsidRPr="009F566E" w14:paraId="0925942F" w14:textId="77777777" w:rsidTr="00C87E1E">
        <w:trPr>
          <w:trHeight w:hRule="exact" w:val="369"/>
          <w:jc w:val="center"/>
        </w:trPr>
        <w:tc>
          <w:tcPr>
            <w:tcW w:w="1423" w:type="dxa"/>
          </w:tcPr>
          <w:p w14:paraId="0C89193C" w14:textId="77777777" w:rsidR="00C87E1E" w:rsidRPr="009F566E" w:rsidRDefault="00C87E1E" w:rsidP="00C87E1E">
            <w:pPr>
              <w:ind w:right="-29"/>
              <w:jc w:val="center"/>
              <w:rPr>
                <w:noProof/>
                <w:sz w:val="18"/>
                <w:szCs w:val="18"/>
              </w:rPr>
            </w:pPr>
            <w:r w:rsidRPr="009F566E">
              <w:rPr>
                <w:noProof/>
                <w:sz w:val="18"/>
              </w:rPr>
              <w:t>- Ergebnis</w:t>
            </w:r>
          </w:p>
        </w:tc>
        <w:tc>
          <w:tcPr>
            <w:tcW w:w="720" w:type="dxa"/>
          </w:tcPr>
          <w:p w14:paraId="0299DBA2" w14:textId="77777777" w:rsidR="00C87E1E" w:rsidRPr="009F566E" w:rsidRDefault="00C87E1E" w:rsidP="00C87E1E">
            <w:pPr>
              <w:ind w:right="-29"/>
              <w:jc w:val="center"/>
              <w:rPr>
                <w:noProof/>
                <w:sz w:val="18"/>
                <w:szCs w:val="18"/>
                <w:lang w:eastAsia="en-GB"/>
              </w:rPr>
            </w:pPr>
          </w:p>
        </w:tc>
        <w:tc>
          <w:tcPr>
            <w:tcW w:w="701" w:type="dxa"/>
          </w:tcPr>
          <w:p w14:paraId="638B783E" w14:textId="77777777" w:rsidR="00C87E1E" w:rsidRPr="009F566E" w:rsidRDefault="00C87E1E" w:rsidP="00C87E1E">
            <w:pPr>
              <w:ind w:right="-29"/>
              <w:jc w:val="center"/>
              <w:rPr>
                <w:noProof/>
                <w:sz w:val="18"/>
                <w:szCs w:val="18"/>
                <w:lang w:eastAsia="en-GB"/>
              </w:rPr>
            </w:pPr>
          </w:p>
        </w:tc>
        <w:tc>
          <w:tcPr>
            <w:tcW w:w="504" w:type="dxa"/>
            <w:tcBorders>
              <w:right w:val="dashSmallGap" w:sz="4" w:space="0" w:color="auto"/>
            </w:tcBorders>
          </w:tcPr>
          <w:p w14:paraId="7890CAAC" w14:textId="77777777" w:rsidR="00C87E1E" w:rsidRPr="009F566E" w:rsidRDefault="00C87E1E" w:rsidP="00C87E1E">
            <w:pPr>
              <w:ind w:right="-29"/>
              <w:jc w:val="center"/>
              <w:rPr>
                <w:noProof/>
                <w:sz w:val="18"/>
                <w:szCs w:val="18"/>
                <w:lang w:eastAsia="en-GB"/>
              </w:rPr>
            </w:pPr>
          </w:p>
        </w:tc>
        <w:tc>
          <w:tcPr>
            <w:tcW w:w="720" w:type="dxa"/>
            <w:tcBorders>
              <w:left w:val="dashSmallGap" w:sz="4" w:space="0" w:color="auto"/>
            </w:tcBorders>
          </w:tcPr>
          <w:p w14:paraId="65BC2BC2" w14:textId="77777777" w:rsidR="00C87E1E" w:rsidRPr="009F566E" w:rsidRDefault="00C87E1E" w:rsidP="00C87E1E">
            <w:pPr>
              <w:ind w:right="-29"/>
              <w:jc w:val="center"/>
              <w:rPr>
                <w:noProof/>
                <w:sz w:val="18"/>
                <w:szCs w:val="18"/>
                <w:lang w:eastAsia="en-GB"/>
              </w:rPr>
            </w:pPr>
          </w:p>
        </w:tc>
        <w:tc>
          <w:tcPr>
            <w:tcW w:w="540" w:type="dxa"/>
            <w:tcBorders>
              <w:right w:val="dashSmallGap" w:sz="4" w:space="0" w:color="auto"/>
            </w:tcBorders>
          </w:tcPr>
          <w:p w14:paraId="7EE7944E" w14:textId="77777777" w:rsidR="00C87E1E" w:rsidRPr="009F566E" w:rsidRDefault="00C87E1E" w:rsidP="00C87E1E">
            <w:pPr>
              <w:ind w:right="-29"/>
              <w:jc w:val="center"/>
              <w:rPr>
                <w:noProof/>
                <w:sz w:val="18"/>
                <w:szCs w:val="18"/>
                <w:lang w:eastAsia="en-GB"/>
              </w:rPr>
            </w:pPr>
          </w:p>
        </w:tc>
        <w:tc>
          <w:tcPr>
            <w:tcW w:w="720" w:type="dxa"/>
            <w:tcBorders>
              <w:left w:val="dashSmallGap" w:sz="4" w:space="0" w:color="auto"/>
            </w:tcBorders>
          </w:tcPr>
          <w:p w14:paraId="15316495" w14:textId="77777777" w:rsidR="00C87E1E" w:rsidRPr="009F566E" w:rsidRDefault="00C87E1E" w:rsidP="00C87E1E">
            <w:pPr>
              <w:ind w:right="-29"/>
              <w:jc w:val="center"/>
              <w:rPr>
                <w:noProof/>
                <w:sz w:val="18"/>
                <w:szCs w:val="18"/>
                <w:lang w:eastAsia="en-GB"/>
              </w:rPr>
            </w:pPr>
          </w:p>
        </w:tc>
        <w:tc>
          <w:tcPr>
            <w:tcW w:w="720" w:type="dxa"/>
            <w:tcBorders>
              <w:right w:val="dashSmallGap" w:sz="4" w:space="0" w:color="auto"/>
            </w:tcBorders>
          </w:tcPr>
          <w:p w14:paraId="22EC5F81" w14:textId="77777777" w:rsidR="00C87E1E" w:rsidRPr="009F566E" w:rsidRDefault="00C87E1E" w:rsidP="00C87E1E">
            <w:pPr>
              <w:ind w:right="-29"/>
              <w:jc w:val="center"/>
              <w:rPr>
                <w:noProof/>
                <w:sz w:val="18"/>
                <w:szCs w:val="18"/>
                <w:lang w:eastAsia="en-GB"/>
              </w:rPr>
            </w:pPr>
          </w:p>
        </w:tc>
        <w:tc>
          <w:tcPr>
            <w:tcW w:w="720" w:type="dxa"/>
            <w:tcBorders>
              <w:left w:val="dashSmallGap" w:sz="4" w:space="0" w:color="auto"/>
            </w:tcBorders>
          </w:tcPr>
          <w:p w14:paraId="61189441" w14:textId="77777777" w:rsidR="00C87E1E" w:rsidRPr="009F566E" w:rsidRDefault="00C87E1E" w:rsidP="00C87E1E">
            <w:pPr>
              <w:ind w:right="-29"/>
              <w:jc w:val="center"/>
              <w:rPr>
                <w:noProof/>
                <w:sz w:val="18"/>
                <w:szCs w:val="18"/>
                <w:lang w:eastAsia="en-GB"/>
              </w:rPr>
            </w:pPr>
          </w:p>
        </w:tc>
        <w:tc>
          <w:tcPr>
            <w:tcW w:w="900" w:type="dxa"/>
            <w:tcBorders>
              <w:right w:val="dashSmallGap" w:sz="4" w:space="0" w:color="auto"/>
            </w:tcBorders>
          </w:tcPr>
          <w:p w14:paraId="06FC6AE4" w14:textId="77777777" w:rsidR="00C87E1E" w:rsidRPr="009F566E" w:rsidRDefault="00C87E1E" w:rsidP="00C87E1E">
            <w:pPr>
              <w:ind w:right="-29"/>
              <w:jc w:val="center"/>
              <w:rPr>
                <w:noProof/>
                <w:sz w:val="18"/>
                <w:szCs w:val="18"/>
                <w:lang w:eastAsia="en-GB"/>
              </w:rPr>
            </w:pPr>
          </w:p>
        </w:tc>
        <w:tc>
          <w:tcPr>
            <w:tcW w:w="720" w:type="dxa"/>
            <w:gridSpan w:val="2"/>
            <w:tcBorders>
              <w:left w:val="dashSmallGap" w:sz="4" w:space="0" w:color="auto"/>
            </w:tcBorders>
          </w:tcPr>
          <w:p w14:paraId="1C9D682C" w14:textId="77777777" w:rsidR="00C87E1E" w:rsidRPr="009F566E" w:rsidRDefault="00C87E1E" w:rsidP="00C87E1E">
            <w:pPr>
              <w:ind w:right="-29"/>
              <w:jc w:val="center"/>
              <w:rPr>
                <w:noProof/>
                <w:sz w:val="18"/>
                <w:szCs w:val="18"/>
                <w:lang w:eastAsia="en-GB"/>
              </w:rPr>
            </w:pPr>
          </w:p>
        </w:tc>
        <w:tc>
          <w:tcPr>
            <w:tcW w:w="540" w:type="dxa"/>
            <w:tcBorders>
              <w:right w:val="dashSmallGap" w:sz="4" w:space="0" w:color="auto"/>
            </w:tcBorders>
          </w:tcPr>
          <w:p w14:paraId="5DB2346D" w14:textId="77777777" w:rsidR="00C87E1E" w:rsidRPr="009F566E" w:rsidRDefault="00C87E1E" w:rsidP="00C87E1E">
            <w:pPr>
              <w:ind w:right="-29"/>
              <w:jc w:val="center"/>
              <w:rPr>
                <w:noProof/>
                <w:sz w:val="18"/>
                <w:szCs w:val="18"/>
                <w:lang w:eastAsia="en-GB"/>
              </w:rPr>
            </w:pPr>
          </w:p>
        </w:tc>
        <w:tc>
          <w:tcPr>
            <w:tcW w:w="648" w:type="dxa"/>
            <w:tcBorders>
              <w:left w:val="dashSmallGap" w:sz="4" w:space="0" w:color="auto"/>
            </w:tcBorders>
          </w:tcPr>
          <w:p w14:paraId="18922EA3" w14:textId="77777777" w:rsidR="00C87E1E" w:rsidRPr="009F566E" w:rsidRDefault="00C87E1E" w:rsidP="00C87E1E">
            <w:pPr>
              <w:ind w:right="-29"/>
              <w:jc w:val="center"/>
              <w:rPr>
                <w:noProof/>
                <w:sz w:val="18"/>
                <w:szCs w:val="18"/>
                <w:lang w:eastAsia="en-GB"/>
              </w:rPr>
            </w:pPr>
          </w:p>
        </w:tc>
        <w:tc>
          <w:tcPr>
            <w:tcW w:w="432" w:type="dxa"/>
            <w:tcBorders>
              <w:right w:val="dashSmallGap" w:sz="4" w:space="0" w:color="auto"/>
            </w:tcBorders>
          </w:tcPr>
          <w:p w14:paraId="3B13F26A" w14:textId="77777777" w:rsidR="00C87E1E" w:rsidRPr="009F566E" w:rsidRDefault="00C87E1E" w:rsidP="00C87E1E">
            <w:pPr>
              <w:ind w:right="-29"/>
              <w:jc w:val="center"/>
              <w:rPr>
                <w:noProof/>
                <w:sz w:val="18"/>
                <w:szCs w:val="18"/>
                <w:lang w:eastAsia="en-GB"/>
              </w:rPr>
            </w:pPr>
          </w:p>
        </w:tc>
        <w:tc>
          <w:tcPr>
            <w:tcW w:w="720" w:type="dxa"/>
            <w:tcBorders>
              <w:left w:val="dashSmallGap" w:sz="4" w:space="0" w:color="auto"/>
            </w:tcBorders>
          </w:tcPr>
          <w:p w14:paraId="0747A620" w14:textId="77777777" w:rsidR="00C87E1E" w:rsidRPr="009F566E" w:rsidRDefault="00C87E1E" w:rsidP="00C87E1E">
            <w:pPr>
              <w:ind w:right="-29"/>
              <w:jc w:val="center"/>
              <w:rPr>
                <w:noProof/>
                <w:sz w:val="18"/>
                <w:szCs w:val="18"/>
                <w:lang w:eastAsia="en-GB"/>
              </w:rPr>
            </w:pPr>
          </w:p>
        </w:tc>
        <w:tc>
          <w:tcPr>
            <w:tcW w:w="540" w:type="dxa"/>
            <w:tcBorders>
              <w:right w:val="dashSmallGap" w:sz="4" w:space="0" w:color="auto"/>
            </w:tcBorders>
          </w:tcPr>
          <w:p w14:paraId="62BCD664" w14:textId="77777777" w:rsidR="00C87E1E" w:rsidRPr="009F566E" w:rsidRDefault="00C87E1E" w:rsidP="00C87E1E">
            <w:pPr>
              <w:ind w:right="-29"/>
              <w:jc w:val="center"/>
              <w:rPr>
                <w:noProof/>
                <w:sz w:val="18"/>
                <w:szCs w:val="18"/>
                <w:lang w:eastAsia="en-GB"/>
              </w:rPr>
            </w:pPr>
          </w:p>
        </w:tc>
        <w:tc>
          <w:tcPr>
            <w:tcW w:w="720" w:type="dxa"/>
            <w:tcBorders>
              <w:left w:val="dashSmallGap" w:sz="4" w:space="0" w:color="auto"/>
            </w:tcBorders>
          </w:tcPr>
          <w:p w14:paraId="0179A016" w14:textId="77777777" w:rsidR="00C87E1E" w:rsidRPr="009F566E" w:rsidRDefault="00C87E1E" w:rsidP="00C87E1E">
            <w:pPr>
              <w:ind w:right="-29"/>
              <w:jc w:val="center"/>
              <w:rPr>
                <w:noProof/>
                <w:sz w:val="18"/>
                <w:szCs w:val="18"/>
                <w:lang w:eastAsia="en-GB"/>
              </w:rPr>
            </w:pPr>
          </w:p>
        </w:tc>
        <w:tc>
          <w:tcPr>
            <w:tcW w:w="720" w:type="dxa"/>
          </w:tcPr>
          <w:p w14:paraId="31FF12BB" w14:textId="77777777" w:rsidR="00C87E1E" w:rsidRPr="009F566E" w:rsidRDefault="00C87E1E" w:rsidP="00C87E1E">
            <w:pPr>
              <w:ind w:right="-29"/>
              <w:jc w:val="center"/>
              <w:rPr>
                <w:noProof/>
                <w:sz w:val="18"/>
                <w:szCs w:val="18"/>
                <w:lang w:eastAsia="en-GB"/>
              </w:rPr>
            </w:pPr>
          </w:p>
        </w:tc>
        <w:tc>
          <w:tcPr>
            <w:tcW w:w="900" w:type="dxa"/>
          </w:tcPr>
          <w:p w14:paraId="217E6641" w14:textId="77777777" w:rsidR="00C87E1E" w:rsidRPr="009F566E" w:rsidRDefault="00C87E1E" w:rsidP="00C87E1E">
            <w:pPr>
              <w:ind w:right="-29"/>
              <w:jc w:val="center"/>
              <w:rPr>
                <w:noProof/>
                <w:sz w:val="18"/>
                <w:szCs w:val="18"/>
                <w:lang w:eastAsia="en-GB"/>
              </w:rPr>
            </w:pPr>
          </w:p>
        </w:tc>
      </w:tr>
      <w:tr w:rsidR="00C87E1E" w:rsidRPr="009F566E" w14:paraId="53759D69" w14:textId="77777777" w:rsidTr="00C87E1E">
        <w:trPr>
          <w:trHeight w:hRule="exact" w:val="369"/>
          <w:jc w:val="center"/>
        </w:trPr>
        <w:tc>
          <w:tcPr>
            <w:tcW w:w="1423" w:type="dxa"/>
          </w:tcPr>
          <w:p w14:paraId="01B292A0" w14:textId="77777777" w:rsidR="00C87E1E" w:rsidRPr="009F566E" w:rsidRDefault="00C87E1E" w:rsidP="00C87E1E">
            <w:pPr>
              <w:ind w:right="-29"/>
              <w:jc w:val="center"/>
              <w:rPr>
                <w:noProof/>
                <w:sz w:val="18"/>
                <w:szCs w:val="18"/>
              </w:rPr>
            </w:pPr>
            <w:r w:rsidRPr="009F566E">
              <w:rPr>
                <w:noProof/>
                <w:sz w:val="18"/>
              </w:rPr>
              <w:t>- Ergebnis</w:t>
            </w:r>
          </w:p>
        </w:tc>
        <w:tc>
          <w:tcPr>
            <w:tcW w:w="720" w:type="dxa"/>
          </w:tcPr>
          <w:p w14:paraId="3AAFC128" w14:textId="77777777" w:rsidR="00C87E1E" w:rsidRPr="009F566E" w:rsidRDefault="00C87E1E" w:rsidP="00C87E1E">
            <w:pPr>
              <w:ind w:right="-29"/>
              <w:jc w:val="center"/>
              <w:rPr>
                <w:noProof/>
                <w:sz w:val="18"/>
                <w:szCs w:val="18"/>
                <w:lang w:eastAsia="en-GB"/>
              </w:rPr>
            </w:pPr>
          </w:p>
        </w:tc>
        <w:tc>
          <w:tcPr>
            <w:tcW w:w="701" w:type="dxa"/>
          </w:tcPr>
          <w:p w14:paraId="0391E022" w14:textId="77777777" w:rsidR="00C87E1E" w:rsidRPr="009F566E" w:rsidRDefault="00C87E1E" w:rsidP="00C87E1E">
            <w:pPr>
              <w:ind w:right="-29"/>
              <w:jc w:val="center"/>
              <w:rPr>
                <w:noProof/>
                <w:sz w:val="18"/>
                <w:szCs w:val="18"/>
                <w:lang w:eastAsia="en-GB"/>
              </w:rPr>
            </w:pPr>
          </w:p>
        </w:tc>
        <w:tc>
          <w:tcPr>
            <w:tcW w:w="504" w:type="dxa"/>
          </w:tcPr>
          <w:p w14:paraId="0E503AD1" w14:textId="77777777" w:rsidR="00C87E1E" w:rsidRPr="009F566E" w:rsidRDefault="00C87E1E" w:rsidP="00C87E1E">
            <w:pPr>
              <w:ind w:right="-29"/>
              <w:jc w:val="center"/>
              <w:rPr>
                <w:noProof/>
                <w:sz w:val="18"/>
                <w:szCs w:val="18"/>
                <w:lang w:eastAsia="en-GB"/>
              </w:rPr>
            </w:pPr>
          </w:p>
        </w:tc>
        <w:tc>
          <w:tcPr>
            <w:tcW w:w="720" w:type="dxa"/>
          </w:tcPr>
          <w:p w14:paraId="36ED1BD3" w14:textId="77777777" w:rsidR="00C87E1E" w:rsidRPr="009F566E" w:rsidRDefault="00C87E1E" w:rsidP="00C87E1E">
            <w:pPr>
              <w:ind w:right="-29"/>
              <w:jc w:val="center"/>
              <w:rPr>
                <w:noProof/>
                <w:sz w:val="18"/>
                <w:szCs w:val="18"/>
                <w:lang w:eastAsia="en-GB"/>
              </w:rPr>
            </w:pPr>
          </w:p>
        </w:tc>
        <w:tc>
          <w:tcPr>
            <w:tcW w:w="540" w:type="dxa"/>
          </w:tcPr>
          <w:p w14:paraId="41513476" w14:textId="77777777" w:rsidR="00C87E1E" w:rsidRPr="009F566E" w:rsidRDefault="00C87E1E" w:rsidP="00C87E1E">
            <w:pPr>
              <w:ind w:right="-29"/>
              <w:jc w:val="center"/>
              <w:rPr>
                <w:noProof/>
                <w:sz w:val="18"/>
                <w:szCs w:val="18"/>
                <w:lang w:eastAsia="en-GB"/>
              </w:rPr>
            </w:pPr>
          </w:p>
        </w:tc>
        <w:tc>
          <w:tcPr>
            <w:tcW w:w="720" w:type="dxa"/>
          </w:tcPr>
          <w:p w14:paraId="63565F4B" w14:textId="77777777" w:rsidR="00C87E1E" w:rsidRPr="009F566E" w:rsidRDefault="00C87E1E" w:rsidP="00C87E1E">
            <w:pPr>
              <w:ind w:right="-29"/>
              <w:jc w:val="center"/>
              <w:rPr>
                <w:noProof/>
                <w:sz w:val="18"/>
                <w:szCs w:val="18"/>
                <w:lang w:eastAsia="en-GB"/>
              </w:rPr>
            </w:pPr>
          </w:p>
        </w:tc>
        <w:tc>
          <w:tcPr>
            <w:tcW w:w="720" w:type="dxa"/>
          </w:tcPr>
          <w:p w14:paraId="0392A494" w14:textId="77777777" w:rsidR="00C87E1E" w:rsidRPr="009F566E" w:rsidRDefault="00C87E1E" w:rsidP="00C87E1E">
            <w:pPr>
              <w:ind w:right="-29"/>
              <w:jc w:val="center"/>
              <w:rPr>
                <w:noProof/>
                <w:sz w:val="18"/>
                <w:szCs w:val="18"/>
                <w:lang w:eastAsia="en-GB"/>
              </w:rPr>
            </w:pPr>
          </w:p>
        </w:tc>
        <w:tc>
          <w:tcPr>
            <w:tcW w:w="720" w:type="dxa"/>
          </w:tcPr>
          <w:p w14:paraId="2BC07D8F" w14:textId="77777777" w:rsidR="00C87E1E" w:rsidRPr="009F566E" w:rsidRDefault="00C87E1E" w:rsidP="00C87E1E">
            <w:pPr>
              <w:ind w:right="-29"/>
              <w:jc w:val="center"/>
              <w:rPr>
                <w:noProof/>
                <w:sz w:val="18"/>
                <w:szCs w:val="18"/>
                <w:lang w:eastAsia="en-GB"/>
              </w:rPr>
            </w:pPr>
          </w:p>
        </w:tc>
        <w:tc>
          <w:tcPr>
            <w:tcW w:w="900" w:type="dxa"/>
          </w:tcPr>
          <w:p w14:paraId="129DAED8" w14:textId="77777777" w:rsidR="00C87E1E" w:rsidRPr="009F566E" w:rsidRDefault="00C87E1E" w:rsidP="00C87E1E">
            <w:pPr>
              <w:ind w:right="-29"/>
              <w:jc w:val="center"/>
              <w:rPr>
                <w:noProof/>
                <w:sz w:val="18"/>
                <w:szCs w:val="18"/>
                <w:lang w:eastAsia="en-GB"/>
              </w:rPr>
            </w:pPr>
          </w:p>
        </w:tc>
        <w:tc>
          <w:tcPr>
            <w:tcW w:w="720" w:type="dxa"/>
            <w:gridSpan w:val="2"/>
          </w:tcPr>
          <w:p w14:paraId="46494A6B" w14:textId="77777777" w:rsidR="00C87E1E" w:rsidRPr="009F566E" w:rsidRDefault="00C87E1E" w:rsidP="00C87E1E">
            <w:pPr>
              <w:ind w:right="-29"/>
              <w:jc w:val="center"/>
              <w:rPr>
                <w:noProof/>
                <w:sz w:val="18"/>
                <w:szCs w:val="18"/>
                <w:lang w:eastAsia="en-GB"/>
              </w:rPr>
            </w:pPr>
          </w:p>
        </w:tc>
        <w:tc>
          <w:tcPr>
            <w:tcW w:w="540" w:type="dxa"/>
          </w:tcPr>
          <w:p w14:paraId="04B8BC52" w14:textId="77777777" w:rsidR="00C87E1E" w:rsidRPr="009F566E" w:rsidRDefault="00C87E1E" w:rsidP="00C87E1E">
            <w:pPr>
              <w:ind w:right="-29"/>
              <w:jc w:val="center"/>
              <w:rPr>
                <w:noProof/>
                <w:sz w:val="18"/>
                <w:szCs w:val="18"/>
                <w:lang w:eastAsia="en-GB"/>
              </w:rPr>
            </w:pPr>
          </w:p>
        </w:tc>
        <w:tc>
          <w:tcPr>
            <w:tcW w:w="648" w:type="dxa"/>
          </w:tcPr>
          <w:p w14:paraId="3E1D5A46" w14:textId="77777777" w:rsidR="00C87E1E" w:rsidRPr="009F566E" w:rsidRDefault="00C87E1E" w:rsidP="00C87E1E">
            <w:pPr>
              <w:ind w:right="-29"/>
              <w:jc w:val="center"/>
              <w:rPr>
                <w:noProof/>
                <w:sz w:val="18"/>
                <w:szCs w:val="18"/>
                <w:lang w:eastAsia="en-GB"/>
              </w:rPr>
            </w:pPr>
          </w:p>
        </w:tc>
        <w:tc>
          <w:tcPr>
            <w:tcW w:w="432" w:type="dxa"/>
          </w:tcPr>
          <w:p w14:paraId="071D0A06" w14:textId="77777777" w:rsidR="00C87E1E" w:rsidRPr="009F566E" w:rsidRDefault="00C87E1E" w:rsidP="00C87E1E">
            <w:pPr>
              <w:ind w:right="-29"/>
              <w:jc w:val="center"/>
              <w:rPr>
                <w:noProof/>
                <w:sz w:val="18"/>
                <w:szCs w:val="18"/>
                <w:lang w:eastAsia="en-GB"/>
              </w:rPr>
            </w:pPr>
          </w:p>
        </w:tc>
        <w:tc>
          <w:tcPr>
            <w:tcW w:w="720" w:type="dxa"/>
          </w:tcPr>
          <w:p w14:paraId="00162C73" w14:textId="77777777" w:rsidR="00C87E1E" w:rsidRPr="009F566E" w:rsidRDefault="00C87E1E" w:rsidP="00C87E1E">
            <w:pPr>
              <w:ind w:right="-29"/>
              <w:jc w:val="center"/>
              <w:rPr>
                <w:noProof/>
                <w:sz w:val="18"/>
                <w:szCs w:val="18"/>
                <w:lang w:eastAsia="en-GB"/>
              </w:rPr>
            </w:pPr>
          </w:p>
        </w:tc>
        <w:tc>
          <w:tcPr>
            <w:tcW w:w="540" w:type="dxa"/>
          </w:tcPr>
          <w:p w14:paraId="6DB3E7F4" w14:textId="77777777" w:rsidR="00C87E1E" w:rsidRPr="009F566E" w:rsidRDefault="00C87E1E" w:rsidP="00C87E1E">
            <w:pPr>
              <w:ind w:right="-29"/>
              <w:jc w:val="center"/>
              <w:rPr>
                <w:noProof/>
                <w:sz w:val="18"/>
                <w:szCs w:val="18"/>
                <w:lang w:eastAsia="en-GB"/>
              </w:rPr>
            </w:pPr>
          </w:p>
        </w:tc>
        <w:tc>
          <w:tcPr>
            <w:tcW w:w="720" w:type="dxa"/>
          </w:tcPr>
          <w:p w14:paraId="29D673FB" w14:textId="77777777" w:rsidR="00C87E1E" w:rsidRPr="009F566E" w:rsidRDefault="00C87E1E" w:rsidP="00C87E1E">
            <w:pPr>
              <w:ind w:right="-29"/>
              <w:jc w:val="center"/>
              <w:rPr>
                <w:noProof/>
                <w:sz w:val="18"/>
                <w:szCs w:val="18"/>
                <w:lang w:eastAsia="en-GB"/>
              </w:rPr>
            </w:pPr>
          </w:p>
        </w:tc>
        <w:tc>
          <w:tcPr>
            <w:tcW w:w="720" w:type="dxa"/>
          </w:tcPr>
          <w:p w14:paraId="232C1A82" w14:textId="77777777" w:rsidR="00C87E1E" w:rsidRPr="009F566E" w:rsidRDefault="00C87E1E" w:rsidP="00C87E1E">
            <w:pPr>
              <w:ind w:right="-29"/>
              <w:jc w:val="center"/>
              <w:rPr>
                <w:noProof/>
                <w:sz w:val="18"/>
                <w:szCs w:val="18"/>
                <w:lang w:eastAsia="en-GB"/>
              </w:rPr>
            </w:pPr>
          </w:p>
        </w:tc>
        <w:tc>
          <w:tcPr>
            <w:tcW w:w="900" w:type="dxa"/>
          </w:tcPr>
          <w:p w14:paraId="6E01BB26" w14:textId="77777777" w:rsidR="00C87E1E" w:rsidRPr="009F566E" w:rsidRDefault="00C87E1E" w:rsidP="00C87E1E">
            <w:pPr>
              <w:ind w:right="-29"/>
              <w:jc w:val="center"/>
              <w:rPr>
                <w:noProof/>
                <w:sz w:val="18"/>
                <w:szCs w:val="18"/>
                <w:lang w:eastAsia="en-GB"/>
              </w:rPr>
            </w:pPr>
          </w:p>
        </w:tc>
      </w:tr>
      <w:tr w:rsidR="00C87E1E" w:rsidRPr="009F566E" w14:paraId="4C1A5067" w14:textId="77777777" w:rsidTr="00C87E1E">
        <w:trPr>
          <w:trHeight w:val="77"/>
          <w:jc w:val="center"/>
        </w:trPr>
        <w:tc>
          <w:tcPr>
            <w:tcW w:w="2844" w:type="dxa"/>
            <w:gridSpan w:val="3"/>
            <w:tcBorders>
              <w:bottom w:val="single" w:sz="12" w:space="0" w:color="auto"/>
            </w:tcBorders>
            <w:vAlign w:val="center"/>
          </w:tcPr>
          <w:p w14:paraId="6224A1AE" w14:textId="77777777" w:rsidR="00C87E1E" w:rsidRPr="009F566E" w:rsidRDefault="00C87E1E" w:rsidP="00C87E1E">
            <w:pPr>
              <w:ind w:right="-29"/>
              <w:jc w:val="center"/>
              <w:rPr>
                <w:noProof/>
                <w:sz w:val="18"/>
                <w:szCs w:val="18"/>
              </w:rPr>
            </w:pPr>
            <w:r w:rsidRPr="009F566E">
              <w:rPr>
                <w:noProof/>
                <w:sz w:val="18"/>
              </w:rPr>
              <w:t>Zwischensumme für Einzelziel Nr. </w:t>
            </w:r>
            <w:r w:rsidRPr="002C6368">
              <w:rPr>
                <w:noProof/>
                <w:sz w:val="18"/>
              </w:rPr>
              <w:t>1</w:t>
            </w:r>
          </w:p>
        </w:tc>
        <w:tc>
          <w:tcPr>
            <w:tcW w:w="504" w:type="dxa"/>
            <w:tcBorders>
              <w:bottom w:val="single" w:sz="12" w:space="0" w:color="auto"/>
            </w:tcBorders>
          </w:tcPr>
          <w:p w14:paraId="325B7690"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79E050CB" w14:textId="77777777" w:rsidR="00C87E1E" w:rsidRPr="009F566E" w:rsidRDefault="00C87E1E" w:rsidP="00C87E1E">
            <w:pPr>
              <w:ind w:right="-29"/>
              <w:jc w:val="center"/>
              <w:rPr>
                <w:noProof/>
                <w:sz w:val="18"/>
                <w:szCs w:val="18"/>
                <w:lang w:eastAsia="en-GB"/>
              </w:rPr>
            </w:pPr>
          </w:p>
        </w:tc>
        <w:tc>
          <w:tcPr>
            <w:tcW w:w="540" w:type="dxa"/>
            <w:tcBorders>
              <w:bottom w:val="single" w:sz="12" w:space="0" w:color="auto"/>
            </w:tcBorders>
          </w:tcPr>
          <w:p w14:paraId="2D887DD3"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684FC7B7"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57AD9CEF"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3A6A546B" w14:textId="77777777" w:rsidR="00C87E1E" w:rsidRPr="009F566E" w:rsidRDefault="00C87E1E" w:rsidP="00C87E1E">
            <w:pPr>
              <w:ind w:right="-29"/>
              <w:jc w:val="center"/>
              <w:rPr>
                <w:noProof/>
                <w:sz w:val="18"/>
                <w:szCs w:val="18"/>
                <w:lang w:eastAsia="en-GB"/>
              </w:rPr>
            </w:pPr>
          </w:p>
        </w:tc>
        <w:tc>
          <w:tcPr>
            <w:tcW w:w="900" w:type="dxa"/>
            <w:tcBorders>
              <w:bottom w:val="single" w:sz="12" w:space="0" w:color="auto"/>
            </w:tcBorders>
          </w:tcPr>
          <w:p w14:paraId="1C354D50" w14:textId="77777777" w:rsidR="00C87E1E" w:rsidRPr="009F566E" w:rsidRDefault="00C87E1E" w:rsidP="00C87E1E">
            <w:pPr>
              <w:ind w:right="-29"/>
              <w:jc w:val="center"/>
              <w:rPr>
                <w:noProof/>
                <w:sz w:val="18"/>
                <w:szCs w:val="18"/>
                <w:lang w:eastAsia="en-GB"/>
              </w:rPr>
            </w:pPr>
          </w:p>
        </w:tc>
        <w:tc>
          <w:tcPr>
            <w:tcW w:w="720" w:type="dxa"/>
            <w:gridSpan w:val="2"/>
            <w:tcBorders>
              <w:bottom w:val="single" w:sz="12" w:space="0" w:color="auto"/>
            </w:tcBorders>
          </w:tcPr>
          <w:p w14:paraId="43E3B1A1" w14:textId="77777777" w:rsidR="00C87E1E" w:rsidRPr="009F566E" w:rsidRDefault="00C87E1E" w:rsidP="00C87E1E">
            <w:pPr>
              <w:ind w:right="-29"/>
              <w:jc w:val="center"/>
              <w:rPr>
                <w:noProof/>
                <w:sz w:val="18"/>
                <w:szCs w:val="18"/>
                <w:lang w:eastAsia="en-GB"/>
              </w:rPr>
            </w:pPr>
          </w:p>
        </w:tc>
        <w:tc>
          <w:tcPr>
            <w:tcW w:w="540" w:type="dxa"/>
            <w:tcBorders>
              <w:bottom w:val="single" w:sz="12" w:space="0" w:color="auto"/>
            </w:tcBorders>
          </w:tcPr>
          <w:p w14:paraId="112256D7" w14:textId="77777777" w:rsidR="00C87E1E" w:rsidRPr="009F566E" w:rsidRDefault="00C87E1E" w:rsidP="00C87E1E">
            <w:pPr>
              <w:ind w:right="-29"/>
              <w:jc w:val="center"/>
              <w:rPr>
                <w:noProof/>
                <w:sz w:val="18"/>
                <w:szCs w:val="18"/>
                <w:lang w:eastAsia="en-GB"/>
              </w:rPr>
            </w:pPr>
          </w:p>
        </w:tc>
        <w:tc>
          <w:tcPr>
            <w:tcW w:w="648" w:type="dxa"/>
            <w:tcBorders>
              <w:bottom w:val="single" w:sz="12" w:space="0" w:color="auto"/>
            </w:tcBorders>
          </w:tcPr>
          <w:p w14:paraId="6D6A386A" w14:textId="77777777" w:rsidR="00C87E1E" w:rsidRPr="009F566E" w:rsidRDefault="00C87E1E" w:rsidP="00C87E1E">
            <w:pPr>
              <w:ind w:right="-29"/>
              <w:jc w:val="center"/>
              <w:rPr>
                <w:noProof/>
                <w:sz w:val="18"/>
                <w:szCs w:val="18"/>
                <w:lang w:eastAsia="en-GB"/>
              </w:rPr>
            </w:pPr>
          </w:p>
        </w:tc>
        <w:tc>
          <w:tcPr>
            <w:tcW w:w="432" w:type="dxa"/>
            <w:tcBorders>
              <w:bottom w:val="single" w:sz="12" w:space="0" w:color="auto"/>
            </w:tcBorders>
          </w:tcPr>
          <w:p w14:paraId="1F033132"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58831A36" w14:textId="77777777" w:rsidR="00C87E1E" w:rsidRPr="009F566E" w:rsidRDefault="00C87E1E" w:rsidP="00C87E1E">
            <w:pPr>
              <w:ind w:right="-29"/>
              <w:jc w:val="center"/>
              <w:rPr>
                <w:noProof/>
                <w:sz w:val="18"/>
                <w:szCs w:val="18"/>
                <w:lang w:eastAsia="en-GB"/>
              </w:rPr>
            </w:pPr>
          </w:p>
        </w:tc>
        <w:tc>
          <w:tcPr>
            <w:tcW w:w="540" w:type="dxa"/>
            <w:tcBorders>
              <w:bottom w:val="single" w:sz="12" w:space="0" w:color="auto"/>
            </w:tcBorders>
          </w:tcPr>
          <w:p w14:paraId="38917BA9"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4041C767"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368B9F6C" w14:textId="77777777" w:rsidR="00C87E1E" w:rsidRPr="009F566E" w:rsidRDefault="00C87E1E" w:rsidP="00C87E1E">
            <w:pPr>
              <w:ind w:right="-29"/>
              <w:jc w:val="center"/>
              <w:rPr>
                <w:noProof/>
                <w:sz w:val="18"/>
                <w:szCs w:val="18"/>
                <w:lang w:eastAsia="en-GB"/>
              </w:rPr>
            </w:pPr>
          </w:p>
        </w:tc>
        <w:tc>
          <w:tcPr>
            <w:tcW w:w="900" w:type="dxa"/>
            <w:tcBorders>
              <w:bottom w:val="single" w:sz="12" w:space="0" w:color="auto"/>
            </w:tcBorders>
          </w:tcPr>
          <w:p w14:paraId="256FC661" w14:textId="77777777" w:rsidR="00C87E1E" w:rsidRPr="009F566E" w:rsidRDefault="00C87E1E" w:rsidP="00C87E1E">
            <w:pPr>
              <w:ind w:right="-29"/>
              <w:jc w:val="center"/>
              <w:rPr>
                <w:noProof/>
                <w:sz w:val="18"/>
                <w:szCs w:val="18"/>
                <w:lang w:eastAsia="en-GB"/>
              </w:rPr>
            </w:pPr>
          </w:p>
        </w:tc>
      </w:tr>
      <w:tr w:rsidR="00C87E1E" w:rsidRPr="009F566E" w14:paraId="23AEC987" w14:textId="77777777" w:rsidTr="00C87E1E">
        <w:trPr>
          <w:jc w:val="center"/>
        </w:trPr>
        <w:tc>
          <w:tcPr>
            <w:tcW w:w="2844" w:type="dxa"/>
            <w:gridSpan w:val="3"/>
            <w:vAlign w:val="center"/>
          </w:tcPr>
          <w:p w14:paraId="288B5F1A" w14:textId="77777777" w:rsidR="00C87E1E" w:rsidRPr="009F566E" w:rsidRDefault="00C87E1E" w:rsidP="00C87E1E">
            <w:pPr>
              <w:spacing w:before="60" w:after="60"/>
              <w:ind w:right="-29"/>
              <w:jc w:val="center"/>
              <w:rPr>
                <w:noProof/>
                <w:sz w:val="18"/>
                <w:szCs w:val="18"/>
              </w:rPr>
            </w:pPr>
            <w:r w:rsidRPr="009F566E">
              <w:rPr>
                <w:noProof/>
                <w:sz w:val="18"/>
              </w:rPr>
              <w:t>EINZELZIEL Nr. </w:t>
            </w:r>
            <w:r w:rsidRPr="002C6368">
              <w:rPr>
                <w:noProof/>
                <w:sz w:val="18"/>
              </w:rPr>
              <w:t>2</w:t>
            </w:r>
            <w:r w:rsidRPr="009F566E">
              <w:rPr>
                <w:noProof/>
                <w:sz w:val="18"/>
              </w:rPr>
              <w:t> ...</w:t>
            </w:r>
          </w:p>
        </w:tc>
        <w:tc>
          <w:tcPr>
            <w:tcW w:w="504" w:type="dxa"/>
            <w:tcBorders>
              <w:top w:val="nil"/>
              <w:left w:val="nil"/>
              <w:bottom w:val="nil"/>
              <w:right w:val="nil"/>
            </w:tcBorders>
          </w:tcPr>
          <w:p w14:paraId="05CC4091"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07D59F2B" w14:textId="77777777" w:rsidR="00C87E1E" w:rsidRPr="009F566E"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2947F9B5"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49435A5D"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37EE71CF"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5190EBBD" w14:textId="77777777" w:rsidR="00C87E1E" w:rsidRPr="009F566E"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3FB08DD3" w14:textId="77777777" w:rsidR="00C87E1E" w:rsidRPr="009F566E" w:rsidRDefault="00C87E1E" w:rsidP="00C87E1E">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733D9B29" w14:textId="77777777" w:rsidR="00C87E1E" w:rsidRPr="009F566E"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1D7666FD" w14:textId="77777777" w:rsidR="00C87E1E" w:rsidRPr="009F566E" w:rsidRDefault="00C87E1E" w:rsidP="00C87E1E">
            <w:pPr>
              <w:spacing w:before="60" w:after="60"/>
              <w:ind w:right="-29"/>
              <w:jc w:val="center"/>
              <w:rPr>
                <w:noProof/>
                <w:sz w:val="18"/>
                <w:szCs w:val="18"/>
                <w:lang w:eastAsia="en-GB"/>
              </w:rPr>
            </w:pPr>
          </w:p>
        </w:tc>
        <w:tc>
          <w:tcPr>
            <w:tcW w:w="648" w:type="dxa"/>
            <w:tcBorders>
              <w:top w:val="nil"/>
              <w:left w:val="nil"/>
              <w:bottom w:val="nil"/>
              <w:right w:val="nil"/>
            </w:tcBorders>
          </w:tcPr>
          <w:p w14:paraId="6259AB62" w14:textId="77777777" w:rsidR="00C87E1E" w:rsidRPr="009F566E" w:rsidRDefault="00C87E1E" w:rsidP="00C87E1E">
            <w:pPr>
              <w:spacing w:before="60" w:after="60"/>
              <w:ind w:right="-29"/>
              <w:jc w:val="center"/>
              <w:rPr>
                <w:noProof/>
                <w:sz w:val="18"/>
                <w:szCs w:val="18"/>
                <w:lang w:eastAsia="en-GB"/>
              </w:rPr>
            </w:pPr>
          </w:p>
        </w:tc>
        <w:tc>
          <w:tcPr>
            <w:tcW w:w="432" w:type="dxa"/>
            <w:tcBorders>
              <w:top w:val="nil"/>
              <w:left w:val="nil"/>
              <w:bottom w:val="nil"/>
              <w:right w:val="nil"/>
            </w:tcBorders>
          </w:tcPr>
          <w:p w14:paraId="2510C6A3"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0FA1349C" w14:textId="77777777" w:rsidR="00C87E1E" w:rsidRPr="009F566E"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366BEC89"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655E0F85" w14:textId="77777777" w:rsidR="00C87E1E" w:rsidRPr="009F566E"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648653A8" w14:textId="77777777" w:rsidR="00C87E1E" w:rsidRPr="009F566E"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104434EB" w14:textId="77777777" w:rsidR="00C87E1E" w:rsidRPr="009F566E" w:rsidRDefault="00C87E1E" w:rsidP="00C87E1E">
            <w:pPr>
              <w:spacing w:before="60" w:after="60"/>
              <w:ind w:right="-29"/>
              <w:jc w:val="center"/>
              <w:rPr>
                <w:noProof/>
                <w:sz w:val="18"/>
                <w:szCs w:val="18"/>
                <w:lang w:eastAsia="en-GB"/>
              </w:rPr>
            </w:pPr>
          </w:p>
        </w:tc>
      </w:tr>
      <w:tr w:rsidR="00C87E1E" w:rsidRPr="009F566E" w14:paraId="2C76CD03" w14:textId="77777777" w:rsidTr="00C87E1E">
        <w:trPr>
          <w:trHeight w:hRule="exact" w:val="369"/>
          <w:jc w:val="center"/>
        </w:trPr>
        <w:tc>
          <w:tcPr>
            <w:tcW w:w="1423" w:type="dxa"/>
          </w:tcPr>
          <w:p w14:paraId="037615B1" w14:textId="77777777" w:rsidR="00C87E1E" w:rsidRPr="009F566E" w:rsidRDefault="00C87E1E" w:rsidP="00C87E1E">
            <w:pPr>
              <w:ind w:right="-29"/>
              <w:jc w:val="center"/>
              <w:rPr>
                <w:noProof/>
                <w:sz w:val="18"/>
                <w:szCs w:val="18"/>
              </w:rPr>
            </w:pPr>
            <w:r w:rsidRPr="009F566E">
              <w:rPr>
                <w:noProof/>
                <w:sz w:val="18"/>
              </w:rPr>
              <w:t>- Ergebnis</w:t>
            </w:r>
          </w:p>
        </w:tc>
        <w:tc>
          <w:tcPr>
            <w:tcW w:w="720" w:type="dxa"/>
          </w:tcPr>
          <w:p w14:paraId="642ACC04" w14:textId="77777777" w:rsidR="00C87E1E" w:rsidRPr="009F566E" w:rsidRDefault="00C87E1E" w:rsidP="00C87E1E">
            <w:pPr>
              <w:ind w:right="-29"/>
              <w:jc w:val="center"/>
              <w:rPr>
                <w:noProof/>
                <w:sz w:val="18"/>
                <w:szCs w:val="18"/>
                <w:lang w:eastAsia="en-GB"/>
              </w:rPr>
            </w:pPr>
          </w:p>
        </w:tc>
        <w:tc>
          <w:tcPr>
            <w:tcW w:w="701" w:type="dxa"/>
          </w:tcPr>
          <w:p w14:paraId="58E18F71" w14:textId="77777777" w:rsidR="00C87E1E" w:rsidRPr="009F566E" w:rsidRDefault="00C87E1E" w:rsidP="00C87E1E">
            <w:pPr>
              <w:ind w:right="-29"/>
              <w:jc w:val="center"/>
              <w:rPr>
                <w:noProof/>
                <w:sz w:val="18"/>
                <w:szCs w:val="18"/>
                <w:lang w:eastAsia="en-GB"/>
              </w:rPr>
            </w:pPr>
          </w:p>
        </w:tc>
        <w:tc>
          <w:tcPr>
            <w:tcW w:w="504" w:type="dxa"/>
          </w:tcPr>
          <w:p w14:paraId="6048C1A8" w14:textId="77777777" w:rsidR="00C87E1E" w:rsidRPr="009F566E" w:rsidRDefault="00C87E1E" w:rsidP="00C87E1E">
            <w:pPr>
              <w:ind w:right="-29"/>
              <w:jc w:val="center"/>
              <w:rPr>
                <w:noProof/>
                <w:sz w:val="18"/>
                <w:szCs w:val="18"/>
                <w:lang w:eastAsia="en-GB"/>
              </w:rPr>
            </w:pPr>
          </w:p>
        </w:tc>
        <w:tc>
          <w:tcPr>
            <w:tcW w:w="720" w:type="dxa"/>
          </w:tcPr>
          <w:p w14:paraId="623A418A" w14:textId="77777777" w:rsidR="00C87E1E" w:rsidRPr="009F566E" w:rsidRDefault="00C87E1E" w:rsidP="00C87E1E">
            <w:pPr>
              <w:ind w:right="-29"/>
              <w:jc w:val="center"/>
              <w:rPr>
                <w:noProof/>
                <w:sz w:val="18"/>
                <w:szCs w:val="18"/>
                <w:lang w:eastAsia="en-GB"/>
              </w:rPr>
            </w:pPr>
          </w:p>
        </w:tc>
        <w:tc>
          <w:tcPr>
            <w:tcW w:w="540" w:type="dxa"/>
          </w:tcPr>
          <w:p w14:paraId="6FF14078" w14:textId="77777777" w:rsidR="00C87E1E" w:rsidRPr="009F566E" w:rsidRDefault="00C87E1E" w:rsidP="00C87E1E">
            <w:pPr>
              <w:ind w:right="-29"/>
              <w:jc w:val="center"/>
              <w:rPr>
                <w:noProof/>
                <w:sz w:val="18"/>
                <w:szCs w:val="18"/>
                <w:lang w:eastAsia="en-GB"/>
              </w:rPr>
            </w:pPr>
          </w:p>
        </w:tc>
        <w:tc>
          <w:tcPr>
            <w:tcW w:w="720" w:type="dxa"/>
          </w:tcPr>
          <w:p w14:paraId="154326AB" w14:textId="77777777" w:rsidR="00C87E1E" w:rsidRPr="009F566E" w:rsidRDefault="00C87E1E" w:rsidP="00C87E1E">
            <w:pPr>
              <w:ind w:right="-29"/>
              <w:jc w:val="center"/>
              <w:rPr>
                <w:noProof/>
                <w:sz w:val="18"/>
                <w:szCs w:val="18"/>
                <w:lang w:eastAsia="en-GB"/>
              </w:rPr>
            </w:pPr>
          </w:p>
        </w:tc>
        <w:tc>
          <w:tcPr>
            <w:tcW w:w="720" w:type="dxa"/>
          </w:tcPr>
          <w:p w14:paraId="4C2F3753" w14:textId="77777777" w:rsidR="00C87E1E" w:rsidRPr="009F566E" w:rsidRDefault="00C87E1E" w:rsidP="00C87E1E">
            <w:pPr>
              <w:ind w:right="-29"/>
              <w:jc w:val="center"/>
              <w:rPr>
                <w:noProof/>
                <w:sz w:val="18"/>
                <w:szCs w:val="18"/>
                <w:lang w:eastAsia="en-GB"/>
              </w:rPr>
            </w:pPr>
          </w:p>
        </w:tc>
        <w:tc>
          <w:tcPr>
            <w:tcW w:w="720" w:type="dxa"/>
          </w:tcPr>
          <w:p w14:paraId="4A6A56C0" w14:textId="77777777" w:rsidR="00C87E1E" w:rsidRPr="009F566E" w:rsidRDefault="00C87E1E" w:rsidP="00C87E1E">
            <w:pPr>
              <w:ind w:right="-29"/>
              <w:jc w:val="center"/>
              <w:rPr>
                <w:noProof/>
                <w:sz w:val="18"/>
                <w:szCs w:val="18"/>
                <w:lang w:eastAsia="en-GB"/>
              </w:rPr>
            </w:pPr>
          </w:p>
        </w:tc>
        <w:tc>
          <w:tcPr>
            <w:tcW w:w="900" w:type="dxa"/>
          </w:tcPr>
          <w:p w14:paraId="6C8ED74B" w14:textId="77777777" w:rsidR="00C87E1E" w:rsidRPr="009F566E" w:rsidRDefault="00C87E1E" w:rsidP="00C87E1E">
            <w:pPr>
              <w:ind w:right="-29"/>
              <w:jc w:val="center"/>
              <w:rPr>
                <w:noProof/>
                <w:sz w:val="18"/>
                <w:szCs w:val="18"/>
                <w:lang w:eastAsia="en-GB"/>
              </w:rPr>
            </w:pPr>
          </w:p>
        </w:tc>
        <w:tc>
          <w:tcPr>
            <w:tcW w:w="720" w:type="dxa"/>
            <w:gridSpan w:val="2"/>
          </w:tcPr>
          <w:p w14:paraId="3EE64664" w14:textId="77777777" w:rsidR="00C87E1E" w:rsidRPr="009F566E" w:rsidRDefault="00C87E1E" w:rsidP="00C87E1E">
            <w:pPr>
              <w:ind w:right="-29"/>
              <w:jc w:val="center"/>
              <w:rPr>
                <w:noProof/>
                <w:sz w:val="18"/>
                <w:szCs w:val="18"/>
                <w:lang w:eastAsia="en-GB"/>
              </w:rPr>
            </w:pPr>
          </w:p>
        </w:tc>
        <w:tc>
          <w:tcPr>
            <w:tcW w:w="540" w:type="dxa"/>
          </w:tcPr>
          <w:p w14:paraId="232744C5" w14:textId="77777777" w:rsidR="00C87E1E" w:rsidRPr="009F566E" w:rsidRDefault="00C87E1E" w:rsidP="00C87E1E">
            <w:pPr>
              <w:ind w:right="-29"/>
              <w:jc w:val="center"/>
              <w:rPr>
                <w:noProof/>
                <w:sz w:val="18"/>
                <w:szCs w:val="18"/>
                <w:lang w:eastAsia="en-GB"/>
              </w:rPr>
            </w:pPr>
          </w:p>
        </w:tc>
        <w:tc>
          <w:tcPr>
            <w:tcW w:w="648" w:type="dxa"/>
          </w:tcPr>
          <w:p w14:paraId="3485F642" w14:textId="77777777" w:rsidR="00C87E1E" w:rsidRPr="009F566E" w:rsidRDefault="00C87E1E" w:rsidP="00C87E1E">
            <w:pPr>
              <w:ind w:right="-29"/>
              <w:jc w:val="center"/>
              <w:rPr>
                <w:noProof/>
                <w:sz w:val="18"/>
                <w:szCs w:val="18"/>
                <w:lang w:eastAsia="en-GB"/>
              </w:rPr>
            </w:pPr>
          </w:p>
        </w:tc>
        <w:tc>
          <w:tcPr>
            <w:tcW w:w="432" w:type="dxa"/>
          </w:tcPr>
          <w:p w14:paraId="124520C4" w14:textId="77777777" w:rsidR="00C87E1E" w:rsidRPr="009F566E" w:rsidRDefault="00C87E1E" w:rsidP="00C87E1E">
            <w:pPr>
              <w:ind w:right="-29"/>
              <w:jc w:val="center"/>
              <w:rPr>
                <w:noProof/>
                <w:sz w:val="18"/>
                <w:szCs w:val="18"/>
                <w:lang w:eastAsia="en-GB"/>
              </w:rPr>
            </w:pPr>
          </w:p>
        </w:tc>
        <w:tc>
          <w:tcPr>
            <w:tcW w:w="720" w:type="dxa"/>
          </w:tcPr>
          <w:p w14:paraId="0106AA11" w14:textId="77777777" w:rsidR="00C87E1E" w:rsidRPr="009F566E" w:rsidRDefault="00C87E1E" w:rsidP="00C87E1E">
            <w:pPr>
              <w:ind w:right="-29"/>
              <w:jc w:val="center"/>
              <w:rPr>
                <w:noProof/>
                <w:sz w:val="18"/>
                <w:szCs w:val="18"/>
                <w:lang w:eastAsia="en-GB"/>
              </w:rPr>
            </w:pPr>
          </w:p>
        </w:tc>
        <w:tc>
          <w:tcPr>
            <w:tcW w:w="540" w:type="dxa"/>
          </w:tcPr>
          <w:p w14:paraId="77B6FDC1" w14:textId="77777777" w:rsidR="00C87E1E" w:rsidRPr="009F566E" w:rsidRDefault="00C87E1E" w:rsidP="00C87E1E">
            <w:pPr>
              <w:ind w:right="-29"/>
              <w:jc w:val="center"/>
              <w:rPr>
                <w:noProof/>
                <w:sz w:val="18"/>
                <w:szCs w:val="18"/>
                <w:lang w:eastAsia="en-GB"/>
              </w:rPr>
            </w:pPr>
          </w:p>
        </w:tc>
        <w:tc>
          <w:tcPr>
            <w:tcW w:w="720" w:type="dxa"/>
          </w:tcPr>
          <w:p w14:paraId="4231BC11" w14:textId="77777777" w:rsidR="00C87E1E" w:rsidRPr="009F566E" w:rsidRDefault="00C87E1E" w:rsidP="00C87E1E">
            <w:pPr>
              <w:ind w:right="-29"/>
              <w:jc w:val="center"/>
              <w:rPr>
                <w:noProof/>
                <w:sz w:val="18"/>
                <w:szCs w:val="18"/>
                <w:lang w:eastAsia="en-GB"/>
              </w:rPr>
            </w:pPr>
          </w:p>
        </w:tc>
        <w:tc>
          <w:tcPr>
            <w:tcW w:w="720" w:type="dxa"/>
          </w:tcPr>
          <w:p w14:paraId="0908AD39" w14:textId="77777777" w:rsidR="00C87E1E" w:rsidRPr="009F566E" w:rsidRDefault="00C87E1E" w:rsidP="00C87E1E">
            <w:pPr>
              <w:ind w:right="-29"/>
              <w:jc w:val="center"/>
              <w:rPr>
                <w:noProof/>
                <w:sz w:val="18"/>
                <w:szCs w:val="18"/>
                <w:lang w:eastAsia="en-GB"/>
              </w:rPr>
            </w:pPr>
          </w:p>
        </w:tc>
        <w:tc>
          <w:tcPr>
            <w:tcW w:w="900" w:type="dxa"/>
          </w:tcPr>
          <w:p w14:paraId="2CEA1D67" w14:textId="77777777" w:rsidR="00C87E1E" w:rsidRPr="009F566E" w:rsidRDefault="00C87E1E" w:rsidP="00C87E1E">
            <w:pPr>
              <w:ind w:right="-29"/>
              <w:jc w:val="center"/>
              <w:rPr>
                <w:noProof/>
                <w:sz w:val="18"/>
                <w:szCs w:val="18"/>
                <w:lang w:eastAsia="en-GB"/>
              </w:rPr>
            </w:pPr>
          </w:p>
        </w:tc>
      </w:tr>
      <w:tr w:rsidR="00C87E1E" w:rsidRPr="009F566E" w14:paraId="758E9BD9" w14:textId="77777777" w:rsidTr="00C87E1E">
        <w:trPr>
          <w:jc w:val="center"/>
        </w:trPr>
        <w:tc>
          <w:tcPr>
            <w:tcW w:w="2844" w:type="dxa"/>
            <w:gridSpan w:val="3"/>
            <w:tcBorders>
              <w:bottom w:val="single" w:sz="12" w:space="0" w:color="auto"/>
            </w:tcBorders>
            <w:vAlign w:val="center"/>
          </w:tcPr>
          <w:p w14:paraId="64A3C8B3" w14:textId="77777777" w:rsidR="00C87E1E" w:rsidRPr="009F566E" w:rsidRDefault="00C87E1E" w:rsidP="00C87E1E">
            <w:pPr>
              <w:jc w:val="center"/>
              <w:rPr>
                <w:noProof/>
                <w:sz w:val="18"/>
                <w:szCs w:val="18"/>
              </w:rPr>
            </w:pPr>
            <w:r w:rsidRPr="009F566E">
              <w:rPr>
                <w:noProof/>
                <w:sz w:val="18"/>
              </w:rPr>
              <w:t>Zwischensumme für Einzelziel Nr. </w:t>
            </w:r>
            <w:r w:rsidRPr="002C6368">
              <w:rPr>
                <w:noProof/>
                <w:sz w:val="18"/>
              </w:rPr>
              <w:t>2</w:t>
            </w:r>
          </w:p>
        </w:tc>
        <w:tc>
          <w:tcPr>
            <w:tcW w:w="504" w:type="dxa"/>
            <w:tcBorders>
              <w:bottom w:val="single" w:sz="12" w:space="0" w:color="auto"/>
            </w:tcBorders>
          </w:tcPr>
          <w:p w14:paraId="7A576858"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064AF8B3" w14:textId="77777777" w:rsidR="00C87E1E" w:rsidRPr="009F566E" w:rsidRDefault="00C87E1E" w:rsidP="00C87E1E">
            <w:pPr>
              <w:ind w:right="-29"/>
              <w:jc w:val="center"/>
              <w:rPr>
                <w:noProof/>
                <w:sz w:val="18"/>
                <w:szCs w:val="18"/>
                <w:lang w:eastAsia="en-GB"/>
              </w:rPr>
            </w:pPr>
          </w:p>
        </w:tc>
        <w:tc>
          <w:tcPr>
            <w:tcW w:w="540" w:type="dxa"/>
            <w:tcBorders>
              <w:bottom w:val="single" w:sz="12" w:space="0" w:color="auto"/>
            </w:tcBorders>
          </w:tcPr>
          <w:p w14:paraId="0533A0E8"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28B08866"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176D79AA"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5DE1229B" w14:textId="77777777" w:rsidR="00C87E1E" w:rsidRPr="009F566E" w:rsidRDefault="00C87E1E" w:rsidP="00C87E1E">
            <w:pPr>
              <w:ind w:right="-29"/>
              <w:jc w:val="center"/>
              <w:rPr>
                <w:noProof/>
                <w:sz w:val="18"/>
                <w:szCs w:val="18"/>
                <w:lang w:eastAsia="en-GB"/>
              </w:rPr>
            </w:pPr>
          </w:p>
        </w:tc>
        <w:tc>
          <w:tcPr>
            <w:tcW w:w="951" w:type="dxa"/>
            <w:gridSpan w:val="2"/>
            <w:tcBorders>
              <w:bottom w:val="single" w:sz="12" w:space="0" w:color="auto"/>
            </w:tcBorders>
          </w:tcPr>
          <w:p w14:paraId="20F988D3" w14:textId="77777777" w:rsidR="00C87E1E" w:rsidRPr="009F566E" w:rsidRDefault="00C87E1E" w:rsidP="00C87E1E">
            <w:pPr>
              <w:ind w:right="-29"/>
              <w:jc w:val="center"/>
              <w:rPr>
                <w:noProof/>
                <w:sz w:val="18"/>
                <w:szCs w:val="18"/>
                <w:lang w:eastAsia="en-GB"/>
              </w:rPr>
            </w:pPr>
          </w:p>
        </w:tc>
        <w:tc>
          <w:tcPr>
            <w:tcW w:w="669" w:type="dxa"/>
            <w:tcBorders>
              <w:bottom w:val="single" w:sz="12" w:space="0" w:color="auto"/>
            </w:tcBorders>
          </w:tcPr>
          <w:p w14:paraId="2002CB70" w14:textId="77777777" w:rsidR="00C87E1E" w:rsidRPr="009F566E" w:rsidRDefault="00C87E1E" w:rsidP="00C87E1E">
            <w:pPr>
              <w:ind w:right="-29"/>
              <w:jc w:val="center"/>
              <w:rPr>
                <w:noProof/>
                <w:sz w:val="18"/>
                <w:szCs w:val="18"/>
                <w:lang w:eastAsia="en-GB"/>
              </w:rPr>
            </w:pPr>
          </w:p>
        </w:tc>
        <w:tc>
          <w:tcPr>
            <w:tcW w:w="540" w:type="dxa"/>
            <w:tcBorders>
              <w:bottom w:val="single" w:sz="12" w:space="0" w:color="auto"/>
            </w:tcBorders>
          </w:tcPr>
          <w:p w14:paraId="264357CA" w14:textId="77777777" w:rsidR="00C87E1E" w:rsidRPr="009F566E" w:rsidRDefault="00C87E1E" w:rsidP="00C87E1E">
            <w:pPr>
              <w:ind w:right="-29"/>
              <w:jc w:val="center"/>
              <w:rPr>
                <w:noProof/>
                <w:sz w:val="18"/>
                <w:szCs w:val="18"/>
                <w:lang w:eastAsia="en-GB"/>
              </w:rPr>
            </w:pPr>
          </w:p>
        </w:tc>
        <w:tc>
          <w:tcPr>
            <w:tcW w:w="648" w:type="dxa"/>
            <w:tcBorders>
              <w:bottom w:val="single" w:sz="12" w:space="0" w:color="auto"/>
            </w:tcBorders>
          </w:tcPr>
          <w:p w14:paraId="008B9A88" w14:textId="77777777" w:rsidR="00C87E1E" w:rsidRPr="009F566E" w:rsidRDefault="00C87E1E" w:rsidP="00C87E1E">
            <w:pPr>
              <w:ind w:right="-29"/>
              <w:jc w:val="center"/>
              <w:rPr>
                <w:noProof/>
                <w:sz w:val="18"/>
                <w:szCs w:val="18"/>
                <w:lang w:eastAsia="en-GB"/>
              </w:rPr>
            </w:pPr>
          </w:p>
        </w:tc>
        <w:tc>
          <w:tcPr>
            <w:tcW w:w="432" w:type="dxa"/>
            <w:tcBorders>
              <w:bottom w:val="single" w:sz="12" w:space="0" w:color="auto"/>
            </w:tcBorders>
          </w:tcPr>
          <w:p w14:paraId="06B40516"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4333E0E1" w14:textId="77777777" w:rsidR="00C87E1E" w:rsidRPr="009F566E" w:rsidRDefault="00C87E1E" w:rsidP="00C87E1E">
            <w:pPr>
              <w:ind w:right="-29"/>
              <w:jc w:val="center"/>
              <w:rPr>
                <w:noProof/>
                <w:sz w:val="18"/>
                <w:szCs w:val="18"/>
                <w:lang w:eastAsia="en-GB"/>
              </w:rPr>
            </w:pPr>
          </w:p>
        </w:tc>
        <w:tc>
          <w:tcPr>
            <w:tcW w:w="540" w:type="dxa"/>
            <w:tcBorders>
              <w:bottom w:val="single" w:sz="12" w:space="0" w:color="auto"/>
            </w:tcBorders>
          </w:tcPr>
          <w:p w14:paraId="3846EC72"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13E9A556" w14:textId="77777777" w:rsidR="00C87E1E" w:rsidRPr="009F566E" w:rsidRDefault="00C87E1E" w:rsidP="00C87E1E">
            <w:pPr>
              <w:ind w:right="-29"/>
              <w:jc w:val="center"/>
              <w:rPr>
                <w:noProof/>
                <w:sz w:val="18"/>
                <w:szCs w:val="18"/>
                <w:lang w:eastAsia="en-GB"/>
              </w:rPr>
            </w:pPr>
          </w:p>
        </w:tc>
        <w:tc>
          <w:tcPr>
            <w:tcW w:w="720" w:type="dxa"/>
            <w:tcBorders>
              <w:bottom w:val="single" w:sz="12" w:space="0" w:color="auto"/>
            </w:tcBorders>
          </w:tcPr>
          <w:p w14:paraId="05789881" w14:textId="77777777" w:rsidR="00C87E1E" w:rsidRPr="009F566E" w:rsidRDefault="00C87E1E" w:rsidP="00C87E1E">
            <w:pPr>
              <w:ind w:right="-29"/>
              <w:jc w:val="center"/>
              <w:rPr>
                <w:noProof/>
                <w:sz w:val="18"/>
                <w:szCs w:val="18"/>
                <w:lang w:eastAsia="en-GB"/>
              </w:rPr>
            </w:pPr>
          </w:p>
        </w:tc>
        <w:tc>
          <w:tcPr>
            <w:tcW w:w="900" w:type="dxa"/>
            <w:tcBorders>
              <w:bottom w:val="single" w:sz="12" w:space="0" w:color="auto"/>
            </w:tcBorders>
          </w:tcPr>
          <w:p w14:paraId="7E7F528B" w14:textId="77777777" w:rsidR="00C87E1E" w:rsidRPr="009F566E" w:rsidRDefault="00C87E1E" w:rsidP="00C87E1E">
            <w:pPr>
              <w:ind w:right="-29"/>
              <w:jc w:val="center"/>
              <w:rPr>
                <w:noProof/>
                <w:sz w:val="18"/>
                <w:szCs w:val="18"/>
                <w:lang w:eastAsia="en-GB"/>
              </w:rPr>
            </w:pPr>
          </w:p>
        </w:tc>
      </w:tr>
      <w:tr w:rsidR="00C87E1E" w:rsidRPr="009F566E" w14:paraId="7A92B444" w14:textId="77777777" w:rsidTr="00C87E1E">
        <w:trPr>
          <w:jc w:val="center"/>
        </w:trPr>
        <w:tc>
          <w:tcPr>
            <w:tcW w:w="2844" w:type="dxa"/>
            <w:gridSpan w:val="3"/>
            <w:tcBorders>
              <w:top w:val="single" w:sz="12" w:space="0" w:color="auto"/>
              <w:left w:val="single" w:sz="12" w:space="0" w:color="auto"/>
              <w:bottom w:val="single" w:sz="12" w:space="0" w:color="auto"/>
            </w:tcBorders>
            <w:vAlign w:val="center"/>
          </w:tcPr>
          <w:p w14:paraId="7AFDCFAF" w14:textId="77777777" w:rsidR="00C87E1E" w:rsidRPr="009F566E" w:rsidRDefault="00C87E1E" w:rsidP="00C87E1E">
            <w:pPr>
              <w:ind w:right="-29"/>
              <w:jc w:val="center"/>
              <w:rPr>
                <w:noProof/>
                <w:sz w:val="18"/>
                <w:szCs w:val="18"/>
              </w:rPr>
            </w:pPr>
            <w:r w:rsidRPr="009F566E">
              <w:rPr>
                <w:b/>
                <w:noProof/>
                <w:sz w:val="18"/>
              </w:rPr>
              <w:t>INSGESAMT</w:t>
            </w:r>
          </w:p>
        </w:tc>
        <w:tc>
          <w:tcPr>
            <w:tcW w:w="504" w:type="dxa"/>
            <w:tcBorders>
              <w:top w:val="single" w:sz="12" w:space="0" w:color="auto"/>
              <w:bottom w:val="single" w:sz="12" w:space="0" w:color="auto"/>
            </w:tcBorders>
          </w:tcPr>
          <w:p w14:paraId="76157684" w14:textId="77777777" w:rsidR="00C87E1E" w:rsidRPr="009F566E"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30708F3B" w14:textId="77777777" w:rsidR="00C87E1E" w:rsidRPr="009F566E"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693385D9" w14:textId="77777777" w:rsidR="00C87E1E" w:rsidRPr="009F566E"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78A2D79B" w14:textId="77777777" w:rsidR="00C87E1E" w:rsidRPr="009F566E"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1A36463A" w14:textId="77777777" w:rsidR="00C87E1E" w:rsidRPr="009F566E"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2F30EEB8" w14:textId="77777777" w:rsidR="00C87E1E" w:rsidRPr="009F566E" w:rsidRDefault="00C87E1E" w:rsidP="00C87E1E">
            <w:pPr>
              <w:spacing w:before="180" w:after="180"/>
              <w:ind w:right="-29"/>
              <w:jc w:val="center"/>
              <w:rPr>
                <w:noProof/>
                <w:sz w:val="18"/>
                <w:szCs w:val="18"/>
                <w:lang w:eastAsia="en-GB"/>
              </w:rPr>
            </w:pPr>
          </w:p>
        </w:tc>
        <w:tc>
          <w:tcPr>
            <w:tcW w:w="900" w:type="dxa"/>
            <w:tcBorders>
              <w:top w:val="single" w:sz="12" w:space="0" w:color="auto"/>
              <w:bottom w:val="single" w:sz="12" w:space="0" w:color="auto"/>
            </w:tcBorders>
          </w:tcPr>
          <w:p w14:paraId="0342E5E9" w14:textId="77777777" w:rsidR="00C87E1E" w:rsidRPr="009F566E" w:rsidRDefault="00C87E1E" w:rsidP="00C87E1E">
            <w:pPr>
              <w:spacing w:before="180" w:after="180"/>
              <w:ind w:right="-29"/>
              <w:jc w:val="center"/>
              <w:rPr>
                <w:noProof/>
                <w:sz w:val="18"/>
                <w:szCs w:val="18"/>
                <w:lang w:eastAsia="en-GB"/>
              </w:rPr>
            </w:pPr>
          </w:p>
        </w:tc>
        <w:tc>
          <w:tcPr>
            <w:tcW w:w="720" w:type="dxa"/>
            <w:gridSpan w:val="2"/>
            <w:tcBorders>
              <w:top w:val="single" w:sz="12" w:space="0" w:color="auto"/>
              <w:bottom w:val="single" w:sz="12" w:space="0" w:color="auto"/>
            </w:tcBorders>
          </w:tcPr>
          <w:p w14:paraId="387ABFB0" w14:textId="77777777" w:rsidR="00C87E1E" w:rsidRPr="009F566E"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58188493" w14:textId="77777777" w:rsidR="00C87E1E" w:rsidRPr="009F566E" w:rsidRDefault="00C87E1E" w:rsidP="00C87E1E">
            <w:pPr>
              <w:spacing w:before="180" w:after="180"/>
              <w:ind w:right="-29"/>
              <w:jc w:val="center"/>
              <w:rPr>
                <w:noProof/>
                <w:sz w:val="18"/>
                <w:szCs w:val="18"/>
                <w:lang w:eastAsia="en-GB"/>
              </w:rPr>
            </w:pPr>
          </w:p>
        </w:tc>
        <w:tc>
          <w:tcPr>
            <w:tcW w:w="648" w:type="dxa"/>
            <w:tcBorders>
              <w:top w:val="single" w:sz="12" w:space="0" w:color="auto"/>
              <w:bottom w:val="single" w:sz="12" w:space="0" w:color="auto"/>
            </w:tcBorders>
          </w:tcPr>
          <w:p w14:paraId="3FA2F0BE" w14:textId="77777777" w:rsidR="00C87E1E" w:rsidRPr="009F566E" w:rsidRDefault="00C87E1E" w:rsidP="00C87E1E">
            <w:pPr>
              <w:spacing w:before="180" w:after="180"/>
              <w:ind w:right="-29"/>
              <w:jc w:val="center"/>
              <w:rPr>
                <w:noProof/>
                <w:sz w:val="18"/>
                <w:szCs w:val="18"/>
                <w:lang w:eastAsia="en-GB"/>
              </w:rPr>
            </w:pPr>
          </w:p>
        </w:tc>
        <w:tc>
          <w:tcPr>
            <w:tcW w:w="432" w:type="dxa"/>
            <w:tcBorders>
              <w:top w:val="single" w:sz="12" w:space="0" w:color="auto"/>
              <w:bottom w:val="single" w:sz="12" w:space="0" w:color="auto"/>
            </w:tcBorders>
          </w:tcPr>
          <w:p w14:paraId="68FA6DBB" w14:textId="77777777" w:rsidR="00C87E1E" w:rsidRPr="009F566E"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6A508E6D" w14:textId="77777777" w:rsidR="00C87E1E" w:rsidRPr="009F566E"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2F74D03A" w14:textId="77777777" w:rsidR="00C87E1E" w:rsidRPr="009F566E"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2F6518BD" w14:textId="77777777" w:rsidR="00C87E1E" w:rsidRPr="009F566E"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5472D211" w14:textId="77777777" w:rsidR="00C87E1E" w:rsidRPr="009F566E" w:rsidRDefault="00C87E1E" w:rsidP="00C87E1E">
            <w:pPr>
              <w:spacing w:before="180" w:after="180"/>
              <w:ind w:right="-29"/>
              <w:jc w:val="center"/>
              <w:rPr>
                <w:noProof/>
                <w:sz w:val="18"/>
                <w:szCs w:val="18"/>
                <w:lang w:eastAsia="en-GB"/>
              </w:rPr>
            </w:pPr>
          </w:p>
        </w:tc>
        <w:tc>
          <w:tcPr>
            <w:tcW w:w="900" w:type="dxa"/>
            <w:tcBorders>
              <w:top w:val="single" w:sz="12" w:space="0" w:color="auto"/>
              <w:bottom w:val="single" w:sz="12" w:space="0" w:color="auto"/>
              <w:right w:val="single" w:sz="12" w:space="0" w:color="auto"/>
            </w:tcBorders>
          </w:tcPr>
          <w:p w14:paraId="53F1B3FC" w14:textId="77777777" w:rsidR="00C87E1E" w:rsidRPr="009F566E" w:rsidRDefault="00C87E1E" w:rsidP="00C87E1E">
            <w:pPr>
              <w:spacing w:before="180" w:after="180"/>
              <w:ind w:right="-29"/>
              <w:jc w:val="center"/>
              <w:rPr>
                <w:noProof/>
                <w:sz w:val="18"/>
                <w:szCs w:val="18"/>
                <w:lang w:eastAsia="en-GB"/>
              </w:rPr>
            </w:pPr>
          </w:p>
        </w:tc>
      </w:tr>
    </w:tbl>
    <w:p w14:paraId="691AA038" w14:textId="77777777" w:rsidR="00C87E1E" w:rsidRPr="009F566E" w:rsidRDefault="00C87E1E" w:rsidP="00C87E1E">
      <w:pPr>
        <w:rPr>
          <w:noProof/>
          <w:lang w:eastAsia="en-GB"/>
        </w:rPr>
        <w:sectPr w:rsidR="00C87E1E" w:rsidRPr="009F566E" w:rsidSect="001E1836">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14:paraId="3D816693" w14:textId="77777777" w:rsidR="00C87E1E" w:rsidRPr="009F566E" w:rsidRDefault="00C87E1E" w:rsidP="00FB18F4">
      <w:pPr>
        <w:keepNext/>
        <w:outlineLvl w:val="2"/>
        <w:rPr>
          <w:rFonts w:eastAsiaTheme="majorEastAsia"/>
          <w:i/>
          <w:noProof/>
          <w:szCs w:val="24"/>
        </w:rPr>
      </w:pPr>
      <w:bookmarkStart w:id="59" w:name="_Toc514938055"/>
      <w:bookmarkStart w:id="60" w:name="_Toc520485054"/>
      <w:r w:rsidRPr="009F566E">
        <w:rPr>
          <w:i/>
          <w:noProof/>
        </w:rPr>
        <w:t>Übersicht über die geschätzten Auswirkungen auf die Verwaltungsmittel</w:t>
      </w:r>
      <w:bookmarkEnd w:id="59"/>
      <w:bookmarkEnd w:id="60"/>
      <w:r w:rsidRPr="009F566E">
        <w:rPr>
          <w:i/>
          <w:noProof/>
        </w:rPr>
        <w:t xml:space="preserve"> </w:t>
      </w:r>
    </w:p>
    <w:p w14:paraId="2848F443" w14:textId="77777777" w:rsidR="00C87E1E" w:rsidRPr="009F566E" w:rsidRDefault="00C87E1E" w:rsidP="00C87E1E">
      <w:pPr>
        <w:tabs>
          <w:tab w:val="num" w:pos="1134"/>
        </w:tabs>
        <w:ind w:left="1134" w:hanging="283"/>
        <w:rPr>
          <w:noProof/>
        </w:rPr>
      </w:pPr>
      <w:r w:rsidRPr="009F566E">
        <w:rPr>
          <w:b/>
          <w:noProof/>
        </w:rPr>
        <w:t>X</w:t>
      </w:r>
      <w:r w:rsidRPr="009F566E">
        <w:rPr>
          <w:noProof/>
        </w:rPr>
        <w:tab/>
        <w:t xml:space="preserve">Für den Vorschlag/die Initiative werden keine Verwaltungsmittel benötigt. </w:t>
      </w:r>
    </w:p>
    <w:p w14:paraId="11CF8689" w14:textId="77777777" w:rsidR="00C87E1E" w:rsidRPr="009F566E" w:rsidRDefault="00C87E1E" w:rsidP="00C87E1E">
      <w:pPr>
        <w:tabs>
          <w:tab w:val="num" w:pos="1134"/>
        </w:tabs>
        <w:ind w:left="1134" w:hanging="283"/>
        <w:rPr>
          <w:noProof/>
        </w:rPr>
      </w:pPr>
      <w:r w:rsidRPr="009F566E">
        <w:rPr>
          <w:noProof/>
        </w:rPr>
        <w:sym w:font="Wingdings" w:char="F0A8"/>
      </w:r>
      <w:r w:rsidRPr="009F566E">
        <w:rPr>
          <w:noProof/>
        </w:rPr>
        <w:t xml:space="preserve"> Für den Vorschlag/die Initiative werden die folgenden Verwaltungsmittel benötigt:</w:t>
      </w:r>
    </w:p>
    <w:p w14:paraId="6168E13A" w14:textId="77777777" w:rsidR="00C87E1E" w:rsidRPr="009F566E" w:rsidRDefault="00C87E1E" w:rsidP="00C87E1E">
      <w:pPr>
        <w:jc w:val="right"/>
        <w:rPr>
          <w:noProof/>
          <w:sz w:val="20"/>
        </w:rPr>
      </w:pPr>
      <w:r w:rsidRPr="009F566E">
        <w:rPr>
          <w:noProof/>
          <w:sz w:val="20"/>
        </w:rPr>
        <w:t>in Mio. EUR (</w:t>
      </w:r>
      <w:r w:rsidRPr="002C6368">
        <w:rPr>
          <w:noProof/>
          <w:sz w:val="20"/>
        </w:rPr>
        <w:t>3</w:t>
      </w:r>
      <w:r w:rsidRPr="009F566E">
        <w:rPr>
          <w:noProof/>
          <w:sz w:val="20"/>
        </w:rPr>
        <w:t> Dezimalstellen)</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C87E1E" w:rsidRPr="009F566E" w14:paraId="4586680C" w14:textId="77777777" w:rsidTr="00C87E1E">
        <w:trPr>
          <w:trHeight w:val="585"/>
        </w:trPr>
        <w:tc>
          <w:tcPr>
            <w:tcW w:w="1980" w:type="dxa"/>
          </w:tcPr>
          <w:p w14:paraId="0F955566" w14:textId="77777777" w:rsidR="00C87E1E" w:rsidRPr="009F566E" w:rsidRDefault="00C87E1E" w:rsidP="00C87E1E">
            <w:pPr>
              <w:spacing w:before="60" w:after="60" w:line="200" w:lineRule="exact"/>
              <w:rPr>
                <w:noProof/>
                <w:sz w:val="16"/>
                <w:szCs w:val="16"/>
                <w:lang w:eastAsia="en-GB"/>
              </w:rPr>
            </w:pPr>
          </w:p>
        </w:tc>
        <w:tc>
          <w:tcPr>
            <w:tcW w:w="1080" w:type="dxa"/>
            <w:vAlign w:val="center"/>
          </w:tcPr>
          <w:p w14:paraId="6EF9F009" w14:textId="77777777" w:rsidR="00C87E1E" w:rsidRPr="009F566E" w:rsidRDefault="00C87E1E" w:rsidP="00C87E1E">
            <w:pPr>
              <w:spacing w:before="60" w:after="60" w:line="200" w:lineRule="exact"/>
              <w:jc w:val="center"/>
              <w:rPr>
                <w:noProof/>
                <w:sz w:val="16"/>
                <w:szCs w:val="16"/>
              </w:rPr>
            </w:pPr>
            <w:r w:rsidRPr="009F566E">
              <w:rPr>
                <w:noProof/>
                <w:sz w:val="16"/>
              </w:rPr>
              <w:t>Jahr</w:t>
            </w:r>
            <w:r w:rsidRPr="009F566E">
              <w:rPr>
                <w:noProof/>
              </w:rPr>
              <w:t xml:space="preserve"> </w:t>
            </w:r>
            <w:r w:rsidRPr="009F566E">
              <w:rPr>
                <w:noProof/>
              </w:rPr>
              <w:br/>
            </w:r>
            <w:r w:rsidRPr="009F566E">
              <w:rPr>
                <w:b/>
                <w:noProof/>
                <w:sz w:val="16"/>
              </w:rPr>
              <w:t xml:space="preserve">N </w:t>
            </w:r>
            <w:r w:rsidRPr="009F566E">
              <w:rPr>
                <w:rStyle w:val="FootnoteReference"/>
                <w:noProof/>
              </w:rPr>
              <w:footnoteReference w:id="28"/>
            </w:r>
          </w:p>
        </w:tc>
        <w:tc>
          <w:tcPr>
            <w:tcW w:w="1080" w:type="dxa"/>
            <w:vAlign w:val="center"/>
          </w:tcPr>
          <w:p w14:paraId="057A7C23" w14:textId="77777777" w:rsidR="00C87E1E" w:rsidRPr="009F566E" w:rsidRDefault="00C87E1E" w:rsidP="00C87E1E">
            <w:pPr>
              <w:spacing w:before="60" w:after="60" w:line="200" w:lineRule="exact"/>
              <w:jc w:val="center"/>
              <w:rPr>
                <w:noProof/>
                <w:sz w:val="16"/>
                <w:szCs w:val="16"/>
              </w:rPr>
            </w:pPr>
            <w:r w:rsidRPr="009F566E">
              <w:rPr>
                <w:noProof/>
                <w:sz w:val="16"/>
              </w:rPr>
              <w:t>Jahr</w:t>
            </w:r>
            <w:r w:rsidRPr="009F566E">
              <w:rPr>
                <w:noProof/>
              </w:rPr>
              <w:t xml:space="preserve"> </w:t>
            </w:r>
            <w:r w:rsidRPr="009F566E">
              <w:rPr>
                <w:noProof/>
              </w:rPr>
              <w:br/>
            </w:r>
            <w:r w:rsidRPr="009F566E">
              <w:rPr>
                <w:b/>
                <w:noProof/>
                <w:sz w:val="16"/>
              </w:rPr>
              <w:t>N+</w:t>
            </w:r>
            <w:r w:rsidRPr="002C6368">
              <w:rPr>
                <w:b/>
                <w:noProof/>
                <w:sz w:val="16"/>
              </w:rPr>
              <w:t>1</w:t>
            </w:r>
          </w:p>
        </w:tc>
        <w:tc>
          <w:tcPr>
            <w:tcW w:w="1080" w:type="dxa"/>
            <w:vAlign w:val="center"/>
          </w:tcPr>
          <w:p w14:paraId="46F90FB9" w14:textId="77777777" w:rsidR="00C87E1E" w:rsidRPr="009F566E" w:rsidRDefault="00C87E1E" w:rsidP="00C87E1E">
            <w:pPr>
              <w:spacing w:before="60" w:after="60" w:line="200" w:lineRule="exact"/>
              <w:jc w:val="center"/>
              <w:rPr>
                <w:noProof/>
                <w:sz w:val="16"/>
                <w:szCs w:val="16"/>
              </w:rPr>
            </w:pPr>
            <w:r w:rsidRPr="009F566E">
              <w:rPr>
                <w:noProof/>
                <w:sz w:val="16"/>
              </w:rPr>
              <w:t>Jahr</w:t>
            </w:r>
            <w:r w:rsidRPr="009F566E">
              <w:rPr>
                <w:noProof/>
              </w:rPr>
              <w:t xml:space="preserve"> </w:t>
            </w:r>
            <w:r w:rsidRPr="009F566E">
              <w:rPr>
                <w:noProof/>
              </w:rPr>
              <w:br/>
            </w:r>
            <w:r w:rsidRPr="009F566E">
              <w:rPr>
                <w:b/>
                <w:noProof/>
                <w:sz w:val="16"/>
              </w:rPr>
              <w:t>N+</w:t>
            </w:r>
            <w:r w:rsidRPr="002C6368">
              <w:rPr>
                <w:b/>
                <w:noProof/>
                <w:sz w:val="16"/>
              </w:rPr>
              <w:t>2</w:t>
            </w:r>
          </w:p>
        </w:tc>
        <w:tc>
          <w:tcPr>
            <w:tcW w:w="1080" w:type="dxa"/>
            <w:vAlign w:val="center"/>
          </w:tcPr>
          <w:p w14:paraId="5BDD1136" w14:textId="77777777" w:rsidR="00C87E1E" w:rsidRPr="009F566E" w:rsidRDefault="00C87E1E" w:rsidP="00C87E1E">
            <w:pPr>
              <w:spacing w:before="60" w:after="60" w:line="200" w:lineRule="exact"/>
              <w:jc w:val="center"/>
              <w:rPr>
                <w:noProof/>
                <w:sz w:val="16"/>
                <w:szCs w:val="16"/>
              </w:rPr>
            </w:pPr>
            <w:r w:rsidRPr="009F566E">
              <w:rPr>
                <w:noProof/>
                <w:sz w:val="16"/>
              </w:rPr>
              <w:t>Jahr</w:t>
            </w:r>
            <w:r w:rsidRPr="009F566E">
              <w:rPr>
                <w:noProof/>
              </w:rPr>
              <w:t xml:space="preserve"> </w:t>
            </w:r>
            <w:r w:rsidRPr="009F566E">
              <w:rPr>
                <w:noProof/>
              </w:rPr>
              <w:br/>
            </w:r>
            <w:r w:rsidRPr="009F566E">
              <w:rPr>
                <w:b/>
                <w:noProof/>
                <w:sz w:val="16"/>
              </w:rPr>
              <w:t>N+</w:t>
            </w:r>
            <w:r w:rsidRPr="002C6368">
              <w:rPr>
                <w:b/>
                <w:noProof/>
                <w:sz w:val="16"/>
              </w:rPr>
              <w:t>3</w:t>
            </w:r>
          </w:p>
        </w:tc>
        <w:tc>
          <w:tcPr>
            <w:tcW w:w="3240" w:type="dxa"/>
            <w:vAlign w:val="center"/>
          </w:tcPr>
          <w:p w14:paraId="4AEA18C3" w14:textId="77777777" w:rsidR="00C87E1E" w:rsidRPr="009F566E" w:rsidRDefault="00C87E1E" w:rsidP="00C87E1E">
            <w:pPr>
              <w:spacing w:line="200" w:lineRule="exact"/>
              <w:jc w:val="center"/>
              <w:rPr>
                <w:b/>
                <w:noProof/>
                <w:sz w:val="16"/>
                <w:szCs w:val="16"/>
              </w:rPr>
            </w:pPr>
            <w:r w:rsidRPr="009F566E">
              <w:rPr>
                <w:noProof/>
                <w:sz w:val="16"/>
              </w:rPr>
              <w:t xml:space="preserve">Bei länger andauernden Auswirkungen (siehe </w:t>
            </w:r>
            <w:r w:rsidRPr="002C6368">
              <w:rPr>
                <w:noProof/>
                <w:sz w:val="16"/>
              </w:rPr>
              <w:t>1</w:t>
            </w:r>
            <w:r w:rsidRPr="009F566E">
              <w:rPr>
                <w:noProof/>
                <w:sz w:val="16"/>
              </w:rPr>
              <w:t>.</w:t>
            </w:r>
            <w:r w:rsidRPr="002C6368">
              <w:rPr>
                <w:noProof/>
                <w:sz w:val="16"/>
              </w:rPr>
              <w:t>6</w:t>
            </w:r>
            <w:r w:rsidRPr="009F566E">
              <w:rPr>
                <w:noProof/>
                <w:sz w:val="16"/>
              </w:rPr>
              <w:t>.) bitte weitere Spalten einfügen.</w:t>
            </w:r>
          </w:p>
        </w:tc>
        <w:tc>
          <w:tcPr>
            <w:tcW w:w="1080" w:type="dxa"/>
            <w:vAlign w:val="center"/>
          </w:tcPr>
          <w:p w14:paraId="11C4CA02" w14:textId="77777777" w:rsidR="00C87E1E" w:rsidRPr="009F566E" w:rsidRDefault="00C87E1E" w:rsidP="00C87E1E">
            <w:pPr>
              <w:spacing w:before="60" w:after="60" w:line="200" w:lineRule="exact"/>
              <w:jc w:val="center"/>
              <w:rPr>
                <w:b/>
                <w:noProof/>
                <w:sz w:val="16"/>
                <w:szCs w:val="16"/>
              </w:rPr>
            </w:pPr>
            <w:r w:rsidRPr="009F566E">
              <w:rPr>
                <w:b/>
                <w:noProof/>
                <w:sz w:val="16"/>
              </w:rPr>
              <w:t>INSGESAMT</w:t>
            </w:r>
          </w:p>
        </w:tc>
      </w:tr>
    </w:tbl>
    <w:p w14:paraId="50526C79" w14:textId="77777777" w:rsidR="00C87E1E" w:rsidRPr="009F566E" w:rsidRDefault="00C87E1E" w:rsidP="00C87E1E">
      <w:pPr>
        <w:spacing w:line="200" w:lineRule="exact"/>
        <w:rPr>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9F566E" w14:paraId="7158BEFB" w14:textId="77777777" w:rsidTr="00C87E1E">
        <w:trPr>
          <w:trHeight w:val="585"/>
        </w:trPr>
        <w:tc>
          <w:tcPr>
            <w:tcW w:w="1980" w:type="dxa"/>
            <w:shd w:val="clear" w:color="auto" w:fill="CCCCCC"/>
            <w:vAlign w:val="center"/>
          </w:tcPr>
          <w:p w14:paraId="05184F2D" w14:textId="77777777" w:rsidR="00C87E1E" w:rsidRPr="009F566E" w:rsidRDefault="00C87E1E" w:rsidP="00C87E1E">
            <w:pPr>
              <w:spacing w:before="60" w:after="60" w:line="200" w:lineRule="exact"/>
              <w:jc w:val="center"/>
              <w:rPr>
                <w:b/>
                <w:noProof/>
                <w:sz w:val="16"/>
                <w:szCs w:val="16"/>
              </w:rPr>
            </w:pPr>
            <w:r w:rsidRPr="009F566E">
              <w:rPr>
                <w:b/>
                <w:noProof/>
                <w:sz w:val="16"/>
              </w:rPr>
              <w:t>RUBRIK </w:t>
            </w:r>
            <w:r w:rsidRPr="002C6368">
              <w:rPr>
                <w:b/>
                <w:noProof/>
                <w:sz w:val="16"/>
              </w:rPr>
              <w:t>7</w:t>
            </w:r>
            <w:r w:rsidRPr="009F566E">
              <w:rPr>
                <w:noProof/>
              </w:rPr>
              <w:t xml:space="preserve"> </w:t>
            </w:r>
            <w:r w:rsidRPr="009F566E">
              <w:rPr>
                <w:noProof/>
              </w:rPr>
              <w:br/>
            </w:r>
            <w:r w:rsidRPr="009F566E">
              <w:rPr>
                <w:b/>
                <w:noProof/>
                <w:sz w:val="16"/>
              </w:rPr>
              <w:t>des Mehrjährigen Finanzrahmens</w:t>
            </w:r>
          </w:p>
        </w:tc>
        <w:tc>
          <w:tcPr>
            <w:tcW w:w="1080" w:type="dxa"/>
            <w:vAlign w:val="center"/>
          </w:tcPr>
          <w:p w14:paraId="10A2366F"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3A0F05EF"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6D6371D8"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1B136B60"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530AF7BF"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66CF4B3A"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3985DF0A" w14:textId="77777777" w:rsidR="00C87E1E" w:rsidRPr="009F566E" w:rsidRDefault="00C87E1E" w:rsidP="00C87E1E">
            <w:pPr>
              <w:spacing w:before="60" w:after="60" w:line="200" w:lineRule="exact"/>
              <w:jc w:val="right"/>
              <w:rPr>
                <w:b/>
                <w:noProof/>
                <w:sz w:val="16"/>
                <w:szCs w:val="16"/>
                <w:lang w:eastAsia="en-GB"/>
              </w:rPr>
            </w:pPr>
          </w:p>
        </w:tc>
        <w:tc>
          <w:tcPr>
            <w:tcW w:w="1080" w:type="dxa"/>
            <w:vAlign w:val="center"/>
          </w:tcPr>
          <w:p w14:paraId="5FCA5CD8" w14:textId="77777777" w:rsidR="00C87E1E" w:rsidRPr="009F566E" w:rsidRDefault="00C87E1E" w:rsidP="00C87E1E">
            <w:pPr>
              <w:spacing w:before="60" w:after="60" w:line="200" w:lineRule="exact"/>
              <w:jc w:val="right"/>
              <w:rPr>
                <w:b/>
                <w:noProof/>
                <w:sz w:val="16"/>
                <w:szCs w:val="16"/>
                <w:lang w:eastAsia="en-GB"/>
              </w:rPr>
            </w:pPr>
          </w:p>
        </w:tc>
      </w:tr>
      <w:tr w:rsidR="00C87E1E" w:rsidRPr="009F566E" w14:paraId="7DAAD9F7" w14:textId="77777777" w:rsidTr="00C87E1E">
        <w:trPr>
          <w:trHeight w:val="585"/>
        </w:trPr>
        <w:tc>
          <w:tcPr>
            <w:tcW w:w="1980" w:type="dxa"/>
            <w:vAlign w:val="center"/>
          </w:tcPr>
          <w:p w14:paraId="74A38E54" w14:textId="77777777" w:rsidR="00C87E1E" w:rsidRPr="009F566E" w:rsidRDefault="00C87E1E" w:rsidP="00C87E1E">
            <w:pPr>
              <w:spacing w:before="60" w:after="60" w:line="200" w:lineRule="exact"/>
              <w:ind w:left="72"/>
              <w:jc w:val="left"/>
              <w:rPr>
                <w:noProof/>
                <w:sz w:val="16"/>
                <w:szCs w:val="16"/>
              </w:rPr>
            </w:pPr>
            <w:r w:rsidRPr="009F566E">
              <w:rPr>
                <w:noProof/>
                <w:sz w:val="16"/>
              </w:rPr>
              <w:t xml:space="preserve">Personal </w:t>
            </w:r>
          </w:p>
        </w:tc>
        <w:tc>
          <w:tcPr>
            <w:tcW w:w="1080" w:type="dxa"/>
            <w:vAlign w:val="center"/>
          </w:tcPr>
          <w:p w14:paraId="41982321"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04887126"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01696F36"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44DC2B21"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4D6F79E3"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48A3EA28"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535AE190" w14:textId="77777777" w:rsidR="00C87E1E" w:rsidRPr="009F566E" w:rsidRDefault="00C87E1E" w:rsidP="00C87E1E">
            <w:pPr>
              <w:spacing w:before="60" w:after="60" w:line="200" w:lineRule="exact"/>
              <w:jc w:val="right"/>
              <w:rPr>
                <w:b/>
                <w:noProof/>
                <w:sz w:val="16"/>
                <w:szCs w:val="16"/>
                <w:lang w:eastAsia="en-GB"/>
              </w:rPr>
            </w:pPr>
          </w:p>
        </w:tc>
        <w:tc>
          <w:tcPr>
            <w:tcW w:w="1080" w:type="dxa"/>
            <w:vAlign w:val="center"/>
          </w:tcPr>
          <w:p w14:paraId="608C33C4" w14:textId="77777777" w:rsidR="00C87E1E" w:rsidRPr="009F566E" w:rsidRDefault="00C87E1E" w:rsidP="00C87E1E">
            <w:pPr>
              <w:spacing w:before="60" w:after="60" w:line="200" w:lineRule="exact"/>
              <w:jc w:val="right"/>
              <w:rPr>
                <w:b/>
                <w:noProof/>
                <w:sz w:val="16"/>
                <w:szCs w:val="16"/>
                <w:lang w:eastAsia="en-GB"/>
              </w:rPr>
            </w:pPr>
          </w:p>
        </w:tc>
      </w:tr>
      <w:tr w:rsidR="00C87E1E" w:rsidRPr="009F566E" w14:paraId="29EBE6C0" w14:textId="77777777" w:rsidTr="00C87E1E">
        <w:trPr>
          <w:trHeight w:val="585"/>
        </w:trPr>
        <w:tc>
          <w:tcPr>
            <w:tcW w:w="1980" w:type="dxa"/>
            <w:vAlign w:val="center"/>
          </w:tcPr>
          <w:p w14:paraId="1E78CAEC" w14:textId="77777777" w:rsidR="00C87E1E" w:rsidRPr="009F566E" w:rsidRDefault="00C87E1E" w:rsidP="00C87E1E">
            <w:pPr>
              <w:spacing w:before="60" w:after="60" w:line="200" w:lineRule="exact"/>
              <w:ind w:left="72"/>
              <w:jc w:val="left"/>
              <w:rPr>
                <w:noProof/>
                <w:sz w:val="16"/>
                <w:szCs w:val="16"/>
              </w:rPr>
            </w:pPr>
            <w:r w:rsidRPr="009F566E">
              <w:rPr>
                <w:noProof/>
                <w:sz w:val="16"/>
              </w:rPr>
              <w:t xml:space="preserve">Sonstige Verwaltungsausgaben </w:t>
            </w:r>
          </w:p>
        </w:tc>
        <w:tc>
          <w:tcPr>
            <w:tcW w:w="1080" w:type="dxa"/>
            <w:vAlign w:val="center"/>
          </w:tcPr>
          <w:p w14:paraId="1B0D92AF"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72C0F9F8"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70429A59"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462840E4"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114E4EB6"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042E5478"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006B237D" w14:textId="77777777" w:rsidR="00C87E1E" w:rsidRPr="009F566E" w:rsidRDefault="00C87E1E" w:rsidP="00C87E1E">
            <w:pPr>
              <w:spacing w:before="60" w:after="60" w:line="200" w:lineRule="exact"/>
              <w:jc w:val="right"/>
              <w:rPr>
                <w:b/>
                <w:noProof/>
                <w:sz w:val="16"/>
                <w:szCs w:val="16"/>
                <w:lang w:eastAsia="en-GB"/>
              </w:rPr>
            </w:pPr>
          </w:p>
        </w:tc>
        <w:tc>
          <w:tcPr>
            <w:tcW w:w="1080" w:type="dxa"/>
            <w:vAlign w:val="center"/>
          </w:tcPr>
          <w:p w14:paraId="293D261D" w14:textId="77777777" w:rsidR="00C87E1E" w:rsidRPr="009F566E" w:rsidRDefault="00C87E1E" w:rsidP="00C87E1E">
            <w:pPr>
              <w:spacing w:before="60" w:after="60" w:line="200" w:lineRule="exact"/>
              <w:jc w:val="right"/>
              <w:rPr>
                <w:b/>
                <w:noProof/>
                <w:sz w:val="16"/>
                <w:szCs w:val="16"/>
                <w:lang w:eastAsia="en-GB"/>
              </w:rPr>
            </w:pPr>
          </w:p>
        </w:tc>
      </w:tr>
      <w:tr w:rsidR="00C87E1E" w:rsidRPr="009F566E" w14:paraId="33049B8D" w14:textId="77777777" w:rsidTr="00C87E1E">
        <w:trPr>
          <w:trHeight w:val="585"/>
        </w:trPr>
        <w:tc>
          <w:tcPr>
            <w:tcW w:w="1980" w:type="dxa"/>
            <w:shd w:val="clear" w:color="auto" w:fill="CCCCCC"/>
            <w:vAlign w:val="center"/>
          </w:tcPr>
          <w:p w14:paraId="5A002C47" w14:textId="77777777" w:rsidR="00C87E1E" w:rsidRPr="009F566E" w:rsidRDefault="00C87E1E" w:rsidP="00C87E1E">
            <w:pPr>
              <w:spacing w:before="60" w:after="60" w:line="200" w:lineRule="exact"/>
              <w:jc w:val="center"/>
              <w:rPr>
                <w:b/>
                <w:noProof/>
                <w:sz w:val="16"/>
                <w:szCs w:val="16"/>
              </w:rPr>
            </w:pPr>
            <w:r w:rsidRPr="009F566E">
              <w:rPr>
                <w:b/>
                <w:noProof/>
                <w:sz w:val="16"/>
              </w:rPr>
              <w:t>Zwischensumme RUBRIK </w:t>
            </w:r>
            <w:r w:rsidRPr="002C6368">
              <w:rPr>
                <w:b/>
                <w:noProof/>
                <w:sz w:val="16"/>
              </w:rPr>
              <w:t>7</w:t>
            </w:r>
            <w:r w:rsidRPr="009F566E">
              <w:rPr>
                <w:noProof/>
              </w:rPr>
              <w:t xml:space="preserve"> </w:t>
            </w:r>
            <w:r w:rsidRPr="009F566E">
              <w:rPr>
                <w:noProof/>
              </w:rPr>
              <w:br/>
            </w:r>
            <w:r w:rsidRPr="009F566E">
              <w:rPr>
                <w:b/>
                <w:noProof/>
                <w:sz w:val="16"/>
              </w:rPr>
              <w:t xml:space="preserve">des Mehrjährigen Finanzrahmens </w:t>
            </w:r>
          </w:p>
        </w:tc>
        <w:tc>
          <w:tcPr>
            <w:tcW w:w="1080" w:type="dxa"/>
            <w:vAlign w:val="center"/>
          </w:tcPr>
          <w:p w14:paraId="53AF7DCA"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0E799663"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698B0BEF"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1655C3F7"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734BA309"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37BA74F9"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07265318" w14:textId="77777777" w:rsidR="00C87E1E" w:rsidRPr="009F566E" w:rsidRDefault="00C87E1E" w:rsidP="00C87E1E">
            <w:pPr>
              <w:spacing w:before="60" w:after="60" w:line="200" w:lineRule="exact"/>
              <w:jc w:val="right"/>
              <w:rPr>
                <w:b/>
                <w:noProof/>
                <w:sz w:val="16"/>
                <w:szCs w:val="16"/>
                <w:lang w:eastAsia="en-GB"/>
              </w:rPr>
            </w:pPr>
          </w:p>
        </w:tc>
        <w:tc>
          <w:tcPr>
            <w:tcW w:w="1080" w:type="dxa"/>
            <w:vAlign w:val="center"/>
          </w:tcPr>
          <w:p w14:paraId="644E8301" w14:textId="77777777" w:rsidR="00C87E1E" w:rsidRPr="009F566E" w:rsidRDefault="00C87E1E" w:rsidP="00C87E1E">
            <w:pPr>
              <w:spacing w:before="60" w:after="60" w:line="200" w:lineRule="exact"/>
              <w:jc w:val="right"/>
              <w:rPr>
                <w:b/>
                <w:noProof/>
                <w:sz w:val="16"/>
                <w:szCs w:val="16"/>
                <w:lang w:eastAsia="en-GB"/>
              </w:rPr>
            </w:pPr>
          </w:p>
        </w:tc>
      </w:tr>
    </w:tbl>
    <w:p w14:paraId="52D03010" w14:textId="77777777" w:rsidR="00C87E1E" w:rsidRPr="009F566E" w:rsidRDefault="00C87E1E" w:rsidP="00C87E1E">
      <w:pPr>
        <w:spacing w:line="200" w:lineRule="exact"/>
        <w:rPr>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9F566E" w14:paraId="2C5DBB55" w14:textId="77777777" w:rsidTr="00C87E1E">
        <w:trPr>
          <w:trHeight w:val="585"/>
        </w:trPr>
        <w:tc>
          <w:tcPr>
            <w:tcW w:w="1980" w:type="dxa"/>
            <w:shd w:val="clear" w:color="auto" w:fill="CCCCCC"/>
            <w:vAlign w:val="center"/>
          </w:tcPr>
          <w:p w14:paraId="17D0A65D" w14:textId="77777777" w:rsidR="00C87E1E" w:rsidRPr="009F566E" w:rsidRDefault="00C87E1E" w:rsidP="00C87E1E">
            <w:pPr>
              <w:spacing w:before="60" w:after="60" w:line="200" w:lineRule="exact"/>
              <w:jc w:val="center"/>
              <w:rPr>
                <w:noProof/>
                <w:sz w:val="16"/>
                <w:szCs w:val="16"/>
              </w:rPr>
            </w:pPr>
            <w:r w:rsidRPr="009F566E">
              <w:rPr>
                <w:b/>
                <w:noProof/>
                <w:sz w:val="16"/>
              </w:rPr>
              <w:t>Außerhalb der RUBRIK </w:t>
            </w:r>
            <w:r w:rsidRPr="002C6368">
              <w:rPr>
                <w:b/>
                <w:noProof/>
                <w:sz w:val="16"/>
              </w:rPr>
              <w:t>7</w:t>
            </w:r>
            <w:r w:rsidRPr="009F566E">
              <w:rPr>
                <w:rStyle w:val="FootnoteReference"/>
                <w:noProof/>
              </w:rPr>
              <w:footnoteReference w:id="29"/>
            </w:r>
            <w:r w:rsidRPr="009F566E">
              <w:rPr>
                <w:noProof/>
              </w:rPr>
              <w:t xml:space="preserve"> </w:t>
            </w:r>
            <w:r w:rsidRPr="009F566E">
              <w:rPr>
                <w:noProof/>
              </w:rPr>
              <w:br/>
            </w:r>
            <w:r w:rsidRPr="009F566E">
              <w:rPr>
                <w:b/>
                <w:noProof/>
                <w:sz w:val="16"/>
              </w:rPr>
              <w:t xml:space="preserve">des Mehrjährigen Finanzrahmens </w:t>
            </w:r>
          </w:p>
          <w:p w14:paraId="3A8AFB60" w14:textId="77777777" w:rsidR="00C87E1E" w:rsidRPr="009F566E" w:rsidRDefault="00C87E1E" w:rsidP="00C87E1E">
            <w:pPr>
              <w:spacing w:before="0" w:after="0" w:line="200" w:lineRule="exact"/>
              <w:jc w:val="center"/>
              <w:rPr>
                <w:b/>
                <w:noProof/>
                <w:sz w:val="16"/>
                <w:szCs w:val="16"/>
                <w:lang w:eastAsia="en-GB"/>
              </w:rPr>
            </w:pPr>
          </w:p>
        </w:tc>
        <w:tc>
          <w:tcPr>
            <w:tcW w:w="1080" w:type="dxa"/>
            <w:vAlign w:val="center"/>
          </w:tcPr>
          <w:p w14:paraId="00DA778F"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582948B8"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42D79549"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6386D9AC"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4759989D"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5340A5E9"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7229C48B" w14:textId="77777777" w:rsidR="00C87E1E" w:rsidRPr="009F566E" w:rsidRDefault="00C87E1E" w:rsidP="00C87E1E">
            <w:pPr>
              <w:spacing w:before="60" w:after="60" w:line="200" w:lineRule="exact"/>
              <w:jc w:val="right"/>
              <w:rPr>
                <w:b/>
                <w:noProof/>
                <w:sz w:val="16"/>
                <w:szCs w:val="16"/>
                <w:lang w:eastAsia="en-GB"/>
              </w:rPr>
            </w:pPr>
          </w:p>
        </w:tc>
        <w:tc>
          <w:tcPr>
            <w:tcW w:w="1080" w:type="dxa"/>
            <w:vAlign w:val="center"/>
          </w:tcPr>
          <w:p w14:paraId="4765EDB9" w14:textId="77777777" w:rsidR="00C87E1E" w:rsidRPr="009F566E" w:rsidRDefault="00C87E1E" w:rsidP="00C87E1E">
            <w:pPr>
              <w:spacing w:before="60" w:after="60" w:line="200" w:lineRule="exact"/>
              <w:jc w:val="right"/>
              <w:rPr>
                <w:b/>
                <w:noProof/>
                <w:sz w:val="16"/>
                <w:szCs w:val="16"/>
                <w:lang w:eastAsia="en-GB"/>
              </w:rPr>
            </w:pPr>
          </w:p>
        </w:tc>
      </w:tr>
      <w:tr w:rsidR="00C87E1E" w:rsidRPr="009F566E" w14:paraId="7EAADBBF" w14:textId="77777777" w:rsidTr="00C87E1E">
        <w:trPr>
          <w:trHeight w:val="585"/>
        </w:trPr>
        <w:tc>
          <w:tcPr>
            <w:tcW w:w="1980" w:type="dxa"/>
            <w:vAlign w:val="center"/>
          </w:tcPr>
          <w:p w14:paraId="22E87FA7" w14:textId="77777777" w:rsidR="00C87E1E" w:rsidRPr="009F566E" w:rsidRDefault="00C87E1E" w:rsidP="00C87E1E">
            <w:pPr>
              <w:spacing w:before="60" w:after="60" w:line="200" w:lineRule="exact"/>
              <w:ind w:left="72"/>
              <w:jc w:val="left"/>
              <w:rPr>
                <w:noProof/>
                <w:sz w:val="16"/>
                <w:szCs w:val="16"/>
              </w:rPr>
            </w:pPr>
            <w:r w:rsidRPr="009F566E">
              <w:rPr>
                <w:noProof/>
                <w:sz w:val="16"/>
              </w:rPr>
              <w:t xml:space="preserve">Personal </w:t>
            </w:r>
          </w:p>
        </w:tc>
        <w:tc>
          <w:tcPr>
            <w:tcW w:w="1080" w:type="dxa"/>
            <w:vAlign w:val="center"/>
          </w:tcPr>
          <w:p w14:paraId="4C75DFFE"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611EE132"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78B237C4"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68125D07"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2387B514"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283A8A72"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68DE0A82" w14:textId="77777777" w:rsidR="00C87E1E" w:rsidRPr="009F566E" w:rsidRDefault="00C87E1E" w:rsidP="00C87E1E">
            <w:pPr>
              <w:spacing w:before="60" w:after="60" w:line="200" w:lineRule="exact"/>
              <w:jc w:val="right"/>
              <w:rPr>
                <w:b/>
                <w:noProof/>
                <w:sz w:val="16"/>
                <w:szCs w:val="16"/>
                <w:lang w:eastAsia="en-GB"/>
              </w:rPr>
            </w:pPr>
          </w:p>
        </w:tc>
        <w:tc>
          <w:tcPr>
            <w:tcW w:w="1080" w:type="dxa"/>
            <w:vAlign w:val="center"/>
          </w:tcPr>
          <w:p w14:paraId="294607ED" w14:textId="77777777" w:rsidR="00C87E1E" w:rsidRPr="009F566E" w:rsidRDefault="00C87E1E" w:rsidP="00C87E1E">
            <w:pPr>
              <w:spacing w:before="60" w:after="60" w:line="200" w:lineRule="exact"/>
              <w:jc w:val="right"/>
              <w:rPr>
                <w:b/>
                <w:noProof/>
                <w:sz w:val="16"/>
                <w:szCs w:val="16"/>
                <w:lang w:eastAsia="en-GB"/>
              </w:rPr>
            </w:pPr>
          </w:p>
        </w:tc>
      </w:tr>
      <w:tr w:rsidR="00C87E1E" w:rsidRPr="009F566E" w14:paraId="72D4ECB6" w14:textId="77777777" w:rsidTr="00C87E1E">
        <w:trPr>
          <w:trHeight w:val="585"/>
        </w:trPr>
        <w:tc>
          <w:tcPr>
            <w:tcW w:w="1980" w:type="dxa"/>
            <w:vAlign w:val="center"/>
          </w:tcPr>
          <w:p w14:paraId="7BBD279E" w14:textId="77777777" w:rsidR="00C87E1E" w:rsidRPr="009F566E" w:rsidRDefault="00C87E1E" w:rsidP="00C87E1E">
            <w:pPr>
              <w:spacing w:before="60" w:after="60" w:line="200" w:lineRule="exact"/>
              <w:ind w:left="72"/>
              <w:jc w:val="left"/>
              <w:rPr>
                <w:noProof/>
                <w:sz w:val="16"/>
                <w:szCs w:val="16"/>
              </w:rPr>
            </w:pPr>
            <w:r w:rsidRPr="009F566E">
              <w:rPr>
                <w:noProof/>
                <w:sz w:val="16"/>
              </w:rPr>
              <w:t>Sonstige</w:t>
            </w:r>
            <w:r w:rsidRPr="009F566E">
              <w:rPr>
                <w:noProof/>
              </w:rPr>
              <w:t xml:space="preserve"> </w:t>
            </w:r>
            <w:r w:rsidRPr="009F566E">
              <w:rPr>
                <w:noProof/>
              </w:rPr>
              <w:br/>
            </w:r>
            <w:r w:rsidRPr="009F566E">
              <w:rPr>
                <w:noProof/>
                <w:sz w:val="16"/>
              </w:rPr>
              <w:t>Verwaltungsausgaben</w:t>
            </w:r>
          </w:p>
        </w:tc>
        <w:tc>
          <w:tcPr>
            <w:tcW w:w="1080" w:type="dxa"/>
            <w:vAlign w:val="center"/>
          </w:tcPr>
          <w:p w14:paraId="22A5D4B5"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4EDDE46B"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3190AD58"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1656E5F5"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1EC0AB71"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607DD3CF"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56338A29" w14:textId="77777777" w:rsidR="00C87E1E" w:rsidRPr="009F566E" w:rsidRDefault="00C87E1E" w:rsidP="00C87E1E">
            <w:pPr>
              <w:spacing w:before="60" w:after="60" w:line="200" w:lineRule="exact"/>
              <w:jc w:val="right"/>
              <w:rPr>
                <w:b/>
                <w:noProof/>
                <w:sz w:val="16"/>
                <w:szCs w:val="16"/>
                <w:lang w:eastAsia="en-GB"/>
              </w:rPr>
            </w:pPr>
          </w:p>
        </w:tc>
        <w:tc>
          <w:tcPr>
            <w:tcW w:w="1080" w:type="dxa"/>
            <w:vAlign w:val="center"/>
          </w:tcPr>
          <w:p w14:paraId="12481832" w14:textId="77777777" w:rsidR="00C87E1E" w:rsidRPr="009F566E" w:rsidRDefault="00C87E1E" w:rsidP="00C87E1E">
            <w:pPr>
              <w:spacing w:before="60" w:after="60" w:line="200" w:lineRule="exact"/>
              <w:jc w:val="right"/>
              <w:rPr>
                <w:b/>
                <w:noProof/>
                <w:sz w:val="16"/>
                <w:szCs w:val="16"/>
                <w:lang w:eastAsia="en-GB"/>
              </w:rPr>
            </w:pPr>
          </w:p>
        </w:tc>
      </w:tr>
      <w:tr w:rsidR="00C87E1E" w:rsidRPr="009F566E" w14:paraId="36647698" w14:textId="77777777" w:rsidTr="00C87E1E">
        <w:trPr>
          <w:trHeight w:val="585"/>
        </w:trPr>
        <w:tc>
          <w:tcPr>
            <w:tcW w:w="1980" w:type="dxa"/>
            <w:shd w:val="clear" w:color="auto" w:fill="CCCCCC"/>
            <w:vAlign w:val="center"/>
          </w:tcPr>
          <w:p w14:paraId="6D89E4F2" w14:textId="77777777" w:rsidR="00C87E1E" w:rsidRPr="009F566E" w:rsidRDefault="00C87E1E" w:rsidP="00C87E1E">
            <w:pPr>
              <w:spacing w:before="60" w:after="60" w:line="200" w:lineRule="exact"/>
              <w:jc w:val="center"/>
              <w:rPr>
                <w:b/>
                <w:noProof/>
                <w:sz w:val="16"/>
                <w:szCs w:val="16"/>
              </w:rPr>
            </w:pPr>
            <w:r w:rsidRPr="009F566E">
              <w:rPr>
                <w:b/>
                <w:noProof/>
                <w:sz w:val="16"/>
              </w:rPr>
              <w:t xml:space="preserve">Zwischensumme </w:t>
            </w:r>
            <w:r w:rsidRPr="009F566E">
              <w:rPr>
                <w:b/>
                <w:noProof/>
                <w:sz w:val="16"/>
              </w:rPr>
              <w:br/>
              <w:t>außerhalb der RUBRIK </w:t>
            </w:r>
            <w:r w:rsidRPr="002C6368">
              <w:rPr>
                <w:b/>
                <w:noProof/>
                <w:sz w:val="16"/>
              </w:rPr>
              <w:t>7</w:t>
            </w:r>
            <w:r w:rsidRPr="009F566E">
              <w:rPr>
                <w:noProof/>
              </w:rPr>
              <w:t xml:space="preserve"> </w:t>
            </w:r>
            <w:r w:rsidRPr="009F566E">
              <w:rPr>
                <w:noProof/>
              </w:rPr>
              <w:br/>
            </w:r>
            <w:r w:rsidRPr="009F566E">
              <w:rPr>
                <w:b/>
                <w:noProof/>
                <w:sz w:val="16"/>
              </w:rPr>
              <w:t xml:space="preserve">des Mehrjährigen Finanzrahmens </w:t>
            </w:r>
          </w:p>
        </w:tc>
        <w:tc>
          <w:tcPr>
            <w:tcW w:w="1080" w:type="dxa"/>
            <w:vAlign w:val="center"/>
          </w:tcPr>
          <w:p w14:paraId="5E21083B"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3445A410"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6EB3D17A"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03782318"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32E7073E"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640D9FDA" w14:textId="77777777" w:rsidR="00C87E1E" w:rsidRPr="009F566E" w:rsidRDefault="00C87E1E" w:rsidP="00C87E1E">
            <w:pPr>
              <w:spacing w:before="60" w:after="60" w:line="200" w:lineRule="exact"/>
              <w:jc w:val="right"/>
              <w:rPr>
                <w:noProof/>
                <w:sz w:val="16"/>
                <w:szCs w:val="16"/>
                <w:lang w:eastAsia="en-GB"/>
              </w:rPr>
            </w:pPr>
          </w:p>
        </w:tc>
        <w:tc>
          <w:tcPr>
            <w:tcW w:w="1080" w:type="dxa"/>
            <w:vAlign w:val="center"/>
          </w:tcPr>
          <w:p w14:paraId="79BA4F39" w14:textId="77777777" w:rsidR="00C87E1E" w:rsidRPr="009F566E" w:rsidRDefault="00C87E1E" w:rsidP="00C87E1E">
            <w:pPr>
              <w:spacing w:before="60" w:after="60" w:line="200" w:lineRule="exact"/>
              <w:jc w:val="right"/>
              <w:rPr>
                <w:b/>
                <w:noProof/>
                <w:sz w:val="16"/>
                <w:szCs w:val="16"/>
                <w:lang w:eastAsia="en-GB"/>
              </w:rPr>
            </w:pPr>
          </w:p>
        </w:tc>
        <w:tc>
          <w:tcPr>
            <w:tcW w:w="1080" w:type="dxa"/>
            <w:vAlign w:val="center"/>
          </w:tcPr>
          <w:p w14:paraId="7B7E4686" w14:textId="77777777" w:rsidR="00C87E1E" w:rsidRPr="009F566E" w:rsidRDefault="00C87E1E" w:rsidP="00C87E1E">
            <w:pPr>
              <w:spacing w:before="60" w:after="60" w:line="200" w:lineRule="exact"/>
              <w:jc w:val="right"/>
              <w:rPr>
                <w:b/>
                <w:noProof/>
                <w:sz w:val="16"/>
                <w:szCs w:val="16"/>
                <w:lang w:eastAsia="en-GB"/>
              </w:rPr>
            </w:pPr>
          </w:p>
        </w:tc>
      </w:tr>
    </w:tbl>
    <w:p w14:paraId="47267F0F" w14:textId="77777777" w:rsidR="00C87E1E" w:rsidRPr="009F566E" w:rsidRDefault="00C87E1E" w:rsidP="00C87E1E">
      <w:pPr>
        <w:spacing w:line="200" w:lineRule="exact"/>
        <w:rPr>
          <w:noProof/>
          <w:sz w:val="16"/>
          <w:szCs w:val="16"/>
          <w:lang w:eastAsia="en-GB"/>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9F566E" w14:paraId="3FF384DC" w14:textId="77777777" w:rsidTr="00C87E1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AE5341F" w14:textId="77777777" w:rsidR="00C87E1E" w:rsidRPr="009F566E" w:rsidRDefault="00C87E1E" w:rsidP="00C87E1E">
            <w:pPr>
              <w:spacing w:before="60" w:after="60" w:line="200" w:lineRule="exact"/>
              <w:jc w:val="center"/>
              <w:rPr>
                <w:noProof/>
                <w:sz w:val="16"/>
                <w:szCs w:val="16"/>
              </w:rPr>
            </w:pPr>
            <w:r w:rsidRPr="009F566E">
              <w:rPr>
                <w:b/>
                <w:noProof/>
                <w:sz w:val="16"/>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14:paraId="360D62A7" w14:textId="77777777" w:rsidR="00C87E1E" w:rsidRPr="009F566E"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3A8E6EE5" w14:textId="77777777" w:rsidR="00C87E1E" w:rsidRPr="009F566E"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054112F3" w14:textId="77777777" w:rsidR="00C87E1E" w:rsidRPr="009F566E"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2C8099E5" w14:textId="77777777" w:rsidR="00C87E1E" w:rsidRPr="009F566E"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5C9CA0B6" w14:textId="77777777" w:rsidR="00C87E1E" w:rsidRPr="009F566E"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7FCE3AA2" w14:textId="77777777" w:rsidR="00C87E1E" w:rsidRPr="009F566E"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25AC54DC" w14:textId="77777777" w:rsidR="00C87E1E" w:rsidRPr="009F566E"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12" w:space="0" w:color="auto"/>
            </w:tcBorders>
            <w:vAlign w:val="center"/>
          </w:tcPr>
          <w:p w14:paraId="5F404713" w14:textId="77777777" w:rsidR="00C87E1E" w:rsidRPr="009F566E" w:rsidRDefault="00C87E1E" w:rsidP="00C87E1E">
            <w:pPr>
              <w:spacing w:before="60" w:after="60" w:line="200" w:lineRule="exact"/>
              <w:jc w:val="right"/>
              <w:rPr>
                <w:b/>
                <w:noProof/>
                <w:sz w:val="16"/>
                <w:szCs w:val="16"/>
                <w:lang w:eastAsia="en-GB"/>
              </w:rPr>
            </w:pPr>
          </w:p>
        </w:tc>
      </w:tr>
    </w:tbl>
    <w:p w14:paraId="7C3CC768" w14:textId="77777777" w:rsidR="00C87E1E" w:rsidRPr="009F566E" w:rsidRDefault="00C87E1E" w:rsidP="00C87E1E">
      <w:pPr>
        <w:rPr>
          <w:noProof/>
          <w:sz w:val="18"/>
        </w:rPr>
      </w:pPr>
      <w:r w:rsidRPr="009F566E">
        <w:rPr>
          <w:noProof/>
          <w:sz w:val="18"/>
        </w:rPr>
        <w:t>Der Mittelbedarf für Personal- und sonstige Verwaltungsausgaben wird durch der Verwaltung der Maßnahme zugeordnete Mittel der GD oder GD-interne Personalumschichtung gedeckt. Hinzu kommen etwaige zusätzliche Mittel, die der für die Verwaltung der Maßnahme zuständigen GD nach Maßgabe der verfügbaren Mittel im Rahmen der jährlichen Mittelzuweisung zugeteilt werden.</w:t>
      </w:r>
    </w:p>
    <w:p w14:paraId="42BAD8AB" w14:textId="77777777" w:rsidR="00C87E1E" w:rsidRPr="009F566E" w:rsidRDefault="00C87E1E" w:rsidP="00C87E1E">
      <w:pPr>
        <w:rPr>
          <w:noProof/>
          <w:sz w:val="18"/>
          <w:lang w:eastAsia="en-GB"/>
        </w:rPr>
        <w:sectPr w:rsidR="00C87E1E" w:rsidRPr="009F566E" w:rsidSect="001E1836">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14:paraId="1516E394" w14:textId="77777777" w:rsidR="00C87E1E" w:rsidRPr="009F566E" w:rsidRDefault="00C87E1E" w:rsidP="00FB18F4">
      <w:pPr>
        <w:keepNext/>
        <w:outlineLvl w:val="3"/>
        <w:rPr>
          <w:rFonts w:eastAsiaTheme="majorEastAsia"/>
          <w:iCs/>
          <w:noProof/>
          <w:szCs w:val="24"/>
        </w:rPr>
      </w:pPr>
      <w:r w:rsidRPr="009F566E">
        <w:rPr>
          <w:noProof/>
        </w:rPr>
        <w:t xml:space="preserve">Geschätzter Personalbedarf  </w:t>
      </w:r>
    </w:p>
    <w:p w14:paraId="2A2554DF" w14:textId="77777777" w:rsidR="00C87E1E" w:rsidRPr="009F566E" w:rsidRDefault="00C87E1E" w:rsidP="00C87E1E">
      <w:pPr>
        <w:tabs>
          <w:tab w:val="num" w:pos="1134"/>
        </w:tabs>
        <w:ind w:left="1134" w:hanging="283"/>
        <w:rPr>
          <w:noProof/>
        </w:rPr>
      </w:pPr>
      <w:r w:rsidRPr="009F566E">
        <w:rPr>
          <w:b/>
          <w:noProof/>
        </w:rPr>
        <w:t>X</w:t>
      </w:r>
      <w:r w:rsidRPr="009F566E">
        <w:rPr>
          <w:noProof/>
        </w:rPr>
        <w:tab/>
        <w:t xml:space="preserve">Für den Vorschlag/die Initiative wird kein Personal benötigt. </w:t>
      </w:r>
    </w:p>
    <w:p w14:paraId="7535BA03" w14:textId="77777777" w:rsidR="00C87E1E" w:rsidRPr="009F566E" w:rsidRDefault="00C87E1E" w:rsidP="00C87E1E">
      <w:pPr>
        <w:tabs>
          <w:tab w:val="num" w:pos="1134"/>
        </w:tabs>
        <w:ind w:left="1134" w:hanging="283"/>
        <w:rPr>
          <w:noProof/>
        </w:rPr>
      </w:pPr>
      <w:r w:rsidRPr="009F566E">
        <w:rPr>
          <w:noProof/>
        </w:rPr>
        <w:sym w:font="Wingdings" w:char="F0A8"/>
      </w:r>
      <w:r w:rsidRPr="009F566E">
        <w:rPr>
          <w:noProof/>
        </w:rPr>
        <w:t xml:space="preserve"> Für den Vorschlag/die Initiative wird folgendes Personal benötigt:</w:t>
      </w:r>
    </w:p>
    <w:p w14:paraId="292DFE7A" w14:textId="77777777" w:rsidR="00C87E1E" w:rsidRPr="009F566E" w:rsidRDefault="00C87E1E" w:rsidP="00C87E1E">
      <w:pPr>
        <w:spacing w:after="60"/>
        <w:jc w:val="right"/>
        <w:rPr>
          <w:i/>
          <w:noProof/>
          <w:sz w:val="20"/>
        </w:rPr>
      </w:pPr>
      <w:r w:rsidRPr="009F566E">
        <w:rPr>
          <w:i/>
          <w:noProof/>
          <w:sz w:val="20"/>
        </w:rPr>
        <w:t>Schätzung in Vollzeitäquivalenten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C87E1E" w:rsidRPr="009F566E" w14:paraId="6846498E" w14:textId="77777777" w:rsidTr="00C87E1E">
        <w:trPr>
          <w:gridBefore w:val="1"/>
          <w:wBefore w:w="15" w:type="dxa"/>
          <w:trHeight w:val="289"/>
          <w:jc w:val="center"/>
        </w:trPr>
        <w:tc>
          <w:tcPr>
            <w:tcW w:w="4754" w:type="dxa"/>
            <w:gridSpan w:val="2"/>
            <w:shd w:val="clear" w:color="auto" w:fill="auto"/>
          </w:tcPr>
          <w:p w14:paraId="64884BAF" w14:textId="77777777" w:rsidR="00C87E1E" w:rsidRPr="009F566E" w:rsidRDefault="00C87E1E" w:rsidP="00362810">
            <w:pPr>
              <w:numPr>
                <w:ilvl w:val="0"/>
                <w:numId w:val="10"/>
              </w:numPr>
              <w:tabs>
                <w:tab w:val="clear" w:pos="1134"/>
                <w:tab w:val="num" w:pos="360"/>
              </w:tabs>
              <w:spacing w:before="40" w:after="40"/>
              <w:ind w:left="0" w:firstLine="0"/>
              <w:jc w:val="center"/>
              <w:rPr>
                <w:i/>
                <w:noProof/>
                <w:sz w:val="16"/>
                <w:szCs w:val="16"/>
                <w:lang w:eastAsia="en-GB"/>
              </w:rPr>
            </w:pPr>
          </w:p>
        </w:tc>
        <w:tc>
          <w:tcPr>
            <w:tcW w:w="731" w:type="dxa"/>
            <w:shd w:val="clear" w:color="auto" w:fill="auto"/>
            <w:vAlign w:val="center"/>
          </w:tcPr>
          <w:p w14:paraId="5BCC6FB5" w14:textId="77777777" w:rsidR="00C87E1E" w:rsidRPr="009F566E" w:rsidRDefault="00C87E1E" w:rsidP="00C87E1E">
            <w:pPr>
              <w:spacing w:before="20" w:after="20"/>
              <w:jc w:val="center"/>
              <w:rPr>
                <w:noProof/>
                <w:sz w:val="16"/>
                <w:szCs w:val="16"/>
              </w:rPr>
            </w:pPr>
            <w:r w:rsidRPr="009F566E">
              <w:rPr>
                <w:noProof/>
                <w:sz w:val="16"/>
              </w:rPr>
              <w:t>Jahr</w:t>
            </w:r>
            <w:r w:rsidRPr="009F566E">
              <w:rPr>
                <w:noProof/>
              </w:rPr>
              <w:t xml:space="preserve"> </w:t>
            </w:r>
            <w:r w:rsidRPr="009F566E">
              <w:rPr>
                <w:noProof/>
              </w:rPr>
              <w:br/>
            </w:r>
            <w:r w:rsidRPr="009F566E">
              <w:rPr>
                <w:b/>
                <w:noProof/>
                <w:sz w:val="16"/>
              </w:rPr>
              <w:t>N</w:t>
            </w:r>
          </w:p>
        </w:tc>
        <w:tc>
          <w:tcPr>
            <w:tcW w:w="731" w:type="dxa"/>
            <w:shd w:val="clear" w:color="auto" w:fill="auto"/>
            <w:vAlign w:val="center"/>
          </w:tcPr>
          <w:p w14:paraId="4CE66B9D" w14:textId="77777777" w:rsidR="00C87E1E" w:rsidRPr="009F566E" w:rsidRDefault="00C87E1E" w:rsidP="00C87E1E">
            <w:pPr>
              <w:spacing w:before="20" w:after="20"/>
              <w:jc w:val="center"/>
              <w:rPr>
                <w:noProof/>
                <w:sz w:val="16"/>
                <w:szCs w:val="16"/>
              </w:rPr>
            </w:pPr>
            <w:r w:rsidRPr="009F566E">
              <w:rPr>
                <w:noProof/>
                <w:sz w:val="16"/>
              </w:rPr>
              <w:t>Jahr</w:t>
            </w:r>
            <w:r w:rsidRPr="009F566E">
              <w:rPr>
                <w:noProof/>
              </w:rPr>
              <w:t xml:space="preserve"> </w:t>
            </w:r>
            <w:r w:rsidRPr="009F566E">
              <w:rPr>
                <w:noProof/>
              </w:rPr>
              <w:br/>
            </w:r>
            <w:r w:rsidRPr="009F566E">
              <w:rPr>
                <w:b/>
                <w:noProof/>
                <w:sz w:val="16"/>
              </w:rPr>
              <w:t>N+</w:t>
            </w:r>
            <w:r w:rsidRPr="002C6368">
              <w:rPr>
                <w:b/>
                <w:noProof/>
                <w:sz w:val="16"/>
              </w:rPr>
              <w:t>1</w:t>
            </w:r>
          </w:p>
        </w:tc>
        <w:tc>
          <w:tcPr>
            <w:tcW w:w="731" w:type="dxa"/>
            <w:shd w:val="clear" w:color="auto" w:fill="auto"/>
            <w:vAlign w:val="center"/>
          </w:tcPr>
          <w:p w14:paraId="3EBB3F5A" w14:textId="77777777" w:rsidR="00C87E1E" w:rsidRPr="009F566E" w:rsidRDefault="00C87E1E" w:rsidP="00C87E1E">
            <w:pPr>
              <w:spacing w:before="20" w:after="20"/>
              <w:jc w:val="center"/>
              <w:rPr>
                <w:noProof/>
                <w:sz w:val="16"/>
                <w:szCs w:val="16"/>
              </w:rPr>
            </w:pPr>
            <w:r w:rsidRPr="009F566E">
              <w:rPr>
                <w:noProof/>
                <w:sz w:val="16"/>
              </w:rPr>
              <w:t xml:space="preserve">Jahr </w:t>
            </w:r>
            <w:r w:rsidRPr="009F566E">
              <w:rPr>
                <w:b/>
                <w:noProof/>
                <w:sz w:val="16"/>
              </w:rPr>
              <w:t>N+</w:t>
            </w:r>
            <w:r w:rsidRPr="002C6368">
              <w:rPr>
                <w:b/>
                <w:noProof/>
                <w:sz w:val="16"/>
              </w:rPr>
              <w:t>2</w:t>
            </w:r>
          </w:p>
        </w:tc>
        <w:tc>
          <w:tcPr>
            <w:tcW w:w="731" w:type="dxa"/>
            <w:shd w:val="clear" w:color="auto" w:fill="auto"/>
            <w:vAlign w:val="center"/>
          </w:tcPr>
          <w:p w14:paraId="307A26F4" w14:textId="77777777" w:rsidR="00C87E1E" w:rsidRPr="009F566E" w:rsidRDefault="00C87E1E" w:rsidP="00C87E1E">
            <w:pPr>
              <w:spacing w:before="20" w:after="20"/>
              <w:jc w:val="center"/>
              <w:rPr>
                <w:noProof/>
                <w:sz w:val="16"/>
                <w:szCs w:val="16"/>
              </w:rPr>
            </w:pPr>
            <w:r w:rsidRPr="009F566E">
              <w:rPr>
                <w:noProof/>
                <w:sz w:val="16"/>
              </w:rPr>
              <w:t xml:space="preserve">Jahr </w:t>
            </w:r>
            <w:r w:rsidRPr="009F566E">
              <w:rPr>
                <w:b/>
                <w:noProof/>
                <w:sz w:val="16"/>
              </w:rPr>
              <w:t>N+</w:t>
            </w:r>
            <w:r w:rsidRPr="002C6368">
              <w:rPr>
                <w:b/>
                <w:noProof/>
                <w:sz w:val="16"/>
              </w:rPr>
              <w:t>3</w:t>
            </w:r>
          </w:p>
        </w:tc>
        <w:tc>
          <w:tcPr>
            <w:tcW w:w="2193" w:type="dxa"/>
            <w:gridSpan w:val="3"/>
            <w:shd w:val="clear" w:color="auto" w:fill="auto"/>
            <w:vAlign w:val="center"/>
          </w:tcPr>
          <w:p w14:paraId="59352E83" w14:textId="77777777" w:rsidR="00C87E1E" w:rsidRPr="009F566E" w:rsidRDefault="00C87E1E" w:rsidP="00C87E1E">
            <w:pPr>
              <w:jc w:val="center"/>
              <w:rPr>
                <w:b/>
                <w:noProof/>
                <w:sz w:val="16"/>
                <w:szCs w:val="16"/>
              </w:rPr>
            </w:pPr>
            <w:r w:rsidRPr="009F566E">
              <w:rPr>
                <w:noProof/>
                <w:sz w:val="16"/>
              </w:rPr>
              <w:t xml:space="preserve">Bei länger andauernden Auswirkungen (siehe </w:t>
            </w:r>
            <w:r w:rsidRPr="002C6368">
              <w:rPr>
                <w:noProof/>
                <w:sz w:val="16"/>
              </w:rPr>
              <w:t>1</w:t>
            </w:r>
            <w:r w:rsidRPr="009F566E">
              <w:rPr>
                <w:noProof/>
                <w:sz w:val="16"/>
              </w:rPr>
              <w:t>.</w:t>
            </w:r>
            <w:r w:rsidRPr="002C6368">
              <w:rPr>
                <w:noProof/>
                <w:sz w:val="16"/>
              </w:rPr>
              <w:t>6</w:t>
            </w:r>
            <w:r w:rsidRPr="009F566E">
              <w:rPr>
                <w:noProof/>
                <w:sz w:val="16"/>
              </w:rPr>
              <w:t>.) bitte weitere Spalten einfügen.</w:t>
            </w:r>
          </w:p>
        </w:tc>
      </w:tr>
      <w:tr w:rsidR="00C87E1E" w:rsidRPr="009F566E" w14:paraId="4312C309" w14:textId="77777777" w:rsidTr="00C87E1E">
        <w:trPr>
          <w:gridBefore w:val="1"/>
          <w:wBefore w:w="15" w:type="dxa"/>
          <w:trHeight w:val="289"/>
          <w:jc w:val="center"/>
        </w:trPr>
        <w:tc>
          <w:tcPr>
            <w:tcW w:w="9871" w:type="dxa"/>
            <w:gridSpan w:val="9"/>
            <w:shd w:val="clear" w:color="auto" w:fill="auto"/>
          </w:tcPr>
          <w:p w14:paraId="6B80B0FD" w14:textId="77777777" w:rsidR="00C87E1E" w:rsidRPr="009F566E" w:rsidRDefault="00C87E1E" w:rsidP="00C87E1E">
            <w:pPr>
              <w:jc w:val="left"/>
              <w:rPr>
                <w:noProof/>
                <w:sz w:val="16"/>
                <w:szCs w:val="16"/>
              </w:rPr>
            </w:pPr>
            <w:r w:rsidRPr="009F566E">
              <w:rPr>
                <w:b/>
                <w:noProof/>
                <w:sz w:val="16"/>
              </w:rPr>
              <w:sym w:font="Wingdings" w:char="F09F"/>
            </w:r>
            <w:r w:rsidRPr="009F566E">
              <w:rPr>
                <w:b/>
                <w:noProof/>
                <w:sz w:val="16"/>
              </w:rPr>
              <w:t>Im Stellenplan vorgesehene Planstellen (Beamte und Bedienstete auf Zeit)</w:t>
            </w:r>
          </w:p>
        </w:tc>
      </w:tr>
      <w:tr w:rsidR="00C87E1E" w:rsidRPr="009F566E" w14:paraId="7DBDF034" w14:textId="77777777" w:rsidTr="00C87E1E">
        <w:trPr>
          <w:gridBefore w:val="1"/>
          <w:wBefore w:w="15" w:type="dxa"/>
          <w:trHeight w:val="289"/>
          <w:jc w:val="center"/>
        </w:trPr>
        <w:tc>
          <w:tcPr>
            <w:tcW w:w="4754" w:type="dxa"/>
            <w:gridSpan w:val="2"/>
            <w:shd w:val="clear" w:color="auto" w:fill="auto"/>
            <w:vAlign w:val="center"/>
          </w:tcPr>
          <w:p w14:paraId="41D1041D" w14:textId="77777777" w:rsidR="00C87E1E" w:rsidRPr="009F566E" w:rsidRDefault="00C87E1E" w:rsidP="00362810">
            <w:pPr>
              <w:numPr>
                <w:ilvl w:val="0"/>
                <w:numId w:val="10"/>
              </w:numPr>
              <w:tabs>
                <w:tab w:val="clear" w:pos="1134"/>
                <w:tab w:val="num" w:pos="360"/>
              </w:tabs>
              <w:spacing w:beforeLines="20" w:before="48" w:afterLines="20" w:after="48"/>
              <w:ind w:left="134" w:firstLine="0"/>
              <w:jc w:val="left"/>
              <w:rPr>
                <w:b/>
                <w:noProof/>
                <w:sz w:val="16"/>
                <w:szCs w:val="16"/>
              </w:rPr>
            </w:pPr>
            <w:r w:rsidRPr="002C6368">
              <w:rPr>
                <w:noProof/>
                <w:sz w:val="16"/>
              </w:rPr>
              <w:t>20</w:t>
            </w:r>
            <w:r w:rsidRPr="009F566E">
              <w:rPr>
                <w:noProof/>
                <w:sz w:val="16"/>
              </w:rPr>
              <w:t> </w:t>
            </w:r>
            <w:r w:rsidRPr="002C6368">
              <w:rPr>
                <w:noProof/>
                <w:sz w:val="16"/>
              </w:rPr>
              <w:t>01</w:t>
            </w:r>
            <w:r w:rsidRPr="009F566E">
              <w:rPr>
                <w:noProof/>
                <w:sz w:val="16"/>
              </w:rPr>
              <w:t> </w:t>
            </w:r>
            <w:r w:rsidRPr="002C6368">
              <w:rPr>
                <w:noProof/>
                <w:sz w:val="16"/>
              </w:rPr>
              <w:t>02</w:t>
            </w:r>
            <w:r w:rsidRPr="009F566E">
              <w:rPr>
                <w:noProof/>
                <w:sz w:val="16"/>
              </w:rPr>
              <w:t xml:space="preserve"> </w:t>
            </w:r>
            <w:r w:rsidRPr="002C6368">
              <w:rPr>
                <w:noProof/>
                <w:sz w:val="16"/>
              </w:rPr>
              <w:t>01</w:t>
            </w:r>
            <w:r w:rsidRPr="009F566E">
              <w:rPr>
                <w:rFonts w:ascii="Arial Narrow" w:hAnsi="Arial Narrow"/>
                <w:noProof/>
                <w:color w:val="000000"/>
                <w:sz w:val="20"/>
              </w:rPr>
              <w:t xml:space="preserve"> </w:t>
            </w:r>
            <w:r w:rsidRPr="009F566E">
              <w:rPr>
                <w:noProof/>
                <w:sz w:val="16"/>
              </w:rPr>
              <w:t>(am Sitz und in den Vertretungen der Kommission)</w:t>
            </w:r>
          </w:p>
        </w:tc>
        <w:tc>
          <w:tcPr>
            <w:tcW w:w="731" w:type="dxa"/>
            <w:shd w:val="clear" w:color="auto" w:fill="auto"/>
            <w:vAlign w:val="center"/>
          </w:tcPr>
          <w:p w14:paraId="0A97B032"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4F119A"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C633DEE"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64B8609"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A61F86A"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83B8A0"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74E9BDA"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29DFA1D4" w14:textId="77777777" w:rsidTr="00C87E1E">
        <w:trPr>
          <w:gridBefore w:val="1"/>
          <w:wBefore w:w="15" w:type="dxa"/>
          <w:trHeight w:val="289"/>
          <w:jc w:val="center"/>
        </w:trPr>
        <w:tc>
          <w:tcPr>
            <w:tcW w:w="4754" w:type="dxa"/>
            <w:gridSpan w:val="2"/>
            <w:shd w:val="clear" w:color="auto" w:fill="auto"/>
            <w:vAlign w:val="center"/>
          </w:tcPr>
          <w:p w14:paraId="7AB4FE50" w14:textId="77777777" w:rsidR="00C87E1E" w:rsidRPr="009F566E" w:rsidRDefault="00C87E1E" w:rsidP="00362810">
            <w:pPr>
              <w:numPr>
                <w:ilvl w:val="0"/>
                <w:numId w:val="10"/>
              </w:numPr>
              <w:tabs>
                <w:tab w:val="clear" w:pos="1134"/>
                <w:tab w:val="num" w:pos="360"/>
              </w:tabs>
              <w:spacing w:beforeLines="20" w:before="48" w:afterLines="20" w:after="48"/>
              <w:ind w:left="134" w:firstLine="0"/>
              <w:jc w:val="left"/>
              <w:rPr>
                <w:noProof/>
                <w:sz w:val="16"/>
              </w:rPr>
            </w:pPr>
            <w:r w:rsidRPr="002C6368">
              <w:rPr>
                <w:noProof/>
                <w:sz w:val="16"/>
              </w:rPr>
              <w:t>20</w:t>
            </w:r>
            <w:r w:rsidRPr="009F566E">
              <w:rPr>
                <w:noProof/>
                <w:sz w:val="16"/>
              </w:rPr>
              <w:t xml:space="preserve"> </w:t>
            </w:r>
            <w:r w:rsidRPr="002C6368">
              <w:rPr>
                <w:noProof/>
                <w:sz w:val="16"/>
              </w:rPr>
              <w:t>01</w:t>
            </w:r>
            <w:r w:rsidRPr="009F566E">
              <w:rPr>
                <w:noProof/>
                <w:sz w:val="16"/>
              </w:rPr>
              <w:t xml:space="preserve"> </w:t>
            </w:r>
            <w:r w:rsidRPr="002C6368">
              <w:rPr>
                <w:noProof/>
                <w:sz w:val="16"/>
              </w:rPr>
              <w:t>02</w:t>
            </w:r>
            <w:r w:rsidRPr="009F566E">
              <w:rPr>
                <w:noProof/>
                <w:sz w:val="16"/>
              </w:rPr>
              <w:t xml:space="preserve"> </w:t>
            </w:r>
            <w:r w:rsidRPr="002C6368">
              <w:rPr>
                <w:noProof/>
                <w:sz w:val="16"/>
              </w:rPr>
              <w:t>03</w:t>
            </w:r>
            <w:r w:rsidRPr="009F566E">
              <w:rPr>
                <w:noProof/>
                <w:sz w:val="16"/>
              </w:rPr>
              <w:t xml:space="preserve"> (in den Delegationen)</w:t>
            </w:r>
          </w:p>
        </w:tc>
        <w:tc>
          <w:tcPr>
            <w:tcW w:w="731" w:type="dxa"/>
            <w:shd w:val="clear" w:color="auto" w:fill="auto"/>
            <w:vAlign w:val="center"/>
          </w:tcPr>
          <w:p w14:paraId="0C8D33FC"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00FF3D6"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F0A0F71"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FFF2C74"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B594624"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AE4B16B"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76FD4A"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2697A6EA" w14:textId="77777777" w:rsidTr="00C87E1E">
        <w:trPr>
          <w:gridBefore w:val="1"/>
          <w:wBefore w:w="15" w:type="dxa"/>
          <w:trHeight w:val="289"/>
          <w:jc w:val="center"/>
        </w:trPr>
        <w:tc>
          <w:tcPr>
            <w:tcW w:w="4754" w:type="dxa"/>
            <w:gridSpan w:val="2"/>
            <w:shd w:val="clear" w:color="auto" w:fill="auto"/>
            <w:vAlign w:val="center"/>
          </w:tcPr>
          <w:p w14:paraId="0350005D" w14:textId="77777777" w:rsidR="00C87E1E" w:rsidRPr="009F566E" w:rsidRDefault="00C87E1E" w:rsidP="00362810">
            <w:pPr>
              <w:numPr>
                <w:ilvl w:val="0"/>
                <w:numId w:val="10"/>
              </w:numPr>
              <w:tabs>
                <w:tab w:val="clear" w:pos="1134"/>
                <w:tab w:val="num" w:pos="360"/>
              </w:tabs>
              <w:spacing w:beforeLines="20" w:before="48" w:afterLines="20" w:after="48"/>
              <w:ind w:left="134" w:firstLine="0"/>
              <w:jc w:val="left"/>
              <w:rPr>
                <w:noProof/>
                <w:sz w:val="16"/>
                <w:szCs w:val="16"/>
              </w:rPr>
            </w:pPr>
            <w:r w:rsidRPr="002C6368">
              <w:rPr>
                <w:noProof/>
                <w:sz w:val="16"/>
              </w:rPr>
              <w:t>01</w:t>
            </w:r>
            <w:r w:rsidRPr="009F566E">
              <w:rPr>
                <w:noProof/>
                <w:sz w:val="16"/>
              </w:rPr>
              <w:t xml:space="preserve"> </w:t>
            </w:r>
            <w:r w:rsidRPr="002C6368">
              <w:rPr>
                <w:noProof/>
                <w:sz w:val="16"/>
              </w:rPr>
              <w:t>01</w:t>
            </w:r>
            <w:r w:rsidRPr="009F566E">
              <w:rPr>
                <w:noProof/>
                <w:sz w:val="16"/>
              </w:rPr>
              <w:t xml:space="preserve"> </w:t>
            </w:r>
            <w:r w:rsidRPr="002C6368">
              <w:rPr>
                <w:noProof/>
                <w:sz w:val="16"/>
              </w:rPr>
              <w:t>01</w:t>
            </w:r>
            <w:r w:rsidRPr="009F566E">
              <w:rPr>
                <w:noProof/>
                <w:sz w:val="16"/>
              </w:rPr>
              <w:t xml:space="preserve"> </w:t>
            </w:r>
            <w:r w:rsidRPr="002C6368">
              <w:rPr>
                <w:noProof/>
                <w:sz w:val="16"/>
              </w:rPr>
              <w:t>01</w:t>
            </w:r>
            <w:r w:rsidRPr="009F566E">
              <w:rPr>
                <w:rFonts w:ascii="Arial Narrow" w:hAnsi="Arial Narrow"/>
                <w:noProof/>
                <w:color w:val="000000"/>
                <w:sz w:val="20"/>
              </w:rPr>
              <w:t xml:space="preserve"> </w:t>
            </w:r>
            <w:r w:rsidRPr="009F566E">
              <w:rPr>
                <w:noProof/>
                <w:sz w:val="16"/>
              </w:rPr>
              <w:t>(indirekte Forschung)</w:t>
            </w:r>
          </w:p>
        </w:tc>
        <w:tc>
          <w:tcPr>
            <w:tcW w:w="731" w:type="dxa"/>
            <w:shd w:val="clear" w:color="auto" w:fill="auto"/>
            <w:vAlign w:val="center"/>
          </w:tcPr>
          <w:p w14:paraId="2F2A98B3"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030C541"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A0BF7E6"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320F9D"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38DEACE"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675A28C"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9E9BA2A"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21E8E491" w14:textId="77777777" w:rsidTr="00C87E1E">
        <w:trPr>
          <w:gridBefore w:val="1"/>
          <w:wBefore w:w="15" w:type="dxa"/>
          <w:trHeight w:val="289"/>
          <w:jc w:val="center"/>
        </w:trPr>
        <w:tc>
          <w:tcPr>
            <w:tcW w:w="4754" w:type="dxa"/>
            <w:gridSpan w:val="2"/>
            <w:shd w:val="clear" w:color="auto" w:fill="auto"/>
            <w:vAlign w:val="center"/>
          </w:tcPr>
          <w:p w14:paraId="22EB27B1" w14:textId="77777777" w:rsidR="00C87E1E" w:rsidRPr="009F566E" w:rsidRDefault="00C87E1E" w:rsidP="00362810">
            <w:pPr>
              <w:numPr>
                <w:ilvl w:val="0"/>
                <w:numId w:val="10"/>
              </w:numPr>
              <w:tabs>
                <w:tab w:val="clear" w:pos="1134"/>
                <w:tab w:val="num" w:pos="360"/>
              </w:tabs>
              <w:spacing w:beforeLines="20" w:before="48" w:afterLines="20" w:after="48"/>
              <w:ind w:left="134" w:firstLine="0"/>
              <w:jc w:val="left"/>
              <w:rPr>
                <w:noProof/>
                <w:sz w:val="16"/>
                <w:szCs w:val="16"/>
              </w:rPr>
            </w:pPr>
            <w:r w:rsidRPr="009F566E">
              <w:rPr>
                <w:noProof/>
                <w:sz w:val="16"/>
              </w:rPr>
              <w:t xml:space="preserve"> </w:t>
            </w:r>
            <w:r w:rsidRPr="002C6368">
              <w:rPr>
                <w:noProof/>
                <w:sz w:val="16"/>
              </w:rPr>
              <w:t>01</w:t>
            </w:r>
            <w:r w:rsidRPr="009F566E">
              <w:rPr>
                <w:noProof/>
                <w:sz w:val="16"/>
              </w:rPr>
              <w:t xml:space="preserve"> </w:t>
            </w:r>
            <w:r w:rsidRPr="002C6368">
              <w:rPr>
                <w:noProof/>
                <w:sz w:val="16"/>
              </w:rPr>
              <w:t>01</w:t>
            </w:r>
            <w:r w:rsidRPr="009F566E">
              <w:rPr>
                <w:noProof/>
                <w:sz w:val="16"/>
              </w:rPr>
              <w:t xml:space="preserve"> </w:t>
            </w:r>
            <w:r w:rsidRPr="002C6368">
              <w:rPr>
                <w:noProof/>
                <w:sz w:val="16"/>
              </w:rPr>
              <w:t>01</w:t>
            </w:r>
            <w:r w:rsidRPr="009F566E">
              <w:rPr>
                <w:noProof/>
                <w:sz w:val="16"/>
              </w:rPr>
              <w:t xml:space="preserve"> </w:t>
            </w:r>
            <w:r w:rsidRPr="002C6368">
              <w:rPr>
                <w:noProof/>
                <w:sz w:val="16"/>
              </w:rPr>
              <w:t>11</w:t>
            </w:r>
            <w:r w:rsidRPr="009F566E">
              <w:rPr>
                <w:noProof/>
                <w:sz w:val="16"/>
              </w:rPr>
              <w:t xml:space="preserve"> (direkte Forschung)</w:t>
            </w:r>
          </w:p>
        </w:tc>
        <w:tc>
          <w:tcPr>
            <w:tcW w:w="731" w:type="dxa"/>
            <w:shd w:val="clear" w:color="auto" w:fill="auto"/>
            <w:vAlign w:val="center"/>
          </w:tcPr>
          <w:p w14:paraId="325E6C1F"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B66AB4A"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CC62167"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7FC5F6F"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7E5F831"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C6F6BF4"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98D6F04"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69744DC4" w14:textId="77777777" w:rsidTr="00C87E1E">
        <w:trPr>
          <w:gridBefore w:val="1"/>
          <w:wBefore w:w="15" w:type="dxa"/>
          <w:trHeight w:val="289"/>
          <w:jc w:val="center"/>
        </w:trPr>
        <w:tc>
          <w:tcPr>
            <w:tcW w:w="4754" w:type="dxa"/>
            <w:gridSpan w:val="2"/>
            <w:shd w:val="clear" w:color="auto" w:fill="auto"/>
            <w:vAlign w:val="center"/>
          </w:tcPr>
          <w:p w14:paraId="7E9548AB" w14:textId="77777777" w:rsidR="00C87E1E" w:rsidRPr="009F566E" w:rsidRDefault="00C87E1E" w:rsidP="00362810">
            <w:pPr>
              <w:numPr>
                <w:ilvl w:val="0"/>
                <w:numId w:val="10"/>
              </w:numPr>
              <w:tabs>
                <w:tab w:val="clear" w:pos="1134"/>
                <w:tab w:val="num" w:pos="360"/>
              </w:tabs>
              <w:spacing w:beforeLines="20" w:before="48" w:afterLines="20" w:after="48"/>
              <w:ind w:left="134" w:firstLine="0"/>
              <w:jc w:val="left"/>
              <w:rPr>
                <w:noProof/>
                <w:sz w:val="16"/>
              </w:rPr>
            </w:pPr>
            <w:r w:rsidRPr="009F566E">
              <w:rPr>
                <w:noProof/>
                <w:sz w:val="16"/>
              </w:rPr>
              <w:t>Sonstige Haushaltslinien (bitte angeben)</w:t>
            </w:r>
          </w:p>
        </w:tc>
        <w:tc>
          <w:tcPr>
            <w:tcW w:w="731" w:type="dxa"/>
            <w:shd w:val="clear" w:color="auto" w:fill="auto"/>
            <w:vAlign w:val="center"/>
          </w:tcPr>
          <w:p w14:paraId="4011B897"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E34510"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3DD1FDF"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51C9C89"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5ADFB2E"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E89CB29"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743A742"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60FC767B" w14:textId="77777777" w:rsidTr="00C87E1E">
        <w:trPr>
          <w:trHeight w:val="248"/>
          <w:jc w:val="center"/>
        </w:trPr>
        <w:tc>
          <w:tcPr>
            <w:tcW w:w="9886" w:type="dxa"/>
            <w:gridSpan w:val="10"/>
            <w:shd w:val="clear" w:color="auto" w:fill="auto"/>
            <w:vAlign w:val="center"/>
          </w:tcPr>
          <w:p w14:paraId="2DD83A49" w14:textId="77777777" w:rsidR="00C87E1E" w:rsidRPr="009F566E" w:rsidRDefault="00C87E1E" w:rsidP="00362810">
            <w:pPr>
              <w:numPr>
                <w:ilvl w:val="0"/>
                <w:numId w:val="10"/>
              </w:numPr>
              <w:tabs>
                <w:tab w:val="clear" w:pos="1134"/>
                <w:tab w:val="num" w:pos="360"/>
              </w:tabs>
              <w:spacing w:before="60" w:after="60"/>
              <w:ind w:left="0" w:firstLine="0"/>
              <w:jc w:val="left"/>
              <w:rPr>
                <w:b/>
                <w:noProof/>
                <w:sz w:val="16"/>
                <w:szCs w:val="16"/>
              </w:rPr>
            </w:pPr>
            <w:r w:rsidRPr="009F566E">
              <w:rPr>
                <w:b/>
                <w:noProof/>
                <w:sz w:val="16"/>
              </w:rPr>
              <w:sym w:font="Wingdings" w:char="F09F"/>
            </w:r>
            <w:r w:rsidRPr="009F566E">
              <w:rPr>
                <w:b/>
                <w:noProof/>
                <w:sz w:val="16"/>
              </w:rPr>
              <w:t>Externes Personal (in Vollzeitäquivalenten - VZÄ)</w:t>
            </w:r>
            <w:r w:rsidRPr="009F566E">
              <w:rPr>
                <w:rStyle w:val="FootnoteReference"/>
                <w:noProof/>
              </w:rPr>
              <w:footnoteReference w:id="30"/>
            </w:r>
          </w:p>
          <w:p w14:paraId="5B40D371" w14:textId="77777777" w:rsidR="00C87E1E" w:rsidRPr="009F566E" w:rsidRDefault="00C87E1E" w:rsidP="00362810">
            <w:pPr>
              <w:numPr>
                <w:ilvl w:val="0"/>
                <w:numId w:val="10"/>
              </w:numPr>
              <w:tabs>
                <w:tab w:val="clear" w:pos="1134"/>
                <w:tab w:val="num" w:pos="360"/>
              </w:tabs>
              <w:spacing w:before="0" w:after="0"/>
              <w:ind w:left="0" w:firstLine="0"/>
              <w:jc w:val="left"/>
              <w:rPr>
                <w:noProof/>
                <w:sz w:val="16"/>
                <w:szCs w:val="16"/>
                <w:lang w:eastAsia="en-GB"/>
              </w:rPr>
            </w:pPr>
          </w:p>
        </w:tc>
      </w:tr>
      <w:tr w:rsidR="00C87E1E" w:rsidRPr="009F566E" w14:paraId="4717C869" w14:textId="77777777" w:rsidTr="00C87E1E">
        <w:trPr>
          <w:gridBefore w:val="1"/>
          <w:wBefore w:w="15" w:type="dxa"/>
          <w:trHeight w:val="289"/>
          <w:jc w:val="center"/>
        </w:trPr>
        <w:tc>
          <w:tcPr>
            <w:tcW w:w="4754" w:type="dxa"/>
            <w:gridSpan w:val="2"/>
            <w:shd w:val="clear" w:color="auto" w:fill="auto"/>
            <w:vAlign w:val="center"/>
          </w:tcPr>
          <w:p w14:paraId="505A441E"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2C6368">
              <w:rPr>
                <w:noProof/>
                <w:sz w:val="16"/>
              </w:rPr>
              <w:t>20</w:t>
            </w:r>
            <w:r w:rsidRPr="009F566E">
              <w:rPr>
                <w:noProof/>
                <w:sz w:val="16"/>
              </w:rPr>
              <w:t xml:space="preserve"> </w:t>
            </w:r>
            <w:r w:rsidRPr="002C6368">
              <w:rPr>
                <w:noProof/>
                <w:sz w:val="16"/>
              </w:rPr>
              <w:t>02</w:t>
            </w:r>
            <w:r w:rsidRPr="009F566E">
              <w:rPr>
                <w:noProof/>
                <w:sz w:val="16"/>
              </w:rPr>
              <w:t xml:space="preserve"> </w:t>
            </w:r>
            <w:r w:rsidRPr="002C6368">
              <w:rPr>
                <w:noProof/>
                <w:sz w:val="16"/>
              </w:rPr>
              <w:t>01</w:t>
            </w:r>
            <w:r w:rsidRPr="009F566E">
              <w:rPr>
                <w:rFonts w:ascii="Arial Narrow" w:hAnsi="Arial Narrow"/>
                <w:noProof/>
                <w:color w:val="000000"/>
                <w:sz w:val="20"/>
              </w:rPr>
              <w:t xml:space="preserve"> </w:t>
            </w:r>
            <w:r w:rsidRPr="009F566E">
              <w:rPr>
                <w:noProof/>
                <w:sz w:val="16"/>
              </w:rPr>
              <w:t>(VB, ANS und LAK der Globaldotation)</w:t>
            </w:r>
          </w:p>
        </w:tc>
        <w:tc>
          <w:tcPr>
            <w:tcW w:w="731" w:type="dxa"/>
            <w:shd w:val="clear" w:color="auto" w:fill="auto"/>
            <w:vAlign w:val="center"/>
          </w:tcPr>
          <w:p w14:paraId="31F42145"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DAD1CE5"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53A6C4F"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D59FAEC"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FFC230C"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6D9721A"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EFB3B1E"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3415C48D" w14:textId="77777777" w:rsidTr="00C87E1E">
        <w:trPr>
          <w:gridBefore w:val="1"/>
          <w:wBefore w:w="15" w:type="dxa"/>
          <w:trHeight w:val="289"/>
          <w:jc w:val="center"/>
        </w:trPr>
        <w:tc>
          <w:tcPr>
            <w:tcW w:w="4754" w:type="dxa"/>
            <w:gridSpan w:val="2"/>
            <w:shd w:val="clear" w:color="auto" w:fill="auto"/>
            <w:vAlign w:val="center"/>
          </w:tcPr>
          <w:p w14:paraId="76704E2A"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noProof/>
                <w:sz w:val="16"/>
              </w:rPr>
            </w:pPr>
            <w:r w:rsidRPr="002C6368">
              <w:rPr>
                <w:noProof/>
                <w:sz w:val="16"/>
              </w:rPr>
              <w:t>20</w:t>
            </w:r>
            <w:r w:rsidRPr="009F566E">
              <w:rPr>
                <w:noProof/>
                <w:sz w:val="16"/>
              </w:rPr>
              <w:t xml:space="preserve"> </w:t>
            </w:r>
            <w:r w:rsidRPr="002C6368">
              <w:rPr>
                <w:noProof/>
                <w:sz w:val="16"/>
              </w:rPr>
              <w:t>02</w:t>
            </w:r>
            <w:r w:rsidRPr="009F566E">
              <w:rPr>
                <w:noProof/>
                <w:sz w:val="16"/>
              </w:rPr>
              <w:t xml:space="preserve"> </w:t>
            </w:r>
            <w:r w:rsidRPr="002C6368">
              <w:rPr>
                <w:noProof/>
                <w:sz w:val="16"/>
              </w:rPr>
              <w:t>03</w:t>
            </w:r>
            <w:r w:rsidRPr="009F566E">
              <w:rPr>
                <w:noProof/>
                <w:sz w:val="16"/>
              </w:rPr>
              <w:t xml:space="preserve"> (VB, ÖB, ANS, LAK und JFD in den Delegationen)</w:t>
            </w:r>
          </w:p>
        </w:tc>
        <w:tc>
          <w:tcPr>
            <w:tcW w:w="731" w:type="dxa"/>
            <w:shd w:val="clear" w:color="auto" w:fill="auto"/>
            <w:vAlign w:val="center"/>
          </w:tcPr>
          <w:p w14:paraId="4D73A249"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8259C44"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5E8BD11"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CA9D8EB"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AF37B80"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9D5A5F4"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44C7447"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074AC136" w14:textId="77777777" w:rsidTr="00C87E1E">
        <w:trPr>
          <w:gridBefore w:val="1"/>
          <w:wBefore w:w="15" w:type="dxa"/>
          <w:trHeight w:val="289"/>
          <w:jc w:val="center"/>
        </w:trPr>
        <w:tc>
          <w:tcPr>
            <w:tcW w:w="2376" w:type="dxa"/>
            <w:vMerge w:val="restart"/>
            <w:shd w:val="clear" w:color="auto" w:fill="auto"/>
            <w:vAlign w:val="center"/>
          </w:tcPr>
          <w:p w14:paraId="42221955"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9F566E">
              <w:rPr>
                <w:b/>
                <w:noProof/>
                <w:sz w:val="16"/>
              </w:rPr>
              <w:t>XX</w:t>
            </w:r>
            <w:r w:rsidRPr="009F566E">
              <w:rPr>
                <w:noProof/>
                <w:sz w:val="16"/>
              </w:rPr>
              <w:t xml:space="preserve"> </w:t>
            </w:r>
            <w:r w:rsidRPr="002C6368">
              <w:rPr>
                <w:noProof/>
                <w:sz w:val="16"/>
              </w:rPr>
              <w:t>01</w:t>
            </w:r>
            <w:r w:rsidRPr="009F566E">
              <w:rPr>
                <w:noProof/>
                <w:sz w:val="16"/>
              </w:rPr>
              <w:t xml:space="preserve">  xx </w:t>
            </w:r>
            <w:r w:rsidRPr="009F566E">
              <w:rPr>
                <w:b/>
                <w:noProof/>
                <w:sz w:val="16"/>
              </w:rPr>
              <w:t xml:space="preserve">yy zz </w:t>
            </w:r>
            <w:r w:rsidRPr="009F566E">
              <w:rPr>
                <w:b/>
                <w:i/>
                <w:noProof/>
                <w:sz w:val="16"/>
              </w:rPr>
              <w:t xml:space="preserve"> </w:t>
            </w:r>
            <w:r w:rsidRPr="009F566E">
              <w:rPr>
                <w:rStyle w:val="FootnoteReference"/>
                <w:noProof/>
              </w:rPr>
              <w:footnoteReference w:id="31"/>
            </w:r>
          </w:p>
          <w:p w14:paraId="3132AFFD"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2378" w:type="dxa"/>
            <w:shd w:val="clear" w:color="auto" w:fill="auto"/>
            <w:vAlign w:val="center"/>
          </w:tcPr>
          <w:p w14:paraId="00965C26"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9F566E">
              <w:rPr>
                <w:noProof/>
                <w:sz w:val="16"/>
              </w:rPr>
              <w:t>- am Sitz</w:t>
            </w:r>
          </w:p>
          <w:p w14:paraId="2359CC1D"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731" w:type="dxa"/>
            <w:shd w:val="clear" w:color="auto" w:fill="auto"/>
            <w:vAlign w:val="center"/>
          </w:tcPr>
          <w:p w14:paraId="46F831C1" w14:textId="77777777" w:rsidR="00C87E1E" w:rsidRPr="009F566E" w:rsidRDefault="00C87E1E" w:rsidP="00362810">
            <w:pPr>
              <w:numPr>
                <w:ilvl w:val="0"/>
                <w:numId w:val="10"/>
              </w:numPr>
              <w:tabs>
                <w:tab w:val="clear" w:pos="1134"/>
                <w:tab w:val="num" w:pos="360"/>
              </w:tabs>
              <w:spacing w:beforeLines="20" w:before="48" w:afterLines="20" w:after="48"/>
              <w:ind w:left="0" w:firstLine="0"/>
              <w:rPr>
                <w:noProof/>
                <w:sz w:val="16"/>
                <w:szCs w:val="16"/>
                <w:lang w:eastAsia="en-GB"/>
              </w:rPr>
            </w:pPr>
          </w:p>
        </w:tc>
        <w:tc>
          <w:tcPr>
            <w:tcW w:w="731" w:type="dxa"/>
            <w:shd w:val="clear" w:color="auto" w:fill="auto"/>
            <w:vAlign w:val="center"/>
          </w:tcPr>
          <w:p w14:paraId="3A998774"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EEE3021"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B9244E"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3B26E4C"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F3E28A9"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EAABE13"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5B9AB785" w14:textId="77777777" w:rsidTr="00C87E1E">
        <w:trPr>
          <w:gridBefore w:val="1"/>
          <w:wBefore w:w="15" w:type="dxa"/>
          <w:trHeight w:val="289"/>
          <w:jc w:val="center"/>
        </w:trPr>
        <w:tc>
          <w:tcPr>
            <w:tcW w:w="2376" w:type="dxa"/>
            <w:vMerge/>
            <w:shd w:val="clear" w:color="auto" w:fill="auto"/>
            <w:vAlign w:val="center"/>
          </w:tcPr>
          <w:p w14:paraId="59E2F415"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2378" w:type="dxa"/>
            <w:shd w:val="clear" w:color="auto" w:fill="auto"/>
            <w:vAlign w:val="center"/>
          </w:tcPr>
          <w:p w14:paraId="72BA9DB2"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9F566E">
              <w:rPr>
                <w:noProof/>
                <w:sz w:val="16"/>
              </w:rPr>
              <w:t xml:space="preserve">- in den Delegationen </w:t>
            </w:r>
          </w:p>
        </w:tc>
        <w:tc>
          <w:tcPr>
            <w:tcW w:w="731" w:type="dxa"/>
            <w:shd w:val="clear" w:color="auto" w:fill="auto"/>
            <w:vAlign w:val="center"/>
          </w:tcPr>
          <w:p w14:paraId="7C40AE38" w14:textId="77777777" w:rsidR="00C87E1E" w:rsidRPr="009F566E" w:rsidRDefault="00C87E1E" w:rsidP="00362810">
            <w:pPr>
              <w:numPr>
                <w:ilvl w:val="0"/>
                <w:numId w:val="10"/>
              </w:numPr>
              <w:tabs>
                <w:tab w:val="clear" w:pos="1134"/>
                <w:tab w:val="num" w:pos="360"/>
              </w:tabs>
              <w:spacing w:beforeLines="20" w:before="48" w:afterLines="20" w:after="48"/>
              <w:ind w:left="0" w:firstLine="0"/>
              <w:rPr>
                <w:noProof/>
                <w:sz w:val="16"/>
                <w:szCs w:val="16"/>
                <w:lang w:eastAsia="en-GB"/>
              </w:rPr>
            </w:pPr>
          </w:p>
        </w:tc>
        <w:tc>
          <w:tcPr>
            <w:tcW w:w="731" w:type="dxa"/>
            <w:shd w:val="clear" w:color="auto" w:fill="auto"/>
            <w:vAlign w:val="center"/>
          </w:tcPr>
          <w:p w14:paraId="5868A496"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17EED47"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D618E04"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2920565"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6E5DAA5"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01B573"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15D842BF" w14:textId="77777777" w:rsidTr="00C87E1E">
        <w:trPr>
          <w:gridBefore w:val="1"/>
          <w:wBefore w:w="15" w:type="dxa"/>
          <w:trHeight w:val="289"/>
          <w:jc w:val="center"/>
        </w:trPr>
        <w:tc>
          <w:tcPr>
            <w:tcW w:w="4754" w:type="dxa"/>
            <w:gridSpan w:val="2"/>
            <w:shd w:val="clear" w:color="auto" w:fill="auto"/>
            <w:vAlign w:val="center"/>
          </w:tcPr>
          <w:p w14:paraId="597F52BD"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noProof/>
                <w:sz w:val="16"/>
                <w:szCs w:val="16"/>
              </w:rPr>
            </w:pPr>
            <w:r w:rsidRPr="002C6368">
              <w:rPr>
                <w:noProof/>
                <w:sz w:val="16"/>
              </w:rPr>
              <w:t>01</w:t>
            </w:r>
            <w:r w:rsidRPr="009F566E">
              <w:rPr>
                <w:noProof/>
                <w:sz w:val="16"/>
              </w:rPr>
              <w:t xml:space="preserve"> </w:t>
            </w:r>
            <w:r w:rsidRPr="002C6368">
              <w:rPr>
                <w:noProof/>
                <w:sz w:val="16"/>
              </w:rPr>
              <w:t>01</w:t>
            </w:r>
            <w:r w:rsidRPr="009F566E">
              <w:rPr>
                <w:noProof/>
                <w:sz w:val="16"/>
              </w:rPr>
              <w:t xml:space="preserve"> </w:t>
            </w:r>
            <w:r w:rsidRPr="002C6368">
              <w:rPr>
                <w:noProof/>
                <w:sz w:val="16"/>
              </w:rPr>
              <w:t>01</w:t>
            </w:r>
            <w:r w:rsidRPr="009F566E">
              <w:rPr>
                <w:noProof/>
                <w:sz w:val="16"/>
              </w:rPr>
              <w:t xml:space="preserve"> </w:t>
            </w:r>
            <w:r w:rsidRPr="002C6368">
              <w:rPr>
                <w:noProof/>
                <w:sz w:val="16"/>
              </w:rPr>
              <w:t>02</w:t>
            </w:r>
            <w:r w:rsidRPr="009F566E">
              <w:rPr>
                <w:rFonts w:ascii="Arial Narrow" w:hAnsi="Arial Narrow"/>
                <w:noProof/>
                <w:color w:val="000000"/>
                <w:sz w:val="20"/>
              </w:rPr>
              <w:t xml:space="preserve"> </w:t>
            </w:r>
            <w:r w:rsidRPr="009F566E">
              <w:rPr>
                <w:noProof/>
                <w:sz w:val="16"/>
              </w:rPr>
              <w:t>(VB, ANS und LAK der indirekten Forschung)</w:t>
            </w:r>
          </w:p>
        </w:tc>
        <w:tc>
          <w:tcPr>
            <w:tcW w:w="731" w:type="dxa"/>
            <w:shd w:val="clear" w:color="auto" w:fill="auto"/>
            <w:vAlign w:val="center"/>
          </w:tcPr>
          <w:p w14:paraId="04960C4F"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62D88B"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A19F58E"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0EE371C"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DC4DD93"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4753748"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FD69327"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734D9F74" w14:textId="77777777" w:rsidTr="00C87E1E">
        <w:trPr>
          <w:gridBefore w:val="1"/>
          <w:wBefore w:w="15" w:type="dxa"/>
          <w:trHeight w:val="289"/>
          <w:jc w:val="center"/>
        </w:trPr>
        <w:tc>
          <w:tcPr>
            <w:tcW w:w="4754" w:type="dxa"/>
            <w:gridSpan w:val="2"/>
            <w:shd w:val="clear" w:color="auto" w:fill="auto"/>
            <w:vAlign w:val="center"/>
          </w:tcPr>
          <w:p w14:paraId="24854B5E"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noProof/>
                <w:color w:val="FF0000"/>
                <w:sz w:val="16"/>
                <w:szCs w:val="16"/>
              </w:rPr>
            </w:pPr>
            <w:r w:rsidRPr="009F566E">
              <w:rPr>
                <w:noProof/>
                <w:sz w:val="16"/>
              </w:rPr>
              <w:t xml:space="preserve"> </w:t>
            </w:r>
            <w:r w:rsidRPr="002C6368">
              <w:rPr>
                <w:noProof/>
                <w:sz w:val="16"/>
              </w:rPr>
              <w:t>01</w:t>
            </w:r>
            <w:r w:rsidRPr="009F566E">
              <w:rPr>
                <w:noProof/>
                <w:sz w:val="16"/>
              </w:rPr>
              <w:t xml:space="preserve"> </w:t>
            </w:r>
            <w:r w:rsidRPr="002C6368">
              <w:rPr>
                <w:noProof/>
                <w:sz w:val="16"/>
              </w:rPr>
              <w:t>01</w:t>
            </w:r>
            <w:r w:rsidRPr="009F566E">
              <w:rPr>
                <w:noProof/>
                <w:sz w:val="16"/>
              </w:rPr>
              <w:t xml:space="preserve"> </w:t>
            </w:r>
            <w:r w:rsidRPr="002C6368">
              <w:rPr>
                <w:noProof/>
                <w:sz w:val="16"/>
              </w:rPr>
              <w:t>01</w:t>
            </w:r>
            <w:r w:rsidRPr="009F566E">
              <w:rPr>
                <w:noProof/>
                <w:sz w:val="16"/>
              </w:rPr>
              <w:t xml:space="preserve"> </w:t>
            </w:r>
            <w:r w:rsidRPr="002C6368">
              <w:rPr>
                <w:noProof/>
                <w:sz w:val="16"/>
              </w:rPr>
              <w:t>12</w:t>
            </w:r>
            <w:r w:rsidRPr="009F566E">
              <w:rPr>
                <w:noProof/>
                <w:sz w:val="16"/>
              </w:rPr>
              <w:t xml:space="preserve"> (VB, ANS und LAK der direkten Forschung)</w:t>
            </w:r>
          </w:p>
        </w:tc>
        <w:tc>
          <w:tcPr>
            <w:tcW w:w="731" w:type="dxa"/>
            <w:shd w:val="clear" w:color="auto" w:fill="auto"/>
            <w:vAlign w:val="center"/>
          </w:tcPr>
          <w:p w14:paraId="28A90E8C"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9FC994"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5051FDD"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0A426BE"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46F2F79"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7D16BC"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1DE2C12"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4F0DCD3F" w14:textId="77777777" w:rsidTr="00C87E1E">
        <w:trPr>
          <w:gridBefore w:val="1"/>
          <w:wBefore w:w="15" w:type="dxa"/>
          <w:trHeight w:val="289"/>
          <w:jc w:val="center"/>
        </w:trPr>
        <w:tc>
          <w:tcPr>
            <w:tcW w:w="4754" w:type="dxa"/>
            <w:gridSpan w:val="2"/>
            <w:shd w:val="clear" w:color="auto" w:fill="auto"/>
            <w:vAlign w:val="center"/>
          </w:tcPr>
          <w:p w14:paraId="03EB1B28"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noProof/>
                <w:sz w:val="16"/>
              </w:rPr>
            </w:pPr>
            <w:r w:rsidRPr="009F566E">
              <w:rPr>
                <w:noProof/>
                <w:sz w:val="16"/>
              </w:rPr>
              <w:t>Sonstige Haushaltslinien (bitte angeben)</w:t>
            </w:r>
          </w:p>
        </w:tc>
        <w:tc>
          <w:tcPr>
            <w:tcW w:w="731" w:type="dxa"/>
            <w:shd w:val="clear" w:color="auto" w:fill="auto"/>
            <w:vAlign w:val="center"/>
          </w:tcPr>
          <w:p w14:paraId="6D7D844D"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34975B6"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43584C9"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433D94F"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4245E5A"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2447472" w14:textId="77777777" w:rsidR="00C87E1E" w:rsidRPr="009F566E"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733F368" w14:textId="77777777" w:rsidR="00C87E1E" w:rsidRPr="009F566E" w:rsidRDefault="00C87E1E" w:rsidP="00C87E1E">
            <w:pPr>
              <w:spacing w:beforeLines="20" w:before="48" w:afterLines="20" w:after="48"/>
              <w:jc w:val="center"/>
              <w:rPr>
                <w:noProof/>
                <w:sz w:val="16"/>
                <w:szCs w:val="16"/>
                <w:lang w:eastAsia="en-GB"/>
              </w:rPr>
            </w:pPr>
          </w:p>
        </w:tc>
      </w:tr>
      <w:tr w:rsidR="00C87E1E" w:rsidRPr="009F566E" w14:paraId="080C7D12" w14:textId="77777777" w:rsidTr="00C87E1E">
        <w:trPr>
          <w:gridBefore w:val="1"/>
          <w:wBefore w:w="15" w:type="dxa"/>
          <w:trHeight w:val="289"/>
          <w:jc w:val="center"/>
        </w:trPr>
        <w:tc>
          <w:tcPr>
            <w:tcW w:w="4754" w:type="dxa"/>
            <w:gridSpan w:val="2"/>
            <w:tcBorders>
              <w:top w:val="double" w:sz="4" w:space="0" w:color="auto"/>
            </w:tcBorders>
            <w:shd w:val="clear" w:color="auto" w:fill="auto"/>
            <w:vAlign w:val="center"/>
          </w:tcPr>
          <w:p w14:paraId="5F87DC60" w14:textId="77777777" w:rsidR="00C87E1E" w:rsidRPr="009F566E" w:rsidRDefault="00C87E1E" w:rsidP="00362810">
            <w:pPr>
              <w:numPr>
                <w:ilvl w:val="0"/>
                <w:numId w:val="10"/>
              </w:numPr>
              <w:tabs>
                <w:tab w:val="clear" w:pos="1134"/>
                <w:tab w:val="num" w:pos="360"/>
              </w:tabs>
              <w:spacing w:beforeLines="20" w:before="48" w:afterLines="20" w:after="48"/>
              <w:ind w:left="136" w:firstLine="0"/>
              <w:jc w:val="left"/>
              <w:rPr>
                <w:noProof/>
                <w:sz w:val="16"/>
                <w:szCs w:val="16"/>
              </w:rPr>
            </w:pPr>
            <w:r w:rsidRPr="009F566E">
              <w:rPr>
                <w:b/>
                <w:noProof/>
                <w:sz w:val="16"/>
              </w:rPr>
              <w:t>INSGESAMT</w:t>
            </w:r>
          </w:p>
        </w:tc>
        <w:tc>
          <w:tcPr>
            <w:tcW w:w="731" w:type="dxa"/>
            <w:tcBorders>
              <w:top w:val="double" w:sz="4" w:space="0" w:color="auto"/>
            </w:tcBorders>
            <w:shd w:val="clear" w:color="auto" w:fill="auto"/>
            <w:vAlign w:val="center"/>
          </w:tcPr>
          <w:p w14:paraId="7A1E3DB1" w14:textId="77777777" w:rsidR="00C87E1E" w:rsidRPr="009F566E"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7531A1F0" w14:textId="77777777" w:rsidR="00C87E1E" w:rsidRPr="009F566E"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0C1E7119" w14:textId="77777777" w:rsidR="00C87E1E" w:rsidRPr="009F566E"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06E577C5" w14:textId="77777777" w:rsidR="00C87E1E" w:rsidRPr="009F566E"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2C307013" w14:textId="77777777" w:rsidR="00C87E1E" w:rsidRPr="009F566E"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59484285" w14:textId="77777777" w:rsidR="00C87E1E" w:rsidRPr="009F566E"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442CDC4E" w14:textId="77777777" w:rsidR="00C87E1E" w:rsidRPr="009F566E" w:rsidRDefault="00C87E1E" w:rsidP="00C87E1E">
            <w:pPr>
              <w:spacing w:beforeLines="20" w:before="48" w:afterLines="20" w:after="48"/>
              <w:jc w:val="center"/>
              <w:rPr>
                <w:b/>
                <w:noProof/>
                <w:sz w:val="16"/>
                <w:szCs w:val="16"/>
                <w:lang w:eastAsia="en-GB"/>
              </w:rPr>
            </w:pPr>
          </w:p>
        </w:tc>
      </w:tr>
    </w:tbl>
    <w:p w14:paraId="6226E21F" w14:textId="77777777" w:rsidR="00C87E1E" w:rsidRPr="009F566E" w:rsidRDefault="00C87E1E" w:rsidP="00FB18F4">
      <w:pPr>
        <w:spacing w:before="60" w:after="60"/>
        <w:rPr>
          <w:noProof/>
          <w:sz w:val="18"/>
          <w:szCs w:val="18"/>
        </w:rPr>
      </w:pPr>
      <w:r w:rsidRPr="009F566E">
        <w:rPr>
          <w:b/>
          <w:noProof/>
          <w:sz w:val="18"/>
        </w:rPr>
        <w:t>XX</w:t>
      </w:r>
      <w:r w:rsidRPr="009F566E">
        <w:rPr>
          <w:noProof/>
          <w:sz w:val="18"/>
        </w:rPr>
        <w:t xml:space="preserve"> steht für den jeweiligen Politikbereich bzw. Haushaltstitel.</w:t>
      </w:r>
    </w:p>
    <w:p w14:paraId="08BD9D27" w14:textId="77777777" w:rsidR="00C87E1E" w:rsidRPr="009F566E" w:rsidRDefault="00C87E1E" w:rsidP="00FB18F4">
      <w:pPr>
        <w:rPr>
          <w:noProof/>
          <w:sz w:val="18"/>
          <w:szCs w:val="18"/>
        </w:rPr>
      </w:pPr>
      <w:r w:rsidRPr="009F566E">
        <w:rPr>
          <w:noProof/>
          <w:sz w:val="18"/>
        </w:rPr>
        <w:t>Der Personalbedarf wird durch der Verwaltung der Maßnahme zugeordnetes Personal der GD oder GD-interne Personalumschichtung gedeckt. Hinzu kommen etwaige zusätzliche Mittel, die der für die Verwaltung der Maßnahme zuständigen GD nach Maßgabe der verfügbaren Mittel im Rahmen der jährlichen Mittelzuweisung zugeteilt werden.</w:t>
      </w:r>
    </w:p>
    <w:p w14:paraId="6D428522" w14:textId="77777777" w:rsidR="00C87E1E" w:rsidRPr="009F566E" w:rsidRDefault="00C87E1E" w:rsidP="00C87E1E">
      <w:pPr>
        <w:rPr>
          <w:noProof/>
          <w:sz w:val="20"/>
        </w:rPr>
      </w:pPr>
      <w:r w:rsidRPr="009F566E">
        <w:rPr>
          <w:noProof/>
          <w:sz w:val="20"/>
        </w:rPr>
        <w:t>Beschreibung der auszuführenden Aufgaben:</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87E1E" w:rsidRPr="009F566E" w14:paraId="11E810B9" w14:textId="77777777" w:rsidTr="00C87E1E">
        <w:tc>
          <w:tcPr>
            <w:tcW w:w="3240" w:type="dxa"/>
          </w:tcPr>
          <w:p w14:paraId="2BFA4A63" w14:textId="77777777" w:rsidR="00C87E1E" w:rsidRPr="009F566E" w:rsidRDefault="00C87E1E" w:rsidP="00C87E1E">
            <w:pPr>
              <w:rPr>
                <w:noProof/>
                <w:sz w:val="20"/>
              </w:rPr>
            </w:pPr>
            <w:r w:rsidRPr="009F566E">
              <w:rPr>
                <w:noProof/>
                <w:sz w:val="20"/>
              </w:rPr>
              <w:t>Beamte und Zeitbedienstete</w:t>
            </w:r>
          </w:p>
        </w:tc>
        <w:tc>
          <w:tcPr>
            <w:tcW w:w="7200" w:type="dxa"/>
          </w:tcPr>
          <w:p w14:paraId="3C047422" w14:textId="77777777" w:rsidR="00C87E1E" w:rsidRPr="009F566E" w:rsidRDefault="00C87E1E" w:rsidP="00C87E1E">
            <w:pPr>
              <w:rPr>
                <w:noProof/>
                <w:sz w:val="20"/>
                <w:lang w:eastAsia="en-GB"/>
              </w:rPr>
            </w:pPr>
          </w:p>
        </w:tc>
      </w:tr>
      <w:tr w:rsidR="00C87E1E" w:rsidRPr="009F566E" w14:paraId="26AC13C2" w14:textId="77777777" w:rsidTr="00C87E1E">
        <w:tc>
          <w:tcPr>
            <w:tcW w:w="3240" w:type="dxa"/>
          </w:tcPr>
          <w:p w14:paraId="0ED650EB" w14:textId="77777777" w:rsidR="00C87E1E" w:rsidRPr="009F566E" w:rsidRDefault="00C87E1E" w:rsidP="00C87E1E">
            <w:pPr>
              <w:spacing w:before="60" w:after="60"/>
              <w:rPr>
                <w:noProof/>
                <w:sz w:val="20"/>
              </w:rPr>
            </w:pPr>
            <w:r w:rsidRPr="009F566E">
              <w:rPr>
                <w:noProof/>
                <w:sz w:val="20"/>
              </w:rPr>
              <w:t>Externes Personal</w:t>
            </w:r>
          </w:p>
        </w:tc>
        <w:tc>
          <w:tcPr>
            <w:tcW w:w="7200" w:type="dxa"/>
          </w:tcPr>
          <w:p w14:paraId="4EEAF454" w14:textId="77777777" w:rsidR="00C87E1E" w:rsidRPr="009F566E" w:rsidRDefault="00C87E1E" w:rsidP="00C87E1E">
            <w:pPr>
              <w:rPr>
                <w:noProof/>
                <w:sz w:val="20"/>
                <w:lang w:eastAsia="en-GB"/>
              </w:rPr>
            </w:pPr>
          </w:p>
        </w:tc>
      </w:tr>
    </w:tbl>
    <w:p w14:paraId="327EB9C4" w14:textId="77777777" w:rsidR="00C87E1E" w:rsidRPr="009F566E" w:rsidRDefault="00C87E1E" w:rsidP="00C87E1E">
      <w:pPr>
        <w:rPr>
          <w:noProof/>
          <w:lang w:eastAsia="en-GB"/>
        </w:rPr>
        <w:sectPr w:rsidR="00C87E1E" w:rsidRPr="009F566E" w:rsidSect="001E1836">
          <w:pgSz w:w="11907" w:h="16840"/>
          <w:pgMar w:top="1134" w:right="1418" w:bottom="1134" w:left="1418" w:header="709" w:footer="709" w:gutter="0"/>
          <w:cols w:space="708"/>
          <w:docGrid w:linePitch="360"/>
        </w:sectPr>
      </w:pPr>
    </w:p>
    <w:p w14:paraId="42A96833" w14:textId="77777777" w:rsidR="00C87E1E" w:rsidRPr="009F566E" w:rsidRDefault="00C87E1E" w:rsidP="00FB18F4">
      <w:pPr>
        <w:keepNext/>
        <w:outlineLvl w:val="2"/>
        <w:rPr>
          <w:rFonts w:eastAsiaTheme="majorEastAsia"/>
          <w:bCs/>
          <w:i/>
          <w:noProof/>
        </w:rPr>
      </w:pPr>
      <w:bookmarkStart w:id="61" w:name="_Toc514938056"/>
      <w:bookmarkStart w:id="62" w:name="_Toc520485055"/>
      <w:r w:rsidRPr="009F566E">
        <w:rPr>
          <w:i/>
          <w:noProof/>
        </w:rPr>
        <w:t>Vereinbarkeit mit dem Mehrjährigen Finanzrahmen</w:t>
      </w:r>
      <w:bookmarkEnd w:id="61"/>
      <w:bookmarkEnd w:id="62"/>
      <w:r w:rsidRPr="009F566E">
        <w:rPr>
          <w:i/>
          <w:noProof/>
        </w:rPr>
        <w:t xml:space="preserve"> </w:t>
      </w:r>
    </w:p>
    <w:p w14:paraId="780F37C1" w14:textId="77777777" w:rsidR="00C87E1E" w:rsidRPr="009F566E" w:rsidRDefault="00C87E1E" w:rsidP="00C87E1E">
      <w:pPr>
        <w:tabs>
          <w:tab w:val="num" w:pos="1134"/>
        </w:tabs>
        <w:ind w:left="1134" w:hanging="283"/>
        <w:rPr>
          <w:noProof/>
        </w:rPr>
      </w:pPr>
      <w:r w:rsidRPr="009F566E">
        <w:rPr>
          <w:noProof/>
        </w:rPr>
        <w:t>Der Vorschlag/Die Initiative ist mit dem mehrjährigen Finanzrahmen vereinbar.</w:t>
      </w:r>
    </w:p>
    <w:p w14:paraId="7ADACF09" w14:textId="77777777" w:rsidR="00C87E1E" w:rsidRPr="009F566E" w:rsidRDefault="00C87E1E" w:rsidP="00FB18F4">
      <w:pPr>
        <w:rPr>
          <w:noProof/>
          <w:lang w:eastAsia="en-GB"/>
        </w:rPr>
      </w:pPr>
    </w:p>
    <w:p w14:paraId="37458A13" w14:textId="77777777" w:rsidR="00C87E1E" w:rsidRPr="009F566E" w:rsidRDefault="00C87E1E" w:rsidP="00FB18F4">
      <w:pPr>
        <w:rPr>
          <w:noProof/>
        </w:rPr>
      </w:pPr>
      <w:r w:rsidRPr="009F566E">
        <w:rPr>
          <w:noProof/>
        </w:rPr>
        <w:t>Der Vorschlag/Die Initiative</w:t>
      </w:r>
    </w:p>
    <w:p w14:paraId="01CED3D9" w14:textId="77777777" w:rsidR="00C87E1E" w:rsidRPr="009F566E" w:rsidRDefault="00C87E1E" w:rsidP="00C87E1E">
      <w:pPr>
        <w:tabs>
          <w:tab w:val="num" w:pos="1134"/>
        </w:tabs>
        <w:ind w:left="1134" w:hanging="283"/>
        <w:rPr>
          <w:noProof/>
        </w:rPr>
      </w:pPr>
      <w:r w:rsidRPr="009F566E">
        <w:rPr>
          <w:noProof/>
        </w:rPr>
        <w:sym w:font="Wingdings" w:char="F0A8"/>
      </w:r>
      <w:r w:rsidRPr="009F566E">
        <w:rPr>
          <w:noProof/>
        </w:rPr>
        <w:tab/>
        <w:t>kann durch Umschichtungen innerhalb der entsprechenden Rubrik des Mehrjährigen Finanzrahmens (MFR) in voller Höhe finanziert werden.</w:t>
      </w:r>
    </w:p>
    <w:p w14:paraId="76A1D03F" w14:textId="77777777" w:rsidR="00C87E1E" w:rsidRPr="009F566E" w:rsidRDefault="00C87E1E" w:rsidP="00FB18F4">
      <w:pPr>
        <w:pBdr>
          <w:top w:val="single" w:sz="4" w:space="1" w:color="auto"/>
          <w:left w:val="single" w:sz="4" w:space="4" w:color="auto"/>
          <w:bottom w:val="single" w:sz="4" w:space="1" w:color="auto"/>
          <w:right w:val="single" w:sz="4" w:space="4" w:color="auto"/>
        </w:pBdr>
        <w:rPr>
          <w:noProof/>
          <w:sz w:val="20"/>
        </w:rPr>
      </w:pPr>
      <w:r w:rsidRPr="009F566E">
        <w:rPr>
          <w:noProof/>
          <w:sz w:val="20"/>
        </w:rPr>
        <w:t>Bitte erläutern Sie die erforderliche Neuprogrammierung unter Angabe der betreffenden Haushaltslinien und der entsprechenden Beträge.</w:t>
      </w:r>
      <w:r w:rsidRPr="009F566E">
        <w:rPr>
          <w:noProof/>
        </w:rPr>
        <w:t xml:space="preserve"> </w:t>
      </w:r>
      <w:r w:rsidRPr="009F566E">
        <w:rPr>
          <w:noProof/>
          <w:sz w:val="20"/>
        </w:rPr>
        <w:t>Bitte legen Sie im Falle einer größeren Neuprogrammierung eine Excel-Tabelle vor.</w:t>
      </w:r>
    </w:p>
    <w:p w14:paraId="38BEE55E" w14:textId="77777777" w:rsidR="00C87E1E" w:rsidRPr="009F566E" w:rsidRDefault="00C87E1E" w:rsidP="00C87E1E">
      <w:pPr>
        <w:tabs>
          <w:tab w:val="num" w:pos="1134"/>
        </w:tabs>
        <w:ind w:left="1134" w:hanging="283"/>
        <w:rPr>
          <w:noProof/>
        </w:rPr>
      </w:pPr>
      <w:r w:rsidRPr="009F566E">
        <w:rPr>
          <w:noProof/>
        </w:rPr>
        <w:sym w:font="Wingdings" w:char="F0A8"/>
      </w:r>
      <w:r w:rsidRPr="009F566E">
        <w:rPr>
          <w:noProof/>
        </w:rPr>
        <w:tab/>
        <w:t>erfordert die Inanspruchnahme des verbleibenden Spielraums unter der einschlägigen Rubrik des MFR und/oder den Einsatz der besonderen Instrumente im Sinne der MFR-Verordnung.</w:t>
      </w:r>
    </w:p>
    <w:p w14:paraId="0E7227E2" w14:textId="77777777" w:rsidR="00C87E1E" w:rsidRPr="009F566E" w:rsidRDefault="00C87E1E" w:rsidP="00FB18F4">
      <w:pPr>
        <w:pBdr>
          <w:top w:val="single" w:sz="4" w:space="1" w:color="auto"/>
          <w:left w:val="single" w:sz="4" w:space="4" w:color="auto"/>
          <w:bottom w:val="single" w:sz="4" w:space="1" w:color="auto"/>
          <w:right w:val="single" w:sz="4" w:space="4" w:color="auto"/>
        </w:pBdr>
        <w:rPr>
          <w:noProof/>
          <w:sz w:val="20"/>
        </w:rPr>
      </w:pPr>
      <w:r w:rsidRPr="009F566E">
        <w:rPr>
          <w:noProof/>
          <w:sz w:val="20"/>
        </w:rPr>
        <w:t>Bitte erläutern Sie den Bedarf unter Angabe der betreffenden Rubriken und Haushaltslinien, der entsprechenden Beträge und der vorgeschlagenen einzusetzenden Instrumente.</w:t>
      </w:r>
    </w:p>
    <w:p w14:paraId="4C70CFAF" w14:textId="77777777" w:rsidR="00C87E1E" w:rsidRPr="009F566E" w:rsidRDefault="00C87E1E" w:rsidP="00C87E1E">
      <w:pPr>
        <w:tabs>
          <w:tab w:val="num" w:pos="1134"/>
        </w:tabs>
        <w:ind w:left="1134" w:hanging="283"/>
        <w:rPr>
          <w:noProof/>
        </w:rPr>
      </w:pPr>
      <w:r w:rsidRPr="009F566E">
        <w:rPr>
          <w:noProof/>
        </w:rPr>
        <w:sym w:font="Wingdings" w:char="F0A8"/>
      </w:r>
      <w:r w:rsidRPr="009F566E">
        <w:rPr>
          <w:noProof/>
        </w:rPr>
        <w:tab/>
        <w:t>erfordert eine Revision des MFR.</w:t>
      </w:r>
    </w:p>
    <w:p w14:paraId="1EDC4A76" w14:textId="77777777" w:rsidR="00C87E1E" w:rsidRPr="009F566E" w:rsidRDefault="00C87E1E" w:rsidP="00FB18F4">
      <w:pPr>
        <w:pBdr>
          <w:top w:val="single" w:sz="4" w:space="1" w:color="auto"/>
          <w:left w:val="single" w:sz="4" w:space="4" w:color="auto"/>
          <w:bottom w:val="single" w:sz="4" w:space="1" w:color="auto"/>
          <w:right w:val="single" w:sz="4" w:space="4" w:color="auto"/>
        </w:pBdr>
        <w:rPr>
          <w:noProof/>
          <w:sz w:val="20"/>
        </w:rPr>
      </w:pPr>
      <w:r w:rsidRPr="009F566E">
        <w:rPr>
          <w:noProof/>
          <w:sz w:val="20"/>
        </w:rPr>
        <w:t>Bitte erläutern Sie den Bedarf unter Angabe der betreffenden Rubriken und Haushaltslinien sowie der entsprechenden Beträge.</w:t>
      </w:r>
    </w:p>
    <w:p w14:paraId="04215B33" w14:textId="77777777" w:rsidR="00C87E1E" w:rsidRPr="009F566E" w:rsidRDefault="00C87E1E" w:rsidP="00FB18F4">
      <w:pPr>
        <w:keepNext/>
        <w:outlineLvl w:val="2"/>
        <w:rPr>
          <w:rFonts w:eastAsiaTheme="majorEastAsia"/>
          <w:i/>
          <w:noProof/>
          <w:szCs w:val="24"/>
        </w:rPr>
      </w:pPr>
      <w:bookmarkStart w:id="63" w:name="_Toc514938058"/>
      <w:bookmarkStart w:id="64" w:name="_Toc520485056"/>
      <w:r w:rsidRPr="009F566E">
        <w:rPr>
          <w:i/>
          <w:noProof/>
        </w:rPr>
        <w:t>Finanzierungsbeteiligung Dritter</w:t>
      </w:r>
      <w:bookmarkEnd w:id="63"/>
      <w:bookmarkEnd w:id="64"/>
      <w:r w:rsidRPr="009F566E">
        <w:rPr>
          <w:i/>
          <w:noProof/>
        </w:rPr>
        <w:t xml:space="preserve"> </w:t>
      </w:r>
    </w:p>
    <w:p w14:paraId="0EB46E33" w14:textId="77777777" w:rsidR="00C87E1E" w:rsidRPr="009F566E" w:rsidRDefault="00C87E1E" w:rsidP="00FB18F4">
      <w:pPr>
        <w:rPr>
          <w:noProof/>
        </w:rPr>
      </w:pPr>
      <w:r w:rsidRPr="009F566E">
        <w:rPr>
          <w:noProof/>
        </w:rPr>
        <w:t>Der Vorschlag/Die Initiative</w:t>
      </w:r>
    </w:p>
    <w:p w14:paraId="3AF4569F" w14:textId="77777777" w:rsidR="00C87E1E" w:rsidRPr="009F566E" w:rsidRDefault="00C87E1E" w:rsidP="00C87E1E">
      <w:pPr>
        <w:tabs>
          <w:tab w:val="num" w:pos="1134"/>
        </w:tabs>
        <w:ind w:left="1134" w:hanging="283"/>
        <w:rPr>
          <w:noProof/>
        </w:rPr>
      </w:pPr>
      <w:r w:rsidRPr="009F566E">
        <w:rPr>
          <w:b/>
          <w:noProof/>
        </w:rPr>
        <w:t>X</w:t>
      </w:r>
      <w:r w:rsidRPr="009F566E">
        <w:rPr>
          <w:noProof/>
        </w:rPr>
        <w:tab/>
        <w:t>sieht keine Kofinanzierung durch Dritte vor</w:t>
      </w:r>
    </w:p>
    <w:p w14:paraId="4AABDF2A" w14:textId="77777777" w:rsidR="00C87E1E" w:rsidRPr="009F566E" w:rsidRDefault="00C87E1E" w:rsidP="00C87E1E">
      <w:pPr>
        <w:tabs>
          <w:tab w:val="num" w:pos="1134"/>
        </w:tabs>
        <w:ind w:left="1134" w:hanging="283"/>
        <w:rPr>
          <w:noProof/>
        </w:rPr>
      </w:pPr>
      <w:r w:rsidRPr="009F566E">
        <w:rPr>
          <w:noProof/>
        </w:rPr>
        <w:sym w:font="Wingdings" w:char="F0A8"/>
      </w:r>
      <w:r w:rsidRPr="009F566E">
        <w:rPr>
          <w:noProof/>
        </w:rPr>
        <w:tab/>
        <w:t>sieht folgende Kofinanzierung durch Dritte vor:</w:t>
      </w:r>
    </w:p>
    <w:p w14:paraId="3E9D1A16" w14:textId="77777777" w:rsidR="00C87E1E" w:rsidRPr="009F566E" w:rsidRDefault="00C87E1E" w:rsidP="00C87E1E">
      <w:pPr>
        <w:jc w:val="right"/>
        <w:rPr>
          <w:noProof/>
          <w:sz w:val="20"/>
        </w:rPr>
      </w:pPr>
      <w:r w:rsidRPr="009F566E">
        <w:rPr>
          <w:noProof/>
          <w:sz w:val="20"/>
        </w:rPr>
        <w:t>Mittel in Mio. EUR (</w:t>
      </w:r>
      <w:r w:rsidRPr="002C6368">
        <w:rPr>
          <w:noProof/>
          <w:sz w:val="20"/>
        </w:rPr>
        <w:t>3</w:t>
      </w:r>
      <w:r w:rsidRPr="009F566E">
        <w:rPr>
          <w:noProof/>
          <w:sz w:val="20"/>
        </w:rPr>
        <w:t> Dezimalstellen)</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C87E1E" w:rsidRPr="009F566E" w14:paraId="1490F7B3" w14:textId="77777777" w:rsidTr="00C87E1E">
        <w:trPr>
          <w:cantSplit/>
        </w:trPr>
        <w:tc>
          <w:tcPr>
            <w:tcW w:w="2340" w:type="dxa"/>
          </w:tcPr>
          <w:p w14:paraId="2BFE90F0" w14:textId="77777777" w:rsidR="00C87E1E" w:rsidRPr="009F566E" w:rsidRDefault="00C87E1E" w:rsidP="00C87E1E">
            <w:pPr>
              <w:spacing w:before="60" w:after="60"/>
              <w:rPr>
                <w:noProof/>
                <w:sz w:val="20"/>
                <w:lang w:eastAsia="en-GB"/>
              </w:rPr>
            </w:pPr>
          </w:p>
        </w:tc>
        <w:tc>
          <w:tcPr>
            <w:tcW w:w="964" w:type="dxa"/>
            <w:vAlign w:val="center"/>
          </w:tcPr>
          <w:p w14:paraId="600B23F2" w14:textId="77777777" w:rsidR="00C87E1E" w:rsidRPr="009F566E" w:rsidRDefault="00C87E1E" w:rsidP="00C87E1E">
            <w:pPr>
              <w:jc w:val="center"/>
              <w:rPr>
                <w:noProof/>
                <w:sz w:val="20"/>
              </w:rPr>
            </w:pPr>
            <w:r w:rsidRPr="009F566E">
              <w:rPr>
                <w:noProof/>
                <w:sz w:val="20"/>
              </w:rPr>
              <w:t>Jahr</w:t>
            </w:r>
            <w:r w:rsidRPr="009F566E">
              <w:rPr>
                <w:noProof/>
              </w:rPr>
              <w:t xml:space="preserve"> </w:t>
            </w:r>
            <w:r w:rsidRPr="009F566E">
              <w:rPr>
                <w:noProof/>
              </w:rPr>
              <w:br/>
            </w:r>
            <w:r w:rsidRPr="009F566E">
              <w:rPr>
                <w:b/>
                <w:noProof/>
                <w:sz w:val="20"/>
              </w:rPr>
              <w:t>N</w:t>
            </w:r>
            <w:r w:rsidRPr="009F566E">
              <w:rPr>
                <w:rStyle w:val="FootnoteReference"/>
                <w:noProof/>
              </w:rPr>
              <w:footnoteReference w:id="32"/>
            </w:r>
          </w:p>
        </w:tc>
        <w:tc>
          <w:tcPr>
            <w:tcW w:w="964" w:type="dxa"/>
            <w:vAlign w:val="center"/>
          </w:tcPr>
          <w:p w14:paraId="266EF62C" w14:textId="77777777" w:rsidR="00C87E1E" w:rsidRPr="009F566E" w:rsidRDefault="00C87E1E" w:rsidP="00C87E1E">
            <w:pPr>
              <w:jc w:val="center"/>
              <w:rPr>
                <w:noProof/>
                <w:sz w:val="20"/>
              </w:rPr>
            </w:pPr>
            <w:r w:rsidRPr="009F566E">
              <w:rPr>
                <w:noProof/>
                <w:sz w:val="20"/>
              </w:rPr>
              <w:t>Jahr</w:t>
            </w:r>
            <w:r w:rsidRPr="009F566E">
              <w:rPr>
                <w:noProof/>
              </w:rPr>
              <w:t xml:space="preserve"> </w:t>
            </w:r>
            <w:r w:rsidRPr="009F566E">
              <w:rPr>
                <w:noProof/>
              </w:rPr>
              <w:br/>
            </w:r>
            <w:r w:rsidRPr="009F566E">
              <w:rPr>
                <w:b/>
                <w:noProof/>
                <w:sz w:val="20"/>
              </w:rPr>
              <w:t>N+</w:t>
            </w:r>
            <w:r w:rsidRPr="002C6368">
              <w:rPr>
                <w:b/>
                <w:noProof/>
                <w:sz w:val="20"/>
              </w:rPr>
              <w:t>1</w:t>
            </w:r>
          </w:p>
        </w:tc>
        <w:tc>
          <w:tcPr>
            <w:tcW w:w="964" w:type="dxa"/>
            <w:vAlign w:val="center"/>
          </w:tcPr>
          <w:p w14:paraId="09E6C81C" w14:textId="77777777" w:rsidR="00C87E1E" w:rsidRPr="009F566E" w:rsidRDefault="00C87E1E" w:rsidP="00C87E1E">
            <w:pPr>
              <w:jc w:val="center"/>
              <w:rPr>
                <w:noProof/>
                <w:sz w:val="20"/>
              </w:rPr>
            </w:pPr>
            <w:r w:rsidRPr="009F566E">
              <w:rPr>
                <w:noProof/>
                <w:sz w:val="20"/>
              </w:rPr>
              <w:t>Jahr</w:t>
            </w:r>
            <w:r w:rsidRPr="009F566E">
              <w:rPr>
                <w:noProof/>
              </w:rPr>
              <w:t xml:space="preserve"> </w:t>
            </w:r>
            <w:r w:rsidRPr="009F566E">
              <w:rPr>
                <w:noProof/>
              </w:rPr>
              <w:br/>
            </w:r>
            <w:r w:rsidRPr="009F566E">
              <w:rPr>
                <w:b/>
                <w:noProof/>
                <w:sz w:val="20"/>
              </w:rPr>
              <w:t>N+</w:t>
            </w:r>
            <w:r w:rsidRPr="002C6368">
              <w:rPr>
                <w:b/>
                <w:noProof/>
                <w:sz w:val="20"/>
              </w:rPr>
              <w:t>2</w:t>
            </w:r>
          </w:p>
        </w:tc>
        <w:tc>
          <w:tcPr>
            <w:tcW w:w="964" w:type="dxa"/>
            <w:vAlign w:val="center"/>
          </w:tcPr>
          <w:p w14:paraId="759790A4" w14:textId="77777777" w:rsidR="00C87E1E" w:rsidRPr="009F566E" w:rsidRDefault="00C87E1E" w:rsidP="00C87E1E">
            <w:pPr>
              <w:jc w:val="center"/>
              <w:rPr>
                <w:noProof/>
                <w:sz w:val="20"/>
              </w:rPr>
            </w:pPr>
            <w:r w:rsidRPr="009F566E">
              <w:rPr>
                <w:noProof/>
                <w:sz w:val="20"/>
              </w:rPr>
              <w:t>Jahr</w:t>
            </w:r>
            <w:r w:rsidRPr="009F566E">
              <w:rPr>
                <w:noProof/>
              </w:rPr>
              <w:t xml:space="preserve"> </w:t>
            </w:r>
            <w:r w:rsidRPr="009F566E">
              <w:rPr>
                <w:noProof/>
              </w:rPr>
              <w:br/>
            </w:r>
            <w:r w:rsidRPr="009F566E">
              <w:rPr>
                <w:b/>
                <w:noProof/>
                <w:sz w:val="20"/>
              </w:rPr>
              <w:t>N+</w:t>
            </w:r>
            <w:r w:rsidRPr="002C6368">
              <w:rPr>
                <w:b/>
                <w:noProof/>
                <w:sz w:val="20"/>
              </w:rPr>
              <w:t>3</w:t>
            </w:r>
          </w:p>
        </w:tc>
        <w:tc>
          <w:tcPr>
            <w:tcW w:w="2892" w:type="dxa"/>
            <w:gridSpan w:val="3"/>
            <w:vAlign w:val="center"/>
          </w:tcPr>
          <w:p w14:paraId="5294E5CD" w14:textId="77777777" w:rsidR="00C87E1E" w:rsidRPr="009F566E" w:rsidRDefault="00C87E1E" w:rsidP="00C87E1E">
            <w:pPr>
              <w:jc w:val="center"/>
              <w:rPr>
                <w:b/>
                <w:noProof/>
                <w:sz w:val="20"/>
              </w:rPr>
            </w:pPr>
            <w:r w:rsidRPr="009F566E">
              <w:rPr>
                <w:noProof/>
                <w:sz w:val="20"/>
              </w:rPr>
              <w:t xml:space="preserve">Bei länger andauernden Auswirkungen (siehe </w:t>
            </w:r>
            <w:r w:rsidRPr="002C6368">
              <w:rPr>
                <w:noProof/>
                <w:sz w:val="20"/>
              </w:rPr>
              <w:t>1</w:t>
            </w:r>
            <w:r w:rsidRPr="009F566E">
              <w:rPr>
                <w:noProof/>
                <w:sz w:val="20"/>
              </w:rPr>
              <w:t>.</w:t>
            </w:r>
            <w:r w:rsidRPr="002C6368">
              <w:rPr>
                <w:noProof/>
                <w:sz w:val="20"/>
              </w:rPr>
              <w:t>6</w:t>
            </w:r>
            <w:r w:rsidRPr="009F566E">
              <w:rPr>
                <w:noProof/>
                <w:sz w:val="20"/>
              </w:rPr>
              <w:t>.) bitte weitere Spalten einfügen.</w:t>
            </w:r>
          </w:p>
        </w:tc>
        <w:tc>
          <w:tcPr>
            <w:tcW w:w="1158" w:type="dxa"/>
            <w:vAlign w:val="center"/>
          </w:tcPr>
          <w:p w14:paraId="3540DDFD" w14:textId="77777777" w:rsidR="00C87E1E" w:rsidRPr="009F566E" w:rsidRDefault="00C87E1E" w:rsidP="00C87E1E">
            <w:pPr>
              <w:spacing w:before="60" w:after="60"/>
              <w:jc w:val="center"/>
              <w:rPr>
                <w:noProof/>
                <w:sz w:val="20"/>
              </w:rPr>
            </w:pPr>
            <w:r w:rsidRPr="009F566E">
              <w:rPr>
                <w:noProof/>
                <w:sz w:val="20"/>
              </w:rPr>
              <w:t>Insgesamt</w:t>
            </w:r>
          </w:p>
        </w:tc>
      </w:tr>
      <w:tr w:rsidR="00C87E1E" w:rsidRPr="009F566E" w14:paraId="5D4C700B" w14:textId="77777777" w:rsidTr="00C87E1E">
        <w:trPr>
          <w:cantSplit/>
        </w:trPr>
        <w:tc>
          <w:tcPr>
            <w:tcW w:w="2340" w:type="dxa"/>
          </w:tcPr>
          <w:p w14:paraId="187B37C4" w14:textId="2EAB933E" w:rsidR="00C87E1E" w:rsidRPr="009F566E" w:rsidRDefault="00C87E1E" w:rsidP="00C87E1E">
            <w:pPr>
              <w:rPr>
                <w:noProof/>
              </w:rPr>
            </w:pPr>
            <w:r w:rsidRPr="009F566E">
              <w:rPr>
                <w:noProof/>
                <w:sz w:val="20"/>
              </w:rPr>
              <w:t>Geldgeber/ko</w:t>
            </w:r>
            <w:r w:rsidR="003C3A6B">
              <w:rPr>
                <w:noProof/>
                <w:sz w:val="20"/>
              </w:rPr>
              <w:softHyphen/>
            </w:r>
            <w:r w:rsidRPr="009F566E">
              <w:rPr>
                <w:noProof/>
                <w:sz w:val="20"/>
              </w:rPr>
              <w:t>finanzierende Einrichtung</w:t>
            </w:r>
            <w:r w:rsidRPr="009F566E">
              <w:rPr>
                <w:i/>
                <w:noProof/>
                <w:sz w:val="20"/>
              </w:rPr>
              <w:t xml:space="preserve"> </w:t>
            </w:r>
          </w:p>
        </w:tc>
        <w:tc>
          <w:tcPr>
            <w:tcW w:w="964" w:type="dxa"/>
            <w:vAlign w:val="center"/>
          </w:tcPr>
          <w:p w14:paraId="4A171459" w14:textId="77777777" w:rsidR="00C87E1E" w:rsidRPr="009F566E" w:rsidRDefault="00C87E1E" w:rsidP="00C87E1E">
            <w:pPr>
              <w:spacing w:before="60" w:after="60"/>
              <w:jc w:val="center"/>
              <w:rPr>
                <w:noProof/>
                <w:sz w:val="20"/>
                <w:lang w:eastAsia="en-GB"/>
              </w:rPr>
            </w:pPr>
          </w:p>
        </w:tc>
        <w:tc>
          <w:tcPr>
            <w:tcW w:w="964" w:type="dxa"/>
            <w:vAlign w:val="center"/>
          </w:tcPr>
          <w:p w14:paraId="7274725F" w14:textId="77777777" w:rsidR="00C87E1E" w:rsidRPr="009F566E" w:rsidRDefault="00C87E1E" w:rsidP="00C87E1E">
            <w:pPr>
              <w:spacing w:before="60" w:after="60"/>
              <w:jc w:val="center"/>
              <w:rPr>
                <w:noProof/>
                <w:sz w:val="20"/>
                <w:lang w:eastAsia="en-GB"/>
              </w:rPr>
            </w:pPr>
          </w:p>
        </w:tc>
        <w:tc>
          <w:tcPr>
            <w:tcW w:w="964" w:type="dxa"/>
            <w:vAlign w:val="center"/>
          </w:tcPr>
          <w:p w14:paraId="785490C2" w14:textId="77777777" w:rsidR="00C87E1E" w:rsidRPr="009F566E" w:rsidRDefault="00C87E1E" w:rsidP="00C87E1E">
            <w:pPr>
              <w:spacing w:before="60" w:after="60"/>
              <w:jc w:val="center"/>
              <w:rPr>
                <w:noProof/>
                <w:sz w:val="20"/>
                <w:lang w:eastAsia="en-GB"/>
              </w:rPr>
            </w:pPr>
          </w:p>
        </w:tc>
        <w:tc>
          <w:tcPr>
            <w:tcW w:w="964" w:type="dxa"/>
            <w:vAlign w:val="center"/>
          </w:tcPr>
          <w:p w14:paraId="5F425231" w14:textId="77777777" w:rsidR="00C87E1E" w:rsidRPr="009F566E" w:rsidRDefault="00C87E1E" w:rsidP="00C87E1E">
            <w:pPr>
              <w:spacing w:before="60" w:after="60"/>
              <w:jc w:val="center"/>
              <w:rPr>
                <w:noProof/>
                <w:sz w:val="20"/>
                <w:lang w:eastAsia="en-GB"/>
              </w:rPr>
            </w:pPr>
          </w:p>
        </w:tc>
        <w:tc>
          <w:tcPr>
            <w:tcW w:w="964" w:type="dxa"/>
            <w:vAlign w:val="center"/>
          </w:tcPr>
          <w:p w14:paraId="0E581B6A" w14:textId="77777777" w:rsidR="00C87E1E" w:rsidRPr="009F566E" w:rsidRDefault="00C87E1E" w:rsidP="00C87E1E">
            <w:pPr>
              <w:spacing w:before="60" w:after="60"/>
              <w:jc w:val="center"/>
              <w:rPr>
                <w:noProof/>
                <w:sz w:val="20"/>
                <w:lang w:eastAsia="en-GB"/>
              </w:rPr>
            </w:pPr>
          </w:p>
        </w:tc>
        <w:tc>
          <w:tcPr>
            <w:tcW w:w="964" w:type="dxa"/>
            <w:vAlign w:val="center"/>
          </w:tcPr>
          <w:p w14:paraId="65205D6A" w14:textId="77777777" w:rsidR="00C87E1E" w:rsidRPr="009F566E" w:rsidRDefault="00C87E1E" w:rsidP="00C87E1E">
            <w:pPr>
              <w:spacing w:before="60" w:after="60"/>
              <w:jc w:val="center"/>
              <w:rPr>
                <w:noProof/>
                <w:sz w:val="20"/>
                <w:lang w:eastAsia="en-GB"/>
              </w:rPr>
            </w:pPr>
          </w:p>
        </w:tc>
        <w:tc>
          <w:tcPr>
            <w:tcW w:w="964" w:type="dxa"/>
            <w:vAlign w:val="center"/>
          </w:tcPr>
          <w:p w14:paraId="25AC9648" w14:textId="77777777" w:rsidR="00C87E1E" w:rsidRPr="009F566E" w:rsidRDefault="00C87E1E" w:rsidP="00C87E1E">
            <w:pPr>
              <w:spacing w:before="60" w:after="60"/>
              <w:jc w:val="center"/>
              <w:rPr>
                <w:noProof/>
                <w:sz w:val="20"/>
                <w:lang w:eastAsia="en-GB"/>
              </w:rPr>
            </w:pPr>
          </w:p>
        </w:tc>
        <w:tc>
          <w:tcPr>
            <w:tcW w:w="1158" w:type="dxa"/>
            <w:vAlign w:val="center"/>
          </w:tcPr>
          <w:p w14:paraId="690E1BC6" w14:textId="77777777" w:rsidR="00C87E1E" w:rsidRPr="009F566E" w:rsidRDefault="00C87E1E" w:rsidP="00C87E1E">
            <w:pPr>
              <w:spacing w:before="60" w:after="60"/>
              <w:jc w:val="center"/>
              <w:rPr>
                <w:noProof/>
                <w:sz w:val="20"/>
                <w:lang w:eastAsia="en-GB"/>
              </w:rPr>
            </w:pPr>
          </w:p>
        </w:tc>
      </w:tr>
      <w:tr w:rsidR="00C87E1E" w:rsidRPr="009F566E" w14:paraId="7A639D05" w14:textId="77777777" w:rsidTr="00C87E1E">
        <w:trPr>
          <w:cantSplit/>
        </w:trPr>
        <w:tc>
          <w:tcPr>
            <w:tcW w:w="2340" w:type="dxa"/>
          </w:tcPr>
          <w:p w14:paraId="58732C2A" w14:textId="77777777" w:rsidR="00C87E1E" w:rsidRPr="009F566E" w:rsidRDefault="00C87E1E" w:rsidP="00C87E1E">
            <w:pPr>
              <w:spacing w:before="60" w:after="60"/>
              <w:jc w:val="left"/>
              <w:rPr>
                <w:noProof/>
                <w:sz w:val="20"/>
              </w:rPr>
            </w:pPr>
            <w:r w:rsidRPr="009F566E">
              <w:rPr>
                <w:noProof/>
                <w:sz w:val="20"/>
              </w:rPr>
              <w:t xml:space="preserve">Kofinanzierung INSGESAMT </w:t>
            </w:r>
          </w:p>
        </w:tc>
        <w:tc>
          <w:tcPr>
            <w:tcW w:w="964" w:type="dxa"/>
            <w:vAlign w:val="center"/>
          </w:tcPr>
          <w:p w14:paraId="55721CC0" w14:textId="77777777" w:rsidR="00C87E1E" w:rsidRPr="009F566E" w:rsidRDefault="00C87E1E" w:rsidP="00C87E1E">
            <w:pPr>
              <w:spacing w:before="60" w:after="60"/>
              <w:jc w:val="center"/>
              <w:rPr>
                <w:noProof/>
                <w:sz w:val="20"/>
                <w:lang w:eastAsia="en-GB"/>
              </w:rPr>
            </w:pPr>
          </w:p>
        </w:tc>
        <w:tc>
          <w:tcPr>
            <w:tcW w:w="964" w:type="dxa"/>
            <w:vAlign w:val="center"/>
          </w:tcPr>
          <w:p w14:paraId="15C5D542" w14:textId="77777777" w:rsidR="00C87E1E" w:rsidRPr="009F566E" w:rsidRDefault="00C87E1E" w:rsidP="00C87E1E">
            <w:pPr>
              <w:spacing w:before="60" w:after="60"/>
              <w:jc w:val="center"/>
              <w:rPr>
                <w:noProof/>
                <w:sz w:val="20"/>
                <w:lang w:eastAsia="en-GB"/>
              </w:rPr>
            </w:pPr>
          </w:p>
        </w:tc>
        <w:tc>
          <w:tcPr>
            <w:tcW w:w="964" w:type="dxa"/>
            <w:vAlign w:val="center"/>
          </w:tcPr>
          <w:p w14:paraId="619300D8" w14:textId="77777777" w:rsidR="00C87E1E" w:rsidRPr="009F566E" w:rsidRDefault="00C87E1E" w:rsidP="00C87E1E">
            <w:pPr>
              <w:spacing w:before="60" w:after="60"/>
              <w:jc w:val="center"/>
              <w:rPr>
                <w:noProof/>
                <w:sz w:val="20"/>
                <w:lang w:eastAsia="en-GB"/>
              </w:rPr>
            </w:pPr>
          </w:p>
        </w:tc>
        <w:tc>
          <w:tcPr>
            <w:tcW w:w="964" w:type="dxa"/>
            <w:vAlign w:val="center"/>
          </w:tcPr>
          <w:p w14:paraId="5F943D54" w14:textId="77777777" w:rsidR="00C87E1E" w:rsidRPr="009F566E" w:rsidRDefault="00C87E1E" w:rsidP="00C87E1E">
            <w:pPr>
              <w:spacing w:before="60" w:after="60"/>
              <w:jc w:val="center"/>
              <w:rPr>
                <w:noProof/>
                <w:sz w:val="20"/>
                <w:lang w:eastAsia="en-GB"/>
              </w:rPr>
            </w:pPr>
          </w:p>
        </w:tc>
        <w:tc>
          <w:tcPr>
            <w:tcW w:w="964" w:type="dxa"/>
            <w:vAlign w:val="center"/>
          </w:tcPr>
          <w:p w14:paraId="550197B5" w14:textId="77777777" w:rsidR="00C87E1E" w:rsidRPr="009F566E" w:rsidRDefault="00C87E1E" w:rsidP="00C87E1E">
            <w:pPr>
              <w:spacing w:before="60" w:after="60"/>
              <w:jc w:val="center"/>
              <w:rPr>
                <w:noProof/>
                <w:sz w:val="20"/>
                <w:lang w:eastAsia="en-GB"/>
              </w:rPr>
            </w:pPr>
          </w:p>
        </w:tc>
        <w:tc>
          <w:tcPr>
            <w:tcW w:w="964" w:type="dxa"/>
            <w:vAlign w:val="center"/>
          </w:tcPr>
          <w:p w14:paraId="3925CC94" w14:textId="77777777" w:rsidR="00C87E1E" w:rsidRPr="009F566E" w:rsidRDefault="00C87E1E" w:rsidP="00C87E1E">
            <w:pPr>
              <w:spacing w:before="60" w:after="60"/>
              <w:jc w:val="center"/>
              <w:rPr>
                <w:noProof/>
                <w:sz w:val="20"/>
                <w:lang w:eastAsia="en-GB"/>
              </w:rPr>
            </w:pPr>
          </w:p>
        </w:tc>
        <w:tc>
          <w:tcPr>
            <w:tcW w:w="964" w:type="dxa"/>
            <w:vAlign w:val="center"/>
          </w:tcPr>
          <w:p w14:paraId="7A260ABA" w14:textId="77777777" w:rsidR="00C87E1E" w:rsidRPr="009F566E" w:rsidRDefault="00C87E1E" w:rsidP="00C87E1E">
            <w:pPr>
              <w:spacing w:before="60" w:after="60"/>
              <w:jc w:val="center"/>
              <w:rPr>
                <w:noProof/>
                <w:sz w:val="20"/>
                <w:lang w:eastAsia="en-GB"/>
              </w:rPr>
            </w:pPr>
          </w:p>
        </w:tc>
        <w:tc>
          <w:tcPr>
            <w:tcW w:w="1158" w:type="dxa"/>
            <w:vAlign w:val="center"/>
          </w:tcPr>
          <w:p w14:paraId="20766DEB" w14:textId="77777777" w:rsidR="00C87E1E" w:rsidRPr="009F566E" w:rsidRDefault="00C87E1E" w:rsidP="00C87E1E">
            <w:pPr>
              <w:spacing w:before="60" w:after="60"/>
              <w:jc w:val="center"/>
              <w:rPr>
                <w:noProof/>
                <w:sz w:val="20"/>
                <w:lang w:eastAsia="en-GB"/>
              </w:rPr>
            </w:pPr>
          </w:p>
        </w:tc>
      </w:tr>
    </w:tbl>
    <w:p w14:paraId="5A8BC20D" w14:textId="77777777" w:rsidR="00C87E1E" w:rsidRPr="009F566E" w:rsidRDefault="00C87E1E" w:rsidP="00C87E1E">
      <w:pPr>
        <w:rPr>
          <w:noProof/>
        </w:rPr>
      </w:pPr>
      <w:r w:rsidRPr="009F566E">
        <w:rPr>
          <w:noProof/>
        </w:rPr>
        <w:t xml:space="preserve"> </w:t>
      </w:r>
      <w:r w:rsidRPr="009F566E">
        <w:rPr>
          <w:noProof/>
        </w:rPr>
        <w:br/>
      </w:r>
    </w:p>
    <w:p w14:paraId="3EA042AA" w14:textId="77777777" w:rsidR="00C87E1E" w:rsidRPr="009F566E" w:rsidRDefault="00C87E1E" w:rsidP="00FB18F4">
      <w:pPr>
        <w:keepNext/>
        <w:outlineLvl w:val="1"/>
        <w:rPr>
          <w:rFonts w:eastAsiaTheme="majorEastAsia"/>
          <w:b/>
          <w:noProof/>
          <w:szCs w:val="24"/>
        </w:rPr>
      </w:pPr>
      <w:r w:rsidRPr="009F566E">
        <w:rPr>
          <w:noProof/>
        </w:rPr>
        <w:br w:type="page"/>
      </w:r>
      <w:bookmarkStart w:id="65" w:name="_Toc514938059"/>
      <w:bookmarkStart w:id="66" w:name="_Toc520485057"/>
      <w:r w:rsidRPr="009F566E">
        <w:rPr>
          <w:b/>
          <w:noProof/>
        </w:rPr>
        <w:t>Geschätzte Auswirkungen auf die Einnahmen</w:t>
      </w:r>
      <w:bookmarkEnd w:id="65"/>
      <w:bookmarkEnd w:id="66"/>
      <w:r w:rsidRPr="009F566E">
        <w:rPr>
          <w:b/>
          <w:noProof/>
        </w:rPr>
        <w:t xml:space="preserve"> </w:t>
      </w:r>
    </w:p>
    <w:p w14:paraId="252A5AB6" w14:textId="77777777" w:rsidR="00E41E7D" w:rsidRPr="009F566E" w:rsidRDefault="00137AA4" w:rsidP="00E41E7D">
      <w:pPr>
        <w:pStyle w:val="ListDash1"/>
        <w:rPr>
          <w:noProof/>
        </w:rPr>
      </w:pPr>
      <w:r w:rsidRPr="009F566E">
        <w:rPr>
          <w:b/>
          <w:noProof/>
        </w:rPr>
        <w:t>X</w:t>
      </w:r>
      <w:r w:rsidRPr="009F566E">
        <w:rPr>
          <w:noProof/>
        </w:rPr>
        <w:t xml:space="preserve"> Der Vorschlag/Die Initiative wirkt sich nicht auf die Einnahmen aus.</w:t>
      </w:r>
    </w:p>
    <w:p w14:paraId="64E6C19F" w14:textId="77777777" w:rsidR="00E41E7D" w:rsidRPr="009F566E" w:rsidRDefault="00E41E7D" w:rsidP="00E41E7D">
      <w:pPr>
        <w:pStyle w:val="ListDash1"/>
        <w:rPr>
          <w:noProof/>
        </w:rPr>
      </w:pPr>
      <w:r w:rsidRPr="009F566E">
        <w:rPr>
          <w:noProof/>
        </w:rPr>
        <w:sym w:font="Wingdings" w:char="F0A8"/>
      </w:r>
      <w:r w:rsidRPr="009F566E">
        <w:rPr>
          <w:noProof/>
        </w:rPr>
        <w:t>Der Vorschlag/Die Initiative wirkt sich auf die Einnahmen aus, und zwar</w:t>
      </w:r>
    </w:p>
    <w:p w14:paraId="039ED1DF" w14:textId="77777777" w:rsidR="00E41E7D" w:rsidRPr="009F566E" w:rsidRDefault="00E41E7D" w:rsidP="00855A8A">
      <w:pPr>
        <w:ind w:left="697" w:firstLine="720"/>
        <w:rPr>
          <w:noProof/>
        </w:rPr>
      </w:pPr>
      <w:r w:rsidRPr="009F566E">
        <w:rPr>
          <w:noProof/>
        </w:rPr>
        <w:sym w:font="Wingdings" w:char="F0A8"/>
      </w:r>
      <w:r w:rsidRPr="009F566E">
        <w:rPr>
          <w:noProof/>
        </w:rPr>
        <w:t xml:space="preserve">auf die Eigenmittel </w:t>
      </w:r>
    </w:p>
    <w:p w14:paraId="7EE61B12" w14:textId="77777777" w:rsidR="00E41E7D" w:rsidRPr="009F566E" w:rsidRDefault="00137AA4" w:rsidP="00855A8A">
      <w:pPr>
        <w:ind w:left="697" w:firstLine="720"/>
        <w:rPr>
          <w:noProof/>
        </w:rPr>
      </w:pPr>
      <w:r w:rsidRPr="009F566E">
        <w:rPr>
          <w:noProof/>
        </w:rPr>
        <w:sym w:font="Wingdings" w:char="F0A8"/>
      </w:r>
      <w:r w:rsidRPr="009F566E">
        <w:rPr>
          <w:noProof/>
        </w:rPr>
        <w:t>auf die übrigen Einnahmen</w:t>
      </w:r>
    </w:p>
    <w:p w14:paraId="5CA9712E" w14:textId="77777777" w:rsidR="00E41E7D" w:rsidRPr="009F566E" w:rsidRDefault="00E41E7D" w:rsidP="00E41E7D">
      <w:pPr>
        <w:pStyle w:val="ListNumberLevel3"/>
        <w:tabs>
          <w:tab w:val="clear" w:pos="2126"/>
        </w:tabs>
        <w:ind w:left="1417" w:firstLine="0"/>
        <w:rPr>
          <w:noProof/>
        </w:rPr>
      </w:pPr>
    </w:p>
    <w:p w14:paraId="6B67E46C" w14:textId="77777777" w:rsidR="00C87E1E" w:rsidRPr="009F566E" w:rsidRDefault="00C87E1E" w:rsidP="00C87E1E">
      <w:pPr>
        <w:numPr>
          <w:ilvl w:val="2"/>
          <w:numId w:val="0"/>
        </w:numPr>
        <w:tabs>
          <w:tab w:val="num" w:pos="2126"/>
        </w:tabs>
        <w:ind w:left="2126" w:hanging="709"/>
        <w:rPr>
          <w:noProof/>
        </w:rPr>
      </w:pPr>
      <w:r w:rsidRPr="009F566E">
        <w:rPr>
          <w:noProof/>
        </w:rPr>
        <w:t>Bitte geben Sie an, ob die Einnahmen bestimmten Ausgabenlinien zugewiesen sind.</w:t>
      </w:r>
      <w:r w:rsidRPr="009F566E">
        <w:rPr>
          <w:noProof/>
        </w:rPr>
        <w:sym w:font="Wingdings" w:char="F0A8"/>
      </w:r>
      <w:r w:rsidRPr="009F566E">
        <w:rPr>
          <w:noProof/>
        </w:rPr>
        <w:tab/>
      </w:r>
    </w:p>
    <w:p w14:paraId="0BB306F6" w14:textId="77777777" w:rsidR="00C87E1E" w:rsidRPr="009F566E" w:rsidRDefault="00C87E1E" w:rsidP="00C87E1E">
      <w:pPr>
        <w:ind w:left="4320"/>
        <w:rPr>
          <w:i/>
          <w:noProof/>
          <w:sz w:val="20"/>
        </w:rPr>
      </w:pPr>
      <w:r w:rsidRPr="009F566E">
        <w:rPr>
          <w:noProof/>
        </w:rPr>
        <w:t xml:space="preserve">     in Mio. EUR (</w:t>
      </w:r>
      <w:r w:rsidRPr="002C6368">
        <w:rPr>
          <w:noProof/>
        </w:rPr>
        <w:t>3</w:t>
      </w:r>
      <w:r w:rsidRPr="009F566E">
        <w:rPr>
          <w:noProof/>
        </w:rPr>
        <w:t> Dezimalstellen)</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C87E1E" w:rsidRPr="009F566E" w14:paraId="180217A1" w14:textId="77777777" w:rsidTr="00C87E1E">
        <w:trPr>
          <w:trHeight w:val="388"/>
        </w:trPr>
        <w:tc>
          <w:tcPr>
            <w:tcW w:w="2144" w:type="dxa"/>
            <w:vMerge w:val="restart"/>
            <w:vAlign w:val="center"/>
          </w:tcPr>
          <w:p w14:paraId="6E1ECB6E" w14:textId="77777777" w:rsidR="00C87E1E" w:rsidRPr="009F566E" w:rsidRDefault="00C87E1E" w:rsidP="00C87E1E">
            <w:pPr>
              <w:spacing w:before="40" w:after="40"/>
              <w:rPr>
                <w:noProof/>
                <w:sz w:val="18"/>
              </w:rPr>
            </w:pPr>
            <w:r w:rsidRPr="009F566E">
              <w:rPr>
                <w:noProof/>
                <w:sz w:val="18"/>
              </w:rPr>
              <w:t>Einnahmenlinie:</w:t>
            </w:r>
          </w:p>
        </w:tc>
        <w:tc>
          <w:tcPr>
            <w:tcW w:w="1325" w:type="dxa"/>
            <w:vMerge w:val="restart"/>
            <w:vAlign w:val="center"/>
          </w:tcPr>
          <w:p w14:paraId="2E6F206A" w14:textId="77777777" w:rsidR="00C87E1E" w:rsidRPr="009F566E" w:rsidRDefault="00C87E1E" w:rsidP="00C87E1E">
            <w:pPr>
              <w:jc w:val="center"/>
              <w:rPr>
                <w:noProof/>
                <w:sz w:val="18"/>
              </w:rPr>
            </w:pPr>
            <w:r w:rsidRPr="009F566E">
              <w:rPr>
                <w:noProof/>
                <w:sz w:val="18"/>
              </w:rPr>
              <w:t>Für das laufende Haushaltsjahr zur Verfügung stehende Mittel</w:t>
            </w:r>
          </w:p>
        </w:tc>
        <w:tc>
          <w:tcPr>
            <w:tcW w:w="7151" w:type="dxa"/>
            <w:gridSpan w:val="7"/>
            <w:vAlign w:val="center"/>
          </w:tcPr>
          <w:p w14:paraId="783B5A3F" w14:textId="77777777" w:rsidR="00C87E1E" w:rsidRPr="009F566E" w:rsidRDefault="00C87E1E" w:rsidP="00C87E1E">
            <w:pPr>
              <w:jc w:val="center"/>
              <w:rPr>
                <w:noProof/>
                <w:sz w:val="18"/>
              </w:rPr>
            </w:pPr>
            <w:r w:rsidRPr="009F566E">
              <w:rPr>
                <w:noProof/>
                <w:sz w:val="18"/>
              </w:rPr>
              <w:t>Auswirkungen des Vorschlags/der Initiative</w:t>
            </w:r>
            <w:r w:rsidRPr="009F566E">
              <w:rPr>
                <w:rStyle w:val="FootnoteReference"/>
                <w:noProof/>
              </w:rPr>
              <w:footnoteReference w:id="33"/>
            </w:r>
          </w:p>
        </w:tc>
      </w:tr>
      <w:tr w:rsidR="00C87E1E" w:rsidRPr="009F566E" w14:paraId="5E381809" w14:textId="77777777" w:rsidTr="00C87E1E">
        <w:trPr>
          <w:trHeight w:val="388"/>
        </w:trPr>
        <w:tc>
          <w:tcPr>
            <w:tcW w:w="2144" w:type="dxa"/>
            <w:vMerge/>
          </w:tcPr>
          <w:p w14:paraId="23512EF7" w14:textId="77777777" w:rsidR="00C87E1E" w:rsidRPr="009F566E" w:rsidRDefault="00C87E1E" w:rsidP="00C87E1E">
            <w:pPr>
              <w:spacing w:before="40" w:after="40"/>
              <w:rPr>
                <w:noProof/>
                <w:sz w:val="18"/>
                <w:lang w:eastAsia="en-GB"/>
              </w:rPr>
            </w:pPr>
          </w:p>
        </w:tc>
        <w:tc>
          <w:tcPr>
            <w:tcW w:w="1325" w:type="dxa"/>
            <w:vMerge/>
          </w:tcPr>
          <w:p w14:paraId="7C838B66" w14:textId="77777777" w:rsidR="00C87E1E" w:rsidRPr="009F566E" w:rsidRDefault="00C87E1E" w:rsidP="00C87E1E">
            <w:pPr>
              <w:spacing w:beforeLines="40" w:before="96" w:afterLines="40" w:after="96"/>
              <w:rPr>
                <w:i/>
                <w:noProof/>
                <w:sz w:val="18"/>
                <w:lang w:eastAsia="en-GB"/>
              </w:rPr>
            </w:pPr>
          </w:p>
        </w:tc>
        <w:tc>
          <w:tcPr>
            <w:tcW w:w="1031" w:type="dxa"/>
            <w:vAlign w:val="center"/>
          </w:tcPr>
          <w:p w14:paraId="5D87C7CE" w14:textId="77777777" w:rsidR="00C87E1E" w:rsidRPr="009F566E" w:rsidRDefault="00C87E1E" w:rsidP="00C87E1E">
            <w:pPr>
              <w:jc w:val="center"/>
              <w:rPr>
                <w:noProof/>
                <w:sz w:val="18"/>
              </w:rPr>
            </w:pPr>
            <w:r w:rsidRPr="009F566E">
              <w:rPr>
                <w:noProof/>
                <w:sz w:val="18"/>
              </w:rPr>
              <w:t>Jahr</w:t>
            </w:r>
            <w:r w:rsidRPr="009F566E">
              <w:rPr>
                <w:noProof/>
              </w:rPr>
              <w:t xml:space="preserve"> </w:t>
            </w:r>
            <w:r w:rsidRPr="009F566E">
              <w:rPr>
                <w:noProof/>
              </w:rPr>
              <w:br/>
            </w:r>
            <w:r w:rsidRPr="009F566E">
              <w:rPr>
                <w:b/>
                <w:noProof/>
                <w:sz w:val="18"/>
              </w:rPr>
              <w:t>N</w:t>
            </w:r>
          </w:p>
        </w:tc>
        <w:tc>
          <w:tcPr>
            <w:tcW w:w="900" w:type="dxa"/>
            <w:vAlign w:val="center"/>
          </w:tcPr>
          <w:p w14:paraId="3D091E80" w14:textId="77777777" w:rsidR="00C87E1E" w:rsidRPr="009F566E" w:rsidRDefault="00C87E1E" w:rsidP="00C87E1E">
            <w:pPr>
              <w:jc w:val="center"/>
              <w:rPr>
                <w:noProof/>
                <w:sz w:val="18"/>
              </w:rPr>
            </w:pPr>
            <w:r w:rsidRPr="009F566E">
              <w:rPr>
                <w:noProof/>
                <w:sz w:val="18"/>
              </w:rPr>
              <w:t>Jahr</w:t>
            </w:r>
            <w:r w:rsidRPr="009F566E">
              <w:rPr>
                <w:noProof/>
              </w:rPr>
              <w:t xml:space="preserve"> </w:t>
            </w:r>
            <w:r w:rsidRPr="009F566E">
              <w:rPr>
                <w:noProof/>
              </w:rPr>
              <w:br/>
            </w:r>
            <w:r w:rsidRPr="009F566E">
              <w:rPr>
                <w:b/>
                <w:noProof/>
                <w:sz w:val="18"/>
              </w:rPr>
              <w:t>N+</w:t>
            </w:r>
            <w:r w:rsidRPr="002C6368">
              <w:rPr>
                <w:b/>
                <w:noProof/>
                <w:sz w:val="18"/>
              </w:rPr>
              <w:t>1</w:t>
            </w:r>
          </w:p>
        </w:tc>
        <w:tc>
          <w:tcPr>
            <w:tcW w:w="900" w:type="dxa"/>
            <w:vAlign w:val="center"/>
          </w:tcPr>
          <w:p w14:paraId="21E3E739" w14:textId="77777777" w:rsidR="00C87E1E" w:rsidRPr="009F566E" w:rsidRDefault="00C87E1E" w:rsidP="00C87E1E">
            <w:pPr>
              <w:jc w:val="center"/>
              <w:rPr>
                <w:noProof/>
                <w:sz w:val="18"/>
              </w:rPr>
            </w:pPr>
            <w:r w:rsidRPr="009F566E">
              <w:rPr>
                <w:noProof/>
                <w:sz w:val="18"/>
              </w:rPr>
              <w:t>Jahr</w:t>
            </w:r>
            <w:r w:rsidRPr="009F566E">
              <w:rPr>
                <w:noProof/>
              </w:rPr>
              <w:t xml:space="preserve"> </w:t>
            </w:r>
            <w:r w:rsidRPr="009F566E">
              <w:rPr>
                <w:noProof/>
              </w:rPr>
              <w:br/>
            </w:r>
            <w:r w:rsidRPr="009F566E">
              <w:rPr>
                <w:b/>
                <w:noProof/>
                <w:sz w:val="18"/>
              </w:rPr>
              <w:t>N+</w:t>
            </w:r>
            <w:r w:rsidRPr="002C6368">
              <w:rPr>
                <w:b/>
                <w:noProof/>
                <w:sz w:val="18"/>
              </w:rPr>
              <w:t>2</w:t>
            </w:r>
          </w:p>
        </w:tc>
        <w:tc>
          <w:tcPr>
            <w:tcW w:w="1080" w:type="dxa"/>
            <w:vAlign w:val="center"/>
          </w:tcPr>
          <w:p w14:paraId="3F2A3D90" w14:textId="77777777" w:rsidR="00C87E1E" w:rsidRPr="009F566E" w:rsidRDefault="00C87E1E" w:rsidP="00C87E1E">
            <w:pPr>
              <w:jc w:val="center"/>
              <w:rPr>
                <w:noProof/>
                <w:sz w:val="18"/>
              </w:rPr>
            </w:pPr>
            <w:r w:rsidRPr="009F566E">
              <w:rPr>
                <w:noProof/>
                <w:sz w:val="18"/>
              </w:rPr>
              <w:t>Jahr</w:t>
            </w:r>
            <w:r w:rsidRPr="009F566E">
              <w:rPr>
                <w:noProof/>
              </w:rPr>
              <w:t xml:space="preserve"> </w:t>
            </w:r>
            <w:r w:rsidRPr="009F566E">
              <w:rPr>
                <w:noProof/>
              </w:rPr>
              <w:br/>
            </w:r>
            <w:r w:rsidRPr="009F566E">
              <w:rPr>
                <w:b/>
                <w:noProof/>
                <w:sz w:val="18"/>
              </w:rPr>
              <w:t>N+</w:t>
            </w:r>
            <w:r w:rsidRPr="002C6368">
              <w:rPr>
                <w:b/>
                <w:noProof/>
                <w:sz w:val="18"/>
              </w:rPr>
              <w:t>3</w:t>
            </w:r>
          </w:p>
        </w:tc>
        <w:tc>
          <w:tcPr>
            <w:tcW w:w="3240" w:type="dxa"/>
            <w:gridSpan w:val="3"/>
            <w:vAlign w:val="center"/>
          </w:tcPr>
          <w:p w14:paraId="52889E92" w14:textId="77777777" w:rsidR="00C87E1E" w:rsidRPr="009F566E" w:rsidRDefault="00C87E1E" w:rsidP="00C87E1E">
            <w:pPr>
              <w:jc w:val="center"/>
              <w:rPr>
                <w:b/>
                <w:noProof/>
                <w:sz w:val="18"/>
              </w:rPr>
            </w:pPr>
            <w:r w:rsidRPr="009F566E">
              <w:rPr>
                <w:noProof/>
                <w:sz w:val="18"/>
              </w:rPr>
              <w:t xml:space="preserve">Bei länger andauernden Auswirkungen (siehe </w:t>
            </w:r>
            <w:r w:rsidRPr="002C6368">
              <w:rPr>
                <w:noProof/>
                <w:sz w:val="18"/>
              </w:rPr>
              <w:t>1</w:t>
            </w:r>
            <w:r w:rsidRPr="009F566E">
              <w:rPr>
                <w:noProof/>
                <w:sz w:val="18"/>
              </w:rPr>
              <w:t>.</w:t>
            </w:r>
            <w:r w:rsidRPr="002C6368">
              <w:rPr>
                <w:noProof/>
                <w:sz w:val="18"/>
              </w:rPr>
              <w:t>6</w:t>
            </w:r>
            <w:r w:rsidRPr="009F566E">
              <w:rPr>
                <w:noProof/>
                <w:sz w:val="18"/>
              </w:rPr>
              <w:t>.) bitte weitere Spalten einfügen.</w:t>
            </w:r>
          </w:p>
        </w:tc>
      </w:tr>
      <w:tr w:rsidR="00C87E1E" w:rsidRPr="009F566E" w14:paraId="13CB5366" w14:textId="77777777" w:rsidTr="00C87E1E">
        <w:trPr>
          <w:trHeight w:val="388"/>
        </w:trPr>
        <w:tc>
          <w:tcPr>
            <w:tcW w:w="2144" w:type="dxa"/>
            <w:vAlign w:val="center"/>
          </w:tcPr>
          <w:p w14:paraId="28FEF8AC" w14:textId="77777777" w:rsidR="00C87E1E" w:rsidRPr="009F566E" w:rsidRDefault="00C87E1E" w:rsidP="00C87E1E">
            <w:pPr>
              <w:spacing w:before="40" w:after="40"/>
              <w:rPr>
                <w:noProof/>
                <w:sz w:val="18"/>
              </w:rPr>
            </w:pPr>
            <w:r w:rsidRPr="009F566E">
              <w:rPr>
                <w:noProof/>
                <w:sz w:val="18"/>
              </w:rPr>
              <w:t>Artikel ….</w:t>
            </w:r>
          </w:p>
        </w:tc>
        <w:tc>
          <w:tcPr>
            <w:tcW w:w="1325" w:type="dxa"/>
          </w:tcPr>
          <w:p w14:paraId="5896AB6F" w14:textId="77777777" w:rsidR="00C87E1E" w:rsidRPr="009F566E" w:rsidRDefault="00C87E1E" w:rsidP="00C87E1E">
            <w:pPr>
              <w:spacing w:beforeLines="40" w:before="96" w:afterLines="40" w:after="96"/>
              <w:jc w:val="center"/>
              <w:rPr>
                <w:i/>
                <w:noProof/>
                <w:sz w:val="18"/>
                <w:lang w:eastAsia="en-GB"/>
              </w:rPr>
            </w:pPr>
          </w:p>
        </w:tc>
        <w:tc>
          <w:tcPr>
            <w:tcW w:w="1031" w:type="dxa"/>
          </w:tcPr>
          <w:p w14:paraId="273BB012" w14:textId="77777777" w:rsidR="00C87E1E" w:rsidRPr="009F566E" w:rsidRDefault="00C87E1E" w:rsidP="00C87E1E">
            <w:pPr>
              <w:spacing w:beforeLines="40" w:before="96" w:afterLines="40" w:after="96"/>
              <w:jc w:val="center"/>
              <w:rPr>
                <w:noProof/>
                <w:sz w:val="18"/>
                <w:lang w:eastAsia="en-GB"/>
              </w:rPr>
            </w:pPr>
          </w:p>
        </w:tc>
        <w:tc>
          <w:tcPr>
            <w:tcW w:w="900" w:type="dxa"/>
          </w:tcPr>
          <w:p w14:paraId="37DE67D9" w14:textId="77777777" w:rsidR="00C87E1E" w:rsidRPr="009F566E" w:rsidRDefault="00C87E1E" w:rsidP="00C87E1E">
            <w:pPr>
              <w:spacing w:beforeLines="40" w:before="96" w:afterLines="40" w:after="96"/>
              <w:jc w:val="center"/>
              <w:rPr>
                <w:noProof/>
                <w:sz w:val="18"/>
                <w:lang w:eastAsia="en-GB"/>
              </w:rPr>
            </w:pPr>
          </w:p>
        </w:tc>
        <w:tc>
          <w:tcPr>
            <w:tcW w:w="900" w:type="dxa"/>
          </w:tcPr>
          <w:p w14:paraId="6A42CA58" w14:textId="77777777" w:rsidR="00C87E1E" w:rsidRPr="009F566E" w:rsidRDefault="00C87E1E" w:rsidP="00C87E1E">
            <w:pPr>
              <w:spacing w:beforeLines="40" w:before="96" w:afterLines="40" w:after="96"/>
              <w:jc w:val="center"/>
              <w:rPr>
                <w:noProof/>
                <w:sz w:val="18"/>
                <w:lang w:eastAsia="en-GB"/>
              </w:rPr>
            </w:pPr>
          </w:p>
        </w:tc>
        <w:tc>
          <w:tcPr>
            <w:tcW w:w="1080" w:type="dxa"/>
          </w:tcPr>
          <w:p w14:paraId="1F597BFF" w14:textId="77777777" w:rsidR="00C87E1E" w:rsidRPr="009F566E" w:rsidRDefault="00C87E1E" w:rsidP="00C87E1E">
            <w:pPr>
              <w:spacing w:beforeLines="40" w:before="96" w:afterLines="40" w:after="96"/>
              <w:jc w:val="center"/>
              <w:rPr>
                <w:noProof/>
                <w:sz w:val="18"/>
                <w:lang w:eastAsia="en-GB"/>
              </w:rPr>
            </w:pPr>
          </w:p>
        </w:tc>
        <w:tc>
          <w:tcPr>
            <w:tcW w:w="1080" w:type="dxa"/>
          </w:tcPr>
          <w:p w14:paraId="46F699F0" w14:textId="77777777" w:rsidR="00C87E1E" w:rsidRPr="009F566E" w:rsidRDefault="00C87E1E" w:rsidP="00C87E1E">
            <w:pPr>
              <w:spacing w:beforeLines="40" w:before="96" w:afterLines="40" w:after="96"/>
              <w:jc w:val="center"/>
              <w:rPr>
                <w:noProof/>
                <w:sz w:val="18"/>
                <w:lang w:eastAsia="en-GB"/>
              </w:rPr>
            </w:pPr>
          </w:p>
        </w:tc>
        <w:tc>
          <w:tcPr>
            <w:tcW w:w="1080" w:type="dxa"/>
          </w:tcPr>
          <w:p w14:paraId="7D7C5DC8" w14:textId="77777777" w:rsidR="00C87E1E" w:rsidRPr="009F566E" w:rsidRDefault="00C87E1E" w:rsidP="00C87E1E">
            <w:pPr>
              <w:spacing w:beforeLines="40" w:before="96" w:afterLines="40" w:after="96"/>
              <w:jc w:val="center"/>
              <w:rPr>
                <w:noProof/>
                <w:sz w:val="18"/>
                <w:lang w:eastAsia="en-GB"/>
              </w:rPr>
            </w:pPr>
          </w:p>
        </w:tc>
        <w:tc>
          <w:tcPr>
            <w:tcW w:w="1080" w:type="dxa"/>
          </w:tcPr>
          <w:p w14:paraId="2726BA71" w14:textId="77777777" w:rsidR="00C87E1E" w:rsidRPr="009F566E" w:rsidRDefault="00C87E1E" w:rsidP="00C87E1E">
            <w:pPr>
              <w:spacing w:beforeLines="40" w:before="96" w:afterLines="40" w:after="96"/>
              <w:jc w:val="center"/>
              <w:rPr>
                <w:noProof/>
                <w:sz w:val="18"/>
                <w:lang w:eastAsia="en-GB"/>
              </w:rPr>
            </w:pPr>
          </w:p>
        </w:tc>
      </w:tr>
    </w:tbl>
    <w:p w14:paraId="7A4B3B6E" w14:textId="77777777" w:rsidR="00C87E1E" w:rsidRPr="009F566E" w:rsidRDefault="00C87E1E" w:rsidP="00FB18F4">
      <w:pPr>
        <w:rPr>
          <w:noProof/>
          <w:sz w:val="20"/>
        </w:rPr>
      </w:pPr>
      <w:r w:rsidRPr="009F566E">
        <w:rPr>
          <w:noProof/>
          <w:sz w:val="20"/>
        </w:rPr>
        <w:t>Bitte geben Sie für die sonstigen zweckgebundenen Einnahmen die betreffende(n) Ausgabenlinie(n) im Haushaltsplan an.</w:t>
      </w:r>
    </w:p>
    <w:p w14:paraId="3333E0D3" w14:textId="77777777" w:rsidR="00C87E1E" w:rsidRPr="009F566E" w:rsidRDefault="00C87E1E" w:rsidP="00FB18F4">
      <w:pPr>
        <w:pBdr>
          <w:top w:val="single" w:sz="4" w:space="1" w:color="auto"/>
          <w:left w:val="single" w:sz="4" w:space="4" w:color="auto"/>
          <w:bottom w:val="single" w:sz="4" w:space="1" w:color="auto"/>
          <w:right w:val="single" w:sz="4" w:space="4" w:color="auto"/>
        </w:pBdr>
        <w:rPr>
          <w:noProof/>
        </w:rPr>
      </w:pPr>
      <w:r w:rsidRPr="009F566E">
        <w:rPr>
          <w:noProof/>
          <w:color w:val="0000FF"/>
        </w:rPr>
        <w:t>[…]</w:t>
      </w:r>
    </w:p>
    <w:p w14:paraId="6844CDD9" w14:textId="77777777" w:rsidR="00C87E1E" w:rsidRPr="009F566E" w:rsidRDefault="00C87E1E" w:rsidP="00FB18F4">
      <w:pPr>
        <w:rPr>
          <w:noProof/>
          <w:sz w:val="20"/>
        </w:rPr>
      </w:pPr>
      <w:r w:rsidRPr="009F566E">
        <w:rPr>
          <w:noProof/>
          <w:sz w:val="20"/>
        </w:rPr>
        <w:t>Sonstige Anmerkungen (bei der Ermittlung der Auswirkungen auf die Einnahmen verwendete Methode/Formel oder weitere Informationen).</w:t>
      </w:r>
    </w:p>
    <w:p w14:paraId="3299FDD0" w14:textId="77777777" w:rsidR="00C1332E" w:rsidRPr="009F566E" w:rsidRDefault="00C87E1E" w:rsidP="004B3EAF">
      <w:pPr>
        <w:pBdr>
          <w:top w:val="single" w:sz="4" w:space="1" w:color="auto"/>
          <w:left w:val="single" w:sz="4" w:space="4" w:color="auto"/>
          <w:bottom w:val="single" w:sz="4" w:space="1" w:color="auto"/>
          <w:right w:val="single" w:sz="4" w:space="4" w:color="auto"/>
        </w:pBdr>
        <w:rPr>
          <w:noProof/>
        </w:rPr>
      </w:pPr>
      <w:r w:rsidRPr="009F566E">
        <w:rPr>
          <w:noProof/>
          <w:color w:val="0000FF"/>
        </w:rPr>
        <w:t>[…]</w:t>
      </w:r>
    </w:p>
    <w:sectPr w:rsidR="00C1332E" w:rsidRPr="009F566E" w:rsidSect="001E183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F63A1" w14:textId="77777777" w:rsidR="0025216A" w:rsidRDefault="0025216A">
      <w:pPr>
        <w:spacing w:before="0" w:after="0"/>
      </w:pPr>
      <w:r>
        <w:separator/>
      </w:r>
    </w:p>
  </w:endnote>
  <w:endnote w:type="continuationSeparator" w:id="0">
    <w:p w14:paraId="7F6B33A6" w14:textId="77777777" w:rsidR="0025216A" w:rsidRDefault="0025216A">
      <w:pPr>
        <w:spacing w:before="0" w:after="0"/>
      </w:pPr>
      <w:r>
        <w:continuationSeparator/>
      </w:r>
    </w:p>
  </w:endnote>
  <w:endnote w:type="continuationNotice" w:id="1">
    <w:p w14:paraId="53694E48" w14:textId="77777777" w:rsidR="0025216A" w:rsidRDefault="002521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29D0" w14:textId="5122A9E4" w:rsidR="002C6368" w:rsidRPr="001E1836" w:rsidRDefault="001E1836" w:rsidP="001E1836">
    <w:pPr>
      <w:pStyle w:val="Footer"/>
      <w:rPr>
        <w:rFonts w:ascii="Arial" w:hAnsi="Arial" w:cs="Arial"/>
        <w:b/>
        <w:sz w:val="48"/>
      </w:rPr>
    </w:pPr>
    <w:r w:rsidRPr="001E1836">
      <w:rPr>
        <w:rFonts w:ascii="Arial" w:hAnsi="Arial" w:cs="Arial"/>
        <w:b/>
        <w:sz w:val="48"/>
      </w:rPr>
      <w:t>DE</w:t>
    </w:r>
    <w:r w:rsidRPr="001E1836">
      <w:rPr>
        <w:rFonts w:ascii="Arial" w:hAnsi="Arial" w:cs="Arial"/>
        <w:b/>
        <w:sz w:val="48"/>
      </w:rPr>
      <w:tab/>
    </w:r>
    <w:r w:rsidRPr="001E1836">
      <w:rPr>
        <w:rFonts w:ascii="Arial" w:hAnsi="Arial" w:cs="Arial"/>
        <w:b/>
        <w:sz w:val="48"/>
      </w:rPr>
      <w:tab/>
    </w:r>
    <w:r w:rsidRPr="001E1836">
      <w:tab/>
    </w:r>
    <w:r w:rsidRPr="001E1836">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0EDA7" w14:textId="30CC9235" w:rsidR="001E1836" w:rsidRPr="001E1836" w:rsidRDefault="001E1836" w:rsidP="001E1836">
    <w:pPr>
      <w:pStyle w:val="Footer"/>
      <w:rPr>
        <w:rFonts w:ascii="Arial" w:hAnsi="Arial" w:cs="Arial"/>
        <w:b/>
        <w:sz w:val="48"/>
      </w:rPr>
    </w:pPr>
    <w:r w:rsidRPr="001E1836">
      <w:rPr>
        <w:rFonts w:ascii="Arial" w:hAnsi="Arial" w:cs="Arial"/>
        <w:b/>
        <w:sz w:val="48"/>
      </w:rPr>
      <w:t>DE</w:t>
    </w:r>
    <w:r w:rsidRPr="001E1836">
      <w:rPr>
        <w:rFonts w:ascii="Arial" w:hAnsi="Arial" w:cs="Arial"/>
        <w:b/>
        <w:sz w:val="48"/>
      </w:rPr>
      <w:tab/>
    </w:r>
    <w:r>
      <w:fldChar w:fldCharType="begin"/>
    </w:r>
    <w:r>
      <w:instrText xml:space="preserve"> PAGE  \* MERGEFORMAT </w:instrText>
    </w:r>
    <w:r>
      <w:fldChar w:fldCharType="separate"/>
    </w:r>
    <w:r w:rsidR="003D5627">
      <w:rPr>
        <w:noProof/>
      </w:rPr>
      <w:t>18</w:t>
    </w:r>
    <w:r>
      <w:fldChar w:fldCharType="end"/>
    </w:r>
    <w:r>
      <w:tab/>
    </w:r>
    <w:r w:rsidRPr="001E1836">
      <w:tab/>
    </w:r>
    <w:r w:rsidRPr="001E1836">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E1EE" w14:textId="77777777" w:rsidR="001E1836" w:rsidRPr="001E1836" w:rsidRDefault="001E1836" w:rsidP="001E18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886F" w14:textId="09F128E8" w:rsidR="001E1836" w:rsidRPr="001E1836" w:rsidRDefault="001E1836" w:rsidP="001E1836">
    <w:pPr>
      <w:pStyle w:val="FooterLandscape"/>
      <w:rPr>
        <w:rFonts w:ascii="Arial" w:hAnsi="Arial" w:cs="Arial"/>
        <w:b/>
        <w:sz w:val="48"/>
      </w:rPr>
    </w:pPr>
    <w:r w:rsidRPr="001E1836">
      <w:rPr>
        <w:rFonts w:ascii="Arial" w:hAnsi="Arial" w:cs="Arial"/>
        <w:b/>
        <w:sz w:val="48"/>
      </w:rPr>
      <w:t>DE</w:t>
    </w:r>
    <w:r w:rsidRPr="001E183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E1836">
      <w:tab/>
    </w:r>
    <w:r w:rsidRPr="001E1836">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B95BA" w14:textId="77777777" w:rsidR="001E1836" w:rsidRPr="001E1836" w:rsidRDefault="001E1836" w:rsidP="001E1836">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7687" w14:textId="711B23F5" w:rsidR="0025216A" w:rsidRPr="001E1836" w:rsidRDefault="001E1836" w:rsidP="001E1836">
    <w:pPr>
      <w:pStyle w:val="Footer"/>
      <w:rPr>
        <w:rFonts w:ascii="Arial" w:hAnsi="Arial" w:cs="Arial"/>
        <w:b/>
        <w:sz w:val="48"/>
      </w:rPr>
    </w:pPr>
    <w:r w:rsidRPr="001E1836">
      <w:rPr>
        <w:rFonts w:ascii="Arial" w:hAnsi="Arial" w:cs="Arial"/>
        <w:b/>
        <w:sz w:val="48"/>
      </w:rPr>
      <w:t>DE</w:t>
    </w:r>
    <w:r w:rsidRPr="001E183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E1836">
      <w:tab/>
    </w:r>
    <w:r w:rsidRPr="001E1836">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B8B7" w14:textId="77777777" w:rsidR="001E1836" w:rsidRPr="001E1836" w:rsidRDefault="001E1836" w:rsidP="001E1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6D3DD" w14:textId="77777777" w:rsidR="0025216A" w:rsidRDefault="0025216A">
      <w:pPr>
        <w:spacing w:before="0" w:after="0"/>
      </w:pPr>
      <w:r>
        <w:separator/>
      </w:r>
    </w:p>
  </w:footnote>
  <w:footnote w:type="continuationSeparator" w:id="0">
    <w:p w14:paraId="47B04C87" w14:textId="77777777" w:rsidR="0025216A" w:rsidRDefault="0025216A">
      <w:pPr>
        <w:spacing w:before="0" w:after="0"/>
      </w:pPr>
      <w:r>
        <w:continuationSeparator/>
      </w:r>
    </w:p>
  </w:footnote>
  <w:footnote w:type="continuationNotice" w:id="1">
    <w:p w14:paraId="032031E2" w14:textId="77777777" w:rsidR="0025216A" w:rsidRDefault="0025216A">
      <w:pPr>
        <w:spacing w:before="0" w:after="0"/>
      </w:pPr>
    </w:p>
  </w:footnote>
  <w:footnote w:id="2">
    <w:p w14:paraId="3A27C33F" w14:textId="7E283EA4" w:rsidR="0025216A" w:rsidRPr="009F566E" w:rsidRDefault="0025216A" w:rsidP="002D130D">
      <w:pPr>
        <w:pStyle w:val="FootnoteText"/>
      </w:pPr>
      <w:r>
        <w:rPr>
          <w:rStyle w:val="FootnoteReference"/>
        </w:rPr>
        <w:footnoteRef/>
      </w:r>
      <w:r>
        <w:tab/>
        <w:t xml:space="preserve">Durchführungsbeschluss (EU) </w:t>
      </w:r>
      <w:r w:rsidRPr="002C6368">
        <w:t>2022</w:t>
      </w:r>
      <w:r>
        <w:t>/</w:t>
      </w:r>
      <w:r w:rsidRPr="002C6368">
        <w:t>382</w:t>
      </w:r>
      <w:r>
        <w:t xml:space="preserve"> des Rates vom </w:t>
      </w:r>
      <w:r w:rsidRPr="002C6368">
        <w:t>4</w:t>
      </w:r>
      <w:r>
        <w:t>. </w:t>
      </w:r>
      <w:r w:rsidRPr="009F566E">
        <w:t xml:space="preserve">März </w:t>
      </w:r>
      <w:r w:rsidRPr="002C6368">
        <w:t>2022</w:t>
      </w:r>
      <w:r w:rsidRPr="009F566E">
        <w:t xml:space="preserve"> zur Feststellung des Bestehens eines Massenzustroms von Vertriebenen aus der Ukraine im Sinne des Artikels </w:t>
      </w:r>
      <w:r w:rsidRPr="002C6368">
        <w:t>5</w:t>
      </w:r>
      <w:r w:rsidRPr="009F566E">
        <w:t xml:space="preserve"> der Richtlinie </w:t>
      </w:r>
      <w:r w:rsidRPr="002C6368">
        <w:t>2001</w:t>
      </w:r>
      <w:r w:rsidRPr="009F566E">
        <w:t>/</w:t>
      </w:r>
      <w:r w:rsidRPr="002C6368">
        <w:t>55</w:t>
      </w:r>
      <w:r w:rsidRPr="009F566E">
        <w:t>/EG und zur Einführung eines vorübergehenden Schutzes (ABl. L </w:t>
      </w:r>
      <w:r w:rsidRPr="002C6368">
        <w:t>71</w:t>
      </w:r>
      <w:r w:rsidRPr="009F566E">
        <w:t xml:space="preserve"> vom </w:t>
      </w:r>
      <w:r w:rsidRPr="002C6368">
        <w:t>4</w:t>
      </w:r>
      <w:r w:rsidRPr="009F566E">
        <w:t>.</w:t>
      </w:r>
      <w:r w:rsidRPr="002C6368">
        <w:t>3</w:t>
      </w:r>
      <w:r w:rsidRPr="009F566E">
        <w:t>.</w:t>
      </w:r>
      <w:r w:rsidRPr="002C6368">
        <w:t>2022</w:t>
      </w:r>
      <w:r w:rsidRPr="009F566E">
        <w:t>, S. </w:t>
      </w:r>
      <w:r w:rsidRPr="002C6368">
        <w:t>1</w:t>
      </w:r>
      <w:r w:rsidRPr="009F566E">
        <w:t>).</w:t>
      </w:r>
    </w:p>
  </w:footnote>
  <w:footnote w:id="3">
    <w:p w14:paraId="227A0C60" w14:textId="77777777" w:rsidR="0025216A" w:rsidRPr="009F566E" w:rsidRDefault="0025216A" w:rsidP="002D130D">
      <w:pPr>
        <w:pStyle w:val="FootnoteText"/>
      </w:pPr>
      <w:r>
        <w:rPr>
          <w:rStyle w:val="FootnoteReference"/>
        </w:rPr>
        <w:footnoteRef/>
      </w:r>
      <w:r w:rsidRPr="009F566E">
        <w:tab/>
        <w:t xml:space="preserve">Richtlinie </w:t>
      </w:r>
      <w:r w:rsidRPr="002C6368">
        <w:t>2001</w:t>
      </w:r>
      <w:r w:rsidRPr="009F566E">
        <w:t>/</w:t>
      </w:r>
      <w:r w:rsidRPr="002C6368">
        <w:t>55</w:t>
      </w:r>
      <w:r w:rsidRPr="009F566E">
        <w:t xml:space="preserve">/EG des Rates vom </w:t>
      </w:r>
      <w:r w:rsidRPr="002C6368">
        <w:t>20</w:t>
      </w:r>
      <w:r w:rsidRPr="009F566E">
        <w:t xml:space="preserve">. Juli </w:t>
      </w:r>
      <w:r w:rsidRPr="002C6368">
        <w:t>2001</w:t>
      </w:r>
      <w:r w:rsidRPr="009F566E">
        <w:t xml:space="preserve"> über Mindestnormen für die Gewährung vorübergehenden Schutzes im Falle eines Massenzustroms von Vertriebenen und Maßnahmen zur Förderung einer ausgewogenen Verteilung der Belastungen, die mit der Aufnahme dieser Personen und den Folgen dieser Aufnahme verbunden sind, auf die Mitgliedstaaten (ABl. L </w:t>
      </w:r>
      <w:r w:rsidRPr="002C6368">
        <w:t>212</w:t>
      </w:r>
      <w:r w:rsidRPr="009F566E">
        <w:t xml:space="preserve"> vom </w:t>
      </w:r>
      <w:r w:rsidRPr="002C6368">
        <w:t>7</w:t>
      </w:r>
      <w:r w:rsidRPr="009F566E">
        <w:t>.</w:t>
      </w:r>
      <w:r w:rsidRPr="002C6368">
        <w:t>8</w:t>
      </w:r>
      <w:r w:rsidRPr="009F566E">
        <w:t>.</w:t>
      </w:r>
      <w:r w:rsidRPr="002C6368">
        <w:t>2001</w:t>
      </w:r>
      <w:r w:rsidRPr="009F566E">
        <w:t>, S. </w:t>
      </w:r>
      <w:r w:rsidRPr="002C6368">
        <w:t>12</w:t>
      </w:r>
      <w:r w:rsidRPr="009F566E">
        <w:t>).</w:t>
      </w:r>
    </w:p>
  </w:footnote>
  <w:footnote w:id="4">
    <w:p w14:paraId="3C3151AE" w14:textId="5D8D98EE" w:rsidR="0025216A" w:rsidRPr="009F566E" w:rsidRDefault="0025216A">
      <w:pPr>
        <w:pStyle w:val="FootnoteText"/>
      </w:pPr>
      <w:r>
        <w:rPr>
          <w:rStyle w:val="FootnoteReference"/>
        </w:rPr>
        <w:footnoteRef/>
      </w:r>
      <w:r w:rsidRPr="009F566E">
        <w:tab/>
        <w:t xml:space="preserve">Verordnung (EU) </w:t>
      </w:r>
      <w:r w:rsidRPr="002C6368">
        <w:t>2022</w:t>
      </w:r>
      <w:r w:rsidRPr="009F566E">
        <w:t>/</w:t>
      </w:r>
      <w:r w:rsidRPr="002C6368">
        <w:t>562</w:t>
      </w:r>
      <w:r w:rsidRPr="009F566E">
        <w:t xml:space="preserve"> des Europäischen Parlaments und des Rates vom </w:t>
      </w:r>
      <w:r w:rsidRPr="002C6368">
        <w:t>6</w:t>
      </w:r>
      <w:r w:rsidRPr="009F566E">
        <w:t xml:space="preserve">. April </w:t>
      </w:r>
      <w:r w:rsidRPr="002C6368">
        <w:t>2022</w:t>
      </w:r>
      <w:r w:rsidRPr="009F566E">
        <w:t xml:space="preserve"> zur Änderung der Verordnungen (EU) Nr. </w:t>
      </w:r>
      <w:r w:rsidRPr="002C6368">
        <w:t>1303</w:t>
      </w:r>
      <w:r w:rsidRPr="009F566E">
        <w:t>/</w:t>
      </w:r>
      <w:r w:rsidRPr="002C6368">
        <w:t>2013</w:t>
      </w:r>
      <w:r w:rsidRPr="009F566E">
        <w:t xml:space="preserve"> und (EU) Nr. </w:t>
      </w:r>
      <w:r w:rsidRPr="002C6368">
        <w:t>223</w:t>
      </w:r>
      <w:r w:rsidRPr="009F566E">
        <w:t>/</w:t>
      </w:r>
      <w:r w:rsidRPr="002C6368">
        <w:t>2014</w:t>
      </w:r>
      <w:r w:rsidRPr="009F566E">
        <w:t xml:space="preserve"> in Bezug auf den Einsatz von Kohäsionsmitteln zugunsten von Flüchtlingen in Europa (CARE) (ABl. L </w:t>
      </w:r>
      <w:r w:rsidRPr="002C6368">
        <w:t>109</w:t>
      </w:r>
      <w:r w:rsidRPr="009F566E">
        <w:t xml:space="preserve"> vom </w:t>
      </w:r>
      <w:r w:rsidRPr="002C6368">
        <w:t>8</w:t>
      </w:r>
      <w:r w:rsidRPr="009F566E">
        <w:t>.</w:t>
      </w:r>
      <w:r w:rsidRPr="002C6368">
        <w:t>4</w:t>
      </w:r>
      <w:r w:rsidRPr="009F566E">
        <w:t>.</w:t>
      </w:r>
      <w:r w:rsidRPr="002C6368">
        <w:t>2022</w:t>
      </w:r>
      <w:r w:rsidRPr="009F566E">
        <w:t>, S. </w:t>
      </w:r>
      <w:r w:rsidRPr="002C6368">
        <w:t>1</w:t>
      </w:r>
      <w:r w:rsidRPr="009F566E">
        <w:t>).</w:t>
      </w:r>
    </w:p>
  </w:footnote>
  <w:footnote w:id="5">
    <w:p w14:paraId="1A017714" w14:textId="77777777" w:rsidR="0025216A" w:rsidRPr="009F566E" w:rsidRDefault="0025216A">
      <w:pPr>
        <w:pStyle w:val="FootnoteText"/>
      </w:pPr>
      <w:r>
        <w:rPr>
          <w:rStyle w:val="FootnoteReference"/>
        </w:rPr>
        <w:footnoteRef/>
      </w:r>
      <w:r w:rsidRPr="009F566E">
        <w:tab/>
        <w:t>ABl. C … vom …, S. ….</w:t>
      </w:r>
    </w:p>
  </w:footnote>
  <w:footnote w:id="6">
    <w:p w14:paraId="4541EA72" w14:textId="77777777" w:rsidR="0025216A" w:rsidRPr="009F566E" w:rsidRDefault="0025216A">
      <w:pPr>
        <w:pStyle w:val="FootnoteText"/>
      </w:pPr>
      <w:r>
        <w:rPr>
          <w:rStyle w:val="FootnoteReference"/>
        </w:rPr>
        <w:footnoteRef/>
      </w:r>
      <w:r w:rsidRPr="009F566E">
        <w:tab/>
        <w:t>ABl. C … vom …, S. ….</w:t>
      </w:r>
    </w:p>
  </w:footnote>
  <w:footnote w:id="7">
    <w:p w14:paraId="0CCBE964" w14:textId="77777777" w:rsidR="0025216A" w:rsidRPr="009F566E" w:rsidRDefault="0025216A" w:rsidP="0011607E">
      <w:pPr>
        <w:pStyle w:val="FootnoteText"/>
      </w:pPr>
      <w:r>
        <w:rPr>
          <w:rStyle w:val="FootnoteReference"/>
        </w:rPr>
        <w:footnoteRef/>
      </w:r>
      <w:r w:rsidRPr="009F566E">
        <w:tab/>
        <w:t>Verordnung (EU, Euratom) </w:t>
      </w:r>
      <w:r w:rsidRPr="002C6368">
        <w:t>2020</w:t>
      </w:r>
      <w:r w:rsidRPr="009F566E">
        <w:t>/</w:t>
      </w:r>
      <w:r w:rsidRPr="002C6368">
        <w:t>2093</w:t>
      </w:r>
      <w:r w:rsidRPr="009F566E">
        <w:t xml:space="preserve"> des Rates vom </w:t>
      </w:r>
      <w:r w:rsidRPr="002C6368">
        <w:t>17</w:t>
      </w:r>
      <w:r w:rsidRPr="009F566E">
        <w:t xml:space="preserve">. Dezember </w:t>
      </w:r>
      <w:r w:rsidRPr="002C6368">
        <w:t>2020</w:t>
      </w:r>
      <w:r w:rsidRPr="009F566E">
        <w:t xml:space="preserve"> zur Festlegung des mehrjährigen Finanzrahmens für die Jahre </w:t>
      </w:r>
      <w:r w:rsidRPr="002C6368">
        <w:t>2021</w:t>
      </w:r>
      <w:r w:rsidRPr="009F566E">
        <w:t xml:space="preserve"> bis </w:t>
      </w:r>
      <w:r w:rsidRPr="002C6368">
        <w:t>2027</w:t>
      </w:r>
      <w:r w:rsidRPr="009F566E">
        <w:t xml:space="preserve"> (ABl. L </w:t>
      </w:r>
      <w:r w:rsidRPr="002C6368">
        <w:t>433</w:t>
      </w:r>
      <w:r w:rsidRPr="009F566E">
        <w:t xml:space="preserve">I vom </w:t>
      </w:r>
      <w:r w:rsidRPr="002C6368">
        <w:t>22</w:t>
      </w:r>
      <w:r w:rsidRPr="009F566E">
        <w:t>.</w:t>
      </w:r>
      <w:r w:rsidRPr="002C6368">
        <w:t>12</w:t>
      </w:r>
      <w:r w:rsidRPr="009F566E">
        <w:t>.</w:t>
      </w:r>
      <w:r w:rsidRPr="002C6368">
        <w:t>2020</w:t>
      </w:r>
      <w:r w:rsidRPr="009F566E">
        <w:t>, S. </w:t>
      </w:r>
      <w:r w:rsidRPr="002C6368">
        <w:t>11</w:t>
      </w:r>
      <w:r w:rsidRPr="009F566E">
        <w:t>).</w:t>
      </w:r>
    </w:p>
  </w:footnote>
  <w:footnote w:id="8">
    <w:p w14:paraId="6461B69B" w14:textId="46FD0582" w:rsidR="0025216A" w:rsidRPr="009F566E" w:rsidRDefault="0025216A">
      <w:pPr>
        <w:pStyle w:val="FootnoteText"/>
      </w:pPr>
      <w:r>
        <w:rPr>
          <w:rStyle w:val="FootnoteReference"/>
        </w:rPr>
        <w:footnoteRef/>
      </w:r>
      <w:r w:rsidRPr="009F566E">
        <w:tab/>
        <w:t xml:space="preserve">Verordnung (EU) </w:t>
      </w:r>
      <w:r w:rsidRPr="002C6368">
        <w:t>2022</w:t>
      </w:r>
      <w:r w:rsidRPr="009F566E">
        <w:t>/</w:t>
      </w:r>
      <w:r w:rsidRPr="002C6368">
        <w:t>562</w:t>
      </w:r>
      <w:r w:rsidRPr="009F566E">
        <w:t xml:space="preserve"> des Europäischen Parlaments und des Rates vom </w:t>
      </w:r>
      <w:r w:rsidRPr="002C6368">
        <w:t>6</w:t>
      </w:r>
      <w:r w:rsidRPr="009F566E">
        <w:t xml:space="preserve">. April </w:t>
      </w:r>
      <w:r w:rsidRPr="002C6368">
        <w:t>2022</w:t>
      </w:r>
      <w:r w:rsidRPr="009F566E">
        <w:t xml:space="preserve"> zur Änderung der Verordnungen (EU) Nr. </w:t>
      </w:r>
      <w:r w:rsidRPr="002C6368">
        <w:t>1303</w:t>
      </w:r>
      <w:r w:rsidRPr="009F566E">
        <w:t>/</w:t>
      </w:r>
      <w:r w:rsidRPr="002C6368">
        <w:t>2013</w:t>
      </w:r>
      <w:r w:rsidRPr="009F566E">
        <w:t xml:space="preserve"> und (EU) Nr. </w:t>
      </w:r>
      <w:r w:rsidRPr="002C6368">
        <w:t>223</w:t>
      </w:r>
      <w:r w:rsidRPr="009F566E">
        <w:t>/</w:t>
      </w:r>
      <w:r w:rsidRPr="002C6368">
        <w:t>2014</w:t>
      </w:r>
      <w:r w:rsidRPr="009F566E">
        <w:t xml:space="preserve"> in Bezug auf den Einsatz von Kohäsionsmitteln zugunsten von Flüchtlingen in Europa (CARE) (ABl. L </w:t>
      </w:r>
      <w:r w:rsidRPr="002C6368">
        <w:t>109</w:t>
      </w:r>
      <w:r w:rsidRPr="009F566E">
        <w:t xml:space="preserve"> vom </w:t>
      </w:r>
      <w:r w:rsidRPr="002C6368">
        <w:t>8</w:t>
      </w:r>
      <w:r w:rsidRPr="009F566E">
        <w:t>.</w:t>
      </w:r>
      <w:r w:rsidRPr="002C6368">
        <w:t>4</w:t>
      </w:r>
      <w:r w:rsidRPr="009F566E">
        <w:t>.</w:t>
      </w:r>
      <w:r w:rsidRPr="002C6368">
        <w:t>2022</w:t>
      </w:r>
      <w:r w:rsidRPr="009F566E">
        <w:t>, S. </w:t>
      </w:r>
      <w:r w:rsidRPr="002C6368">
        <w:t>1</w:t>
      </w:r>
      <w:r w:rsidRPr="009F566E">
        <w:t>).</w:t>
      </w:r>
    </w:p>
  </w:footnote>
  <w:footnote w:id="9">
    <w:p w14:paraId="7CAF8763" w14:textId="77777777" w:rsidR="0025216A" w:rsidRPr="009F566E" w:rsidRDefault="0025216A" w:rsidP="0011607E">
      <w:pPr>
        <w:pStyle w:val="FootnoteText"/>
      </w:pPr>
      <w:r>
        <w:rPr>
          <w:rStyle w:val="FootnoteReference"/>
        </w:rPr>
        <w:footnoteRef/>
      </w:r>
      <w:r w:rsidRPr="009F566E">
        <w:tab/>
        <w:t>Verordnung (EU) Nr. </w:t>
      </w:r>
      <w:r w:rsidRPr="002C6368">
        <w:t>1303</w:t>
      </w:r>
      <w:r w:rsidRPr="009F566E">
        <w:t>/</w:t>
      </w:r>
      <w:r w:rsidRPr="002C6368">
        <w:t>2013</w:t>
      </w:r>
      <w:r w:rsidRPr="009F566E">
        <w:t xml:space="preserve"> des Europäischen Parlaments und des Rates vom </w:t>
      </w:r>
      <w:r w:rsidRPr="002C6368">
        <w:t>17</w:t>
      </w:r>
      <w:r w:rsidRPr="009F566E">
        <w:t xml:space="preserve">. Dezember </w:t>
      </w:r>
      <w:r w:rsidRPr="002C6368">
        <w:t>2013</w:t>
      </w:r>
      <w:r w:rsidRPr="009F566E">
        <w:t xml:space="preserve">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w:t>
      </w:r>
      <w:r w:rsidRPr="002C6368">
        <w:t>1083</w:t>
      </w:r>
      <w:r w:rsidRPr="009F566E">
        <w:t>/</w:t>
      </w:r>
      <w:r w:rsidRPr="002C6368">
        <w:t>2006</w:t>
      </w:r>
      <w:r w:rsidRPr="009F566E">
        <w:t xml:space="preserve"> des Rates (ABl. L </w:t>
      </w:r>
      <w:r w:rsidRPr="002C6368">
        <w:t>347</w:t>
      </w:r>
      <w:r w:rsidRPr="009F566E">
        <w:t xml:space="preserve"> vom </w:t>
      </w:r>
      <w:r w:rsidRPr="002C6368">
        <w:t>20</w:t>
      </w:r>
      <w:r w:rsidRPr="009F566E">
        <w:t>.</w:t>
      </w:r>
      <w:r w:rsidRPr="002C6368">
        <w:t>12</w:t>
      </w:r>
      <w:r w:rsidRPr="009F566E">
        <w:t>.</w:t>
      </w:r>
      <w:r w:rsidRPr="002C6368">
        <w:t>2013</w:t>
      </w:r>
      <w:r w:rsidRPr="009F566E">
        <w:t>, S. </w:t>
      </w:r>
      <w:r w:rsidRPr="002C6368">
        <w:t>320</w:t>
      </w:r>
      <w:r w:rsidRPr="009F566E">
        <w:t>).</w:t>
      </w:r>
    </w:p>
  </w:footnote>
  <w:footnote w:id="10">
    <w:p w14:paraId="74E9D494" w14:textId="77777777" w:rsidR="0025216A" w:rsidRPr="009F566E" w:rsidRDefault="0025216A" w:rsidP="0011607E">
      <w:pPr>
        <w:pStyle w:val="FootnoteText"/>
      </w:pPr>
      <w:r>
        <w:rPr>
          <w:rStyle w:val="FootnoteReference"/>
        </w:rPr>
        <w:footnoteRef/>
      </w:r>
      <w:r w:rsidRPr="009F566E">
        <w:tab/>
        <w:t>Verordnung (EU) Nr. </w:t>
      </w:r>
      <w:r w:rsidRPr="002C6368">
        <w:t>223</w:t>
      </w:r>
      <w:r w:rsidRPr="009F566E">
        <w:t>/</w:t>
      </w:r>
      <w:r w:rsidRPr="002C6368">
        <w:t>2014</w:t>
      </w:r>
      <w:r w:rsidRPr="009F566E">
        <w:t xml:space="preserve"> des Europäischen Parlaments und des Rates vom </w:t>
      </w:r>
      <w:r w:rsidRPr="002C6368">
        <w:t>11</w:t>
      </w:r>
      <w:r w:rsidRPr="009F566E">
        <w:t xml:space="preserve">. März </w:t>
      </w:r>
      <w:r w:rsidRPr="002C6368">
        <w:t>2014</w:t>
      </w:r>
      <w:r w:rsidRPr="009F566E">
        <w:t xml:space="preserve"> zum Europäischen Hilfsfonds für die am stärksten benachteiligten Personen (ABl. L </w:t>
      </w:r>
      <w:r w:rsidRPr="002C6368">
        <w:t>72</w:t>
      </w:r>
      <w:r w:rsidRPr="009F566E">
        <w:t xml:space="preserve"> vom </w:t>
      </w:r>
      <w:r w:rsidRPr="002C6368">
        <w:t>12</w:t>
      </w:r>
      <w:r w:rsidRPr="009F566E">
        <w:t>.</w:t>
      </w:r>
      <w:r w:rsidRPr="002C6368">
        <w:t>3</w:t>
      </w:r>
      <w:r w:rsidRPr="009F566E">
        <w:t>.</w:t>
      </w:r>
      <w:r w:rsidRPr="002C6368">
        <w:t>2014</w:t>
      </w:r>
      <w:r w:rsidRPr="009F566E">
        <w:t>, S. </w:t>
      </w:r>
      <w:r w:rsidRPr="002C6368">
        <w:t>1</w:t>
      </w:r>
      <w:r w:rsidRPr="009F566E">
        <w:t>).</w:t>
      </w:r>
    </w:p>
  </w:footnote>
  <w:footnote w:id="11">
    <w:p w14:paraId="23CE5C80" w14:textId="4BC2600E" w:rsidR="0025216A" w:rsidRPr="009F566E" w:rsidRDefault="0025216A">
      <w:pPr>
        <w:pStyle w:val="FootnoteText"/>
      </w:pPr>
      <w:r>
        <w:rPr>
          <w:rStyle w:val="FootnoteReference"/>
        </w:rPr>
        <w:footnoteRef/>
      </w:r>
      <w:r w:rsidRPr="009F566E">
        <w:tab/>
        <w:t xml:space="preserve">Verordnung (EU) </w:t>
      </w:r>
      <w:r w:rsidRPr="002C6368">
        <w:t>2022</w:t>
      </w:r>
      <w:r w:rsidRPr="009F566E">
        <w:t>/</w:t>
      </w:r>
      <w:r w:rsidRPr="002C6368">
        <w:t>613</w:t>
      </w:r>
      <w:r w:rsidRPr="009F566E">
        <w:t xml:space="preserve"> des Europäischen Parlaments und des Rates vom </w:t>
      </w:r>
      <w:r w:rsidRPr="002C6368">
        <w:t>12</w:t>
      </w:r>
      <w:r w:rsidRPr="009F566E">
        <w:t xml:space="preserve">. April </w:t>
      </w:r>
      <w:r w:rsidRPr="002C6368">
        <w:t>2022</w:t>
      </w:r>
      <w:r w:rsidRPr="009F566E">
        <w:t xml:space="preserve"> zur Änderung der Verordnungen (EU) Nr. </w:t>
      </w:r>
      <w:r w:rsidRPr="002C6368">
        <w:t>1303</w:t>
      </w:r>
      <w:r w:rsidRPr="009F566E">
        <w:t>/</w:t>
      </w:r>
      <w:r w:rsidRPr="002C6368">
        <w:t>2013</w:t>
      </w:r>
      <w:r w:rsidRPr="009F566E">
        <w:t xml:space="preserve"> und (EU) Nr. </w:t>
      </w:r>
      <w:r w:rsidRPr="002C6368">
        <w:t>223</w:t>
      </w:r>
      <w:r w:rsidRPr="009F566E">
        <w:t>/</w:t>
      </w:r>
      <w:r w:rsidRPr="002C6368">
        <w:t>2014</w:t>
      </w:r>
      <w:r w:rsidRPr="009F566E">
        <w:t xml:space="preserve"> in Bezug auf eine erhöhte Vorschusszahlung aus REACT-EU-Mitteln und die Festlegung von Einheitskosten (ABl. L </w:t>
      </w:r>
      <w:r w:rsidRPr="002C6368">
        <w:t>115</w:t>
      </w:r>
      <w:r w:rsidRPr="009F566E">
        <w:t xml:space="preserve"> vom </w:t>
      </w:r>
      <w:r w:rsidRPr="002C6368">
        <w:t>13</w:t>
      </w:r>
      <w:r w:rsidRPr="009F566E">
        <w:t>.</w:t>
      </w:r>
      <w:r w:rsidRPr="002C6368">
        <w:t>4</w:t>
      </w:r>
      <w:r w:rsidRPr="009F566E">
        <w:t>.</w:t>
      </w:r>
      <w:r w:rsidRPr="002C6368">
        <w:t>2022</w:t>
      </w:r>
      <w:r w:rsidRPr="009F566E">
        <w:t>, S. </w:t>
      </w:r>
      <w:r w:rsidRPr="002C6368">
        <w:t>38</w:t>
      </w:r>
      <w:r w:rsidRPr="009F566E">
        <w:t>).</w:t>
      </w:r>
    </w:p>
  </w:footnote>
  <w:footnote w:id="12">
    <w:p w14:paraId="449578F3" w14:textId="77777777" w:rsidR="0025216A" w:rsidRPr="009F566E" w:rsidRDefault="0025216A" w:rsidP="00FE6BBA">
      <w:pPr>
        <w:pStyle w:val="FootnoteText"/>
      </w:pPr>
      <w:r>
        <w:rPr>
          <w:rStyle w:val="FootnoteReference"/>
        </w:rPr>
        <w:footnoteRef/>
      </w:r>
      <w:r w:rsidRPr="009F566E">
        <w:tab/>
        <w:t>Verordnung (EU) </w:t>
      </w:r>
      <w:r w:rsidRPr="002C6368">
        <w:t>2021</w:t>
      </w:r>
      <w:r w:rsidRPr="009F566E">
        <w:t>/</w:t>
      </w:r>
      <w:r w:rsidRPr="002C6368">
        <w:t>1060</w:t>
      </w:r>
      <w:r w:rsidRPr="009F566E">
        <w:t xml:space="preserve"> des Europäischen Parlaments und des Rates vom </w:t>
      </w:r>
      <w:r w:rsidRPr="002C6368">
        <w:t>24</w:t>
      </w:r>
      <w:r w:rsidRPr="009F566E">
        <w:t xml:space="preserve">. Juni </w:t>
      </w:r>
      <w:r w:rsidRPr="002C6368">
        <w:t>2021</w:t>
      </w:r>
      <w:r w:rsidRPr="009F566E">
        <w:t xml:space="preserve">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(ABl. L </w:t>
      </w:r>
      <w:r w:rsidRPr="002C6368">
        <w:t>231</w:t>
      </w:r>
      <w:r w:rsidRPr="009F566E">
        <w:t xml:space="preserve"> vom </w:t>
      </w:r>
      <w:r w:rsidRPr="002C6368">
        <w:t>30</w:t>
      </w:r>
      <w:r w:rsidRPr="009F566E">
        <w:t>.</w:t>
      </w:r>
      <w:r w:rsidRPr="002C6368">
        <w:t>6</w:t>
      </w:r>
      <w:r w:rsidRPr="009F566E">
        <w:t>.</w:t>
      </w:r>
      <w:r w:rsidRPr="002C6368">
        <w:t>2021</w:t>
      </w:r>
      <w:r w:rsidRPr="009F566E">
        <w:t>, S. </w:t>
      </w:r>
      <w:r w:rsidRPr="002C6368">
        <w:t>159</w:t>
      </w:r>
      <w:r w:rsidRPr="009F566E">
        <w:t>).</w:t>
      </w:r>
    </w:p>
  </w:footnote>
  <w:footnote w:id="13">
    <w:p w14:paraId="414453F0" w14:textId="34C35DBE" w:rsidR="0025216A" w:rsidRPr="009F566E" w:rsidRDefault="0025216A">
      <w:pPr>
        <w:pStyle w:val="FootnoteText"/>
      </w:pPr>
      <w:r>
        <w:rPr>
          <w:rStyle w:val="FootnoteReference"/>
        </w:rPr>
        <w:footnoteRef/>
      </w:r>
      <w:r w:rsidRPr="009F566E">
        <w:tab/>
        <w:t xml:space="preserve">Durchführungsbeschluss (EU) </w:t>
      </w:r>
      <w:r w:rsidRPr="002C6368">
        <w:t>2022</w:t>
      </w:r>
      <w:r w:rsidRPr="009F566E">
        <w:t>/</w:t>
      </w:r>
      <w:r w:rsidRPr="002C6368">
        <w:t>382</w:t>
      </w:r>
      <w:r w:rsidRPr="009F566E">
        <w:t xml:space="preserve"> des Rates vom </w:t>
      </w:r>
      <w:r w:rsidRPr="002C6368">
        <w:t>4</w:t>
      </w:r>
      <w:r w:rsidRPr="009F566E">
        <w:t xml:space="preserve">. März </w:t>
      </w:r>
      <w:r w:rsidRPr="002C6368">
        <w:t>2022</w:t>
      </w:r>
      <w:r w:rsidRPr="009F566E">
        <w:t xml:space="preserve"> zur Feststellung des Bestehens eines Massenzustroms von Vertriebenen aus der Ukraine im Sinne des Artikels </w:t>
      </w:r>
      <w:r w:rsidRPr="002C6368">
        <w:t>5</w:t>
      </w:r>
      <w:r w:rsidRPr="009F566E">
        <w:t xml:space="preserve"> der Richtlinie </w:t>
      </w:r>
      <w:r w:rsidRPr="002C6368">
        <w:t>2001</w:t>
      </w:r>
      <w:r w:rsidRPr="009F566E">
        <w:t>/</w:t>
      </w:r>
      <w:r w:rsidRPr="002C6368">
        <w:t>55</w:t>
      </w:r>
      <w:r w:rsidRPr="009F566E">
        <w:t>/EG und zur Einführung eines vorübergehenden Schutzes (ABl. L </w:t>
      </w:r>
      <w:r w:rsidRPr="002C6368">
        <w:t>71</w:t>
      </w:r>
      <w:r w:rsidRPr="009F566E">
        <w:t xml:space="preserve"> vom </w:t>
      </w:r>
      <w:r w:rsidRPr="002C6368">
        <w:t>4</w:t>
      </w:r>
      <w:r w:rsidRPr="009F566E">
        <w:t>.</w:t>
      </w:r>
      <w:r w:rsidRPr="002C6368">
        <w:t>3</w:t>
      </w:r>
      <w:r w:rsidRPr="009F566E">
        <w:t>.</w:t>
      </w:r>
      <w:r w:rsidRPr="002C6368">
        <w:t>2022</w:t>
      </w:r>
      <w:r w:rsidRPr="009F566E">
        <w:t>, S. </w:t>
      </w:r>
      <w:r w:rsidRPr="002C6368">
        <w:t>1</w:t>
      </w:r>
      <w:r w:rsidRPr="009F566E">
        <w:t>).</w:t>
      </w:r>
    </w:p>
  </w:footnote>
  <w:footnote w:id="14">
    <w:p w14:paraId="54544248" w14:textId="2D213DD1" w:rsidR="0025216A" w:rsidRPr="009F566E" w:rsidRDefault="0025216A">
      <w:pPr>
        <w:pStyle w:val="FootnoteText"/>
      </w:pPr>
      <w:r>
        <w:rPr>
          <w:rStyle w:val="FootnoteReference"/>
        </w:rPr>
        <w:footnoteRef/>
      </w:r>
      <w:r w:rsidRPr="009F566E">
        <w:tab/>
        <w:t xml:space="preserve">Richtlinie </w:t>
      </w:r>
      <w:r w:rsidRPr="002C6368">
        <w:t>2001</w:t>
      </w:r>
      <w:r w:rsidRPr="009F566E">
        <w:t>/</w:t>
      </w:r>
      <w:r w:rsidRPr="002C6368">
        <w:t>55</w:t>
      </w:r>
      <w:r w:rsidRPr="009F566E">
        <w:t xml:space="preserve">/EG des Rates vom </w:t>
      </w:r>
      <w:r w:rsidRPr="002C6368">
        <w:t>20</w:t>
      </w:r>
      <w:r w:rsidRPr="009F566E">
        <w:t xml:space="preserve">. Juli </w:t>
      </w:r>
      <w:r w:rsidRPr="002C6368">
        <w:t>2001</w:t>
      </w:r>
      <w:r w:rsidRPr="009F566E">
        <w:t xml:space="preserve"> über Mindestnormen für die Gewährung vorübergehenden Schutzes im Falle eines Massenzustroms von Vertriebenen und Maßnahmen zur Förderung einer ausgewogenen Verteilung der Belastungen, die mit der Aufnahme dieser Personen und den Folgen dieser Aufnahme verbunden sind, auf die Mitgliedstaaten (ABl. L </w:t>
      </w:r>
      <w:r w:rsidRPr="002C6368">
        <w:t>212</w:t>
      </w:r>
      <w:r w:rsidRPr="009F566E">
        <w:t xml:space="preserve"> vom </w:t>
      </w:r>
      <w:r w:rsidRPr="002C6368">
        <w:t>7</w:t>
      </w:r>
      <w:r w:rsidRPr="009F566E">
        <w:t>.</w:t>
      </w:r>
      <w:r w:rsidRPr="002C6368">
        <w:t>8</w:t>
      </w:r>
      <w:r w:rsidRPr="009F566E">
        <w:t>.</w:t>
      </w:r>
      <w:r w:rsidRPr="002C6368">
        <w:t>2001</w:t>
      </w:r>
      <w:r w:rsidRPr="009F566E">
        <w:t>, S. </w:t>
      </w:r>
      <w:r w:rsidRPr="002C6368">
        <w:t>12</w:t>
      </w:r>
      <w:r w:rsidRPr="009F566E">
        <w:t>).</w:t>
      </w:r>
    </w:p>
  </w:footnote>
  <w:footnote w:id="15">
    <w:p w14:paraId="58483D1A" w14:textId="77777777" w:rsidR="0025216A" w:rsidRPr="009F566E" w:rsidRDefault="0025216A">
      <w:pPr>
        <w:pStyle w:val="FootnoteText"/>
      </w:pPr>
      <w:r>
        <w:rPr>
          <w:rStyle w:val="FootnoteReference"/>
        </w:rPr>
        <w:footnoteRef/>
      </w:r>
      <w:r w:rsidRPr="009F566E">
        <w:tab/>
        <w:t>Verordnung (EU) Nr. </w:t>
      </w:r>
      <w:r w:rsidRPr="002C6368">
        <w:t>1301</w:t>
      </w:r>
      <w:r w:rsidRPr="009F566E">
        <w:t>/</w:t>
      </w:r>
      <w:r w:rsidRPr="002C6368">
        <w:t>2013</w:t>
      </w:r>
      <w:r w:rsidRPr="009F566E">
        <w:t xml:space="preserve"> des Europäischen Parlaments und des Rates vom </w:t>
      </w:r>
      <w:r w:rsidRPr="002C6368">
        <w:t>17</w:t>
      </w:r>
      <w:r w:rsidRPr="009F566E">
        <w:t xml:space="preserve">. Dezember </w:t>
      </w:r>
      <w:r w:rsidRPr="002C6368">
        <w:t>2013</w:t>
      </w:r>
      <w:r w:rsidRPr="009F566E">
        <w:t xml:space="preserve"> über den Europäischen Fonds für regionale Entwicklung und mit besonderen Bestimmungen hinsichtlich des Ziels „Investitionen in Wachstum und Beschäftigung“ und zur Aufhebung der Verordnung (EG) Nr. </w:t>
      </w:r>
      <w:r w:rsidRPr="002C6368">
        <w:t>1080</w:t>
      </w:r>
      <w:r w:rsidRPr="009F566E">
        <w:t>/</w:t>
      </w:r>
      <w:r w:rsidRPr="002C6368">
        <w:t>200</w:t>
      </w:r>
      <w:r w:rsidRPr="009F566E">
        <w:t xml:space="preserve"> (ABl. L </w:t>
      </w:r>
      <w:r w:rsidRPr="002C6368">
        <w:t>347</w:t>
      </w:r>
      <w:r w:rsidRPr="009F566E">
        <w:t xml:space="preserve"> vom </w:t>
      </w:r>
      <w:r w:rsidRPr="002C6368">
        <w:t>20</w:t>
      </w:r>
      <w:r w:rsidRPr="009F566E">
        <w:t>.</w:t>
      </w:r>
      <w:r w:rsidRPr="002C6368">
        <w:t>12</w:t>
      </w:r>
      <w:r w:rsidRPr="009F566E">
        <w:t>.</w:t>
      </w:r>
      <w:r w:rsidRPr="002C6368">
        <w:t>2013</w:t>
      </w:r>
      <w:r w:rsidRPr="009F566E">
        <w:t>, S. </w:t>
      </w:r>
      <w:r w:rsidRPr="002C6368">
        <w:t>289</w:t>
      </w:r>
      <w:r w:rsidRPr="009F566E">
        <w:t>).</w:t>
      </w:r>
    </w:p>
  </w:footnote>
  <w:footnote w:id="16">
    <w:p w14:paraId="665CF5C5" w14:textId="77777777" w:rsidR="0025216A" w:rsidRPr="009F566E" w:rsidRDefault="0025216A">
      <w:pPr>
        <w:pStyle w:val="FootnoteText"/>
      </w:pPr>
      <w:r>
        <w:rPr>
          <w:rStyle w:val="FootnoteReference"/>
        </w:rPr>
        <w:footnoteRef/>
      </w:r>
      <w:r w:rsidRPr="009F566E">
        <w:tab/>
        <w:t>Verordnung (EU) Nr. </w:t>
      </w:r>
      <w:r w:rsidRPr="002C6368">
        <w:t>1304</w:t>
      </w:r>
      <w:r w:rsidRPr="009F566E">
        <w:t>/</w:t>
      </w:r>
      <w:r w:rsidRPr="002C6368">
        <w:t>2013</w:t>
      </w:r>
      <w:r w:rsidRPr="009F566E">
        <w:t xml:space="preserve"> des Europäischen Parlaments und des Rates </w:t>
      </w:r>
      <w:r w:rsidRPr="002C6368">
        <w:t>17</w:t>
      </w:r>
      <w:r w:rsidRPr="009F566E">
        <w:t xml:space="preserve">. Dezember </w:t>
      </w:r>
      <w:r w:rsidRPr="002C6368">
        <w:t>2013</w:t>
      </w:r>
      <w:r w:rsidRPr="009F566E">
        <w:t xml:space="preserve"> über den Europäischen Sozialfonds und zur Aufhebung der Verordnung (EG) Nr. </w:t>
      </w:r>
      <w:r w:rsidRPr="002C6368">
        <w:t>1081</w:t>
      </w:r>
      <w:r w:rsidRPr="009F566E">
        <w:t>/</w:t>
      </w:r>
      <w:r w:rsidRPr="002C6368">
        <w:t>2006</w:t>
      </w:r>
      <w:r w:rsidRPr="009F566E">
        <w:t xml:space="preserve"> des Rates (ABl. L </w:t>
      </w:r>
      <w:r w:rsidRPr="002C6368">
        <w:t>347</w:t>
      </w:r>
      <w:r w:rsidRPr="009F566E">
        <w:t xml:space="preserve"> vom </w:t>
      </w:r>
      <w:r w:rsidRPr="002C6368">
        <w:t>20</w:t>
      </w:r>
      <w:r w:rsidRPr="009F566E">
        <w:t>.</w:t>
      </w:r>
      <w:r w:rsidRPr="002C6368">
        <w:t>12</w:t>
      </w:r>
      <w:r w:rsidRPr="009F566E">
        <w:t>.</w:t>
      </w:r>
      <w:r w:rsidRPr="002C6368">
        <w:t>2013</w:t>
      </w:r>
      <w:r w:rsidRPr="009F566E">
        <w:t>, S. </w:t>
      </w:r>
      <w:r w:rsidRPr="002C6368">
        <w:t>470</w:t>
      </w:r>
      <w:r w:rsidRPr="009F566E">
        <w:t>).</w:t>
      </w:r>
    </w:p>
  </w:footnote>
  <w:footnote w:id="17">
    <w:p w14:paraId="174D72EA" w14:textId="77777777" w:rsidR="0025216A" w:rsidRPr="009F566E" w:rsidRDefault="0025216A">
      <w:pPr>
        <w:pStyle w:val="FootnoteText"/>
      </w:pPr>
      <w:r>
        <w:rPr>
          <w:rStyle w:val="FootnoteReference"/>
        </w:rPr>
        <w:footnoteRef/>
      </w:r>
      <w:r w:rsidRPr="009F566E">
        <w:tab/>
        <w:t>Verordnung (EU) Nr. </w:t>
      </w:r>
      <w:r w:rsidRPr="002C6368">
        <w:t>1300</w:t>
      </w:r>
      <w:r w:rsidRPr="009F566E">
        <w:t>/</w:t>
      </w:r>
      <w:r w:rsidRPr="002C6368">
        <w:t>2013</w:t>
      </w:r>
      <w:r w:rsidRPr="009F566E">
        <w:t xml:space="preserve"> des Europäischen Parlaments und des Rates vom </w:t>
      </w:r>
      <w:r w:rsidRPr="002C6368">
        <w:t>17</w:t>
      </w:r>
      <w:r w:rsidRPr="009F566E">
        <w:t xml:space="preserve">. Dezember </w:t>
      </w:r>
      <w:r w:rsidRPr="002C6368">
        <w:t>2013</w:t>
      </w:r>
      <w:r w:rsidRPr="009F566E">
        <w:t xml:space="preserve"> über den Kohäsionsfonds und zur Aufhebung der Verordnung (EG) Nr. </w:t>
      </w:r>
      <w:r w:rsidRPr="002C6368">
        <w:t>1084</w:t>
      </w:r>
      <w:r w:rsidRPr="009F566E">
        <w:t>/</w:t>
      </w:r>
      <w:r w:rsidRPr="002C6368">
        <w:t>2006</w:t>
      </w:r>
      <w:r w:rsidRPr="009F566E">
        <w:t xml:space="preserve"> (ABl. L </w:t>
      </w:r>
      <w:r w:rsidRPr="002C6368">
        <w:t>347</w:t>
      </w:r>
      <w:r w:rsidRPr="009F566E">
        <w:t xml:space="preserve"> vom </w:t>
      </w:r>
      <w:r w:rsidRPr="002C6368">
        <w:t>20</w:t>
      </w:r>
      <w:r w:rsidRPr="009F566E">
        <w:t>.</w:t>
      </w:r>
      <w:r w:rsidRPr="002C6368">
        <w:t>12</w:t>
      </w:r>
      <w:r w:rsidRPr="009F566E">
        <w:t>.</w:t>
      </w:r>
      <w:r w:rsidRPr="002C6368">
        <w:t>2013</w:t>
      </w:r>
      <w:r w:rsidRPr="009F566E">
        <w:t>, S. </w:t>
      </w:r>
      <w:r w:rsidRPr="002C6368">
        <w:t>281</w:t>
      </w:r>
      <w:r w:rsidRPr="009F566E">
        <w:t>).</w:t>
      </w:r>
    </w:p>
  </w:footnote>
  <w:footnote w:id="18">
    <w:p w14:paraId="113E4783" w14:textId="77777777" w:rsidR="0025216A" w:rsidRPr="009F566E" w:rsidRDefault="0025216A">
      <w:pPr>
        <w:pStyle w:val="FootnoteText"/>
      </w:pPr>
      <w:r>
        <w:rPr>
          <w:rStyle w:val="FootnoteReference"/>
        </w:rPr>
        <w:footnoteRef/>
      </w:r>
      <w:r w:rsidRPr="009F566E">
        <w:tab/>
        <w:t>Verordnung (EU) Nr. </w:t>
      </w:r>
      <w:r w:rsidRPr="002C6368">
        <w:t>1299</w:t>
      </w:r>
      <w:r w:rsidRPr="009F566E">
        <w:t>/</w:t>
      </w:r>
      <w:r w:rsidRPr="002C6368">
        <w:t>2013</w:t>
      </w:r>
      <w:r w:rsidRPr="009F566E">
        <w:t xml:space="preserve"> des Europäischen Parlaments und des Rates vom </w:t>
      </w:r>
      <w:r w:rsidRPr="002C6368">
        <w:t>17</w:t>
      </w:r>
      <w:r w:rsidRPr="009F566E">
        <w:t xml:space="preserve">. Dezember </w:t>
      </w:r>
      <w:r w:rsidRPr="002C6368">
        <w:t>2013</w:t>
      </w:r>
      <w:r w:rsidRPr="009F566E">
        <w:t xml:space="preserve"> mit besonderen Bestimmungen zur Unterstützung des Ziels „Europäische territoriale Zusammenarbeit“ aus dem Europäischen Fonds für regionale Entwicklung (ABl. L </w:t>
      </w:r>
      <w:r w:rsidRPr="002C6368">
        <w:t>347</w:t>
      </w:r>
      <w:r w:rsidRPr="009F566E">
        <w:t xml:space="preserve"> vom </w:t>
      </w:r>
      <w:r w:rsidRPr="002C6368">
        <w:t>20</w:t>
      </w:r>
      <w:r w:rsidRPr="009F566E">
        <w:t>.</w:t>
      </w:r>
      <w:r w:rsidRPr="002C6368">
        <w:t>12</w:t>
      </w:r>
      <w:r w:rsidRPr="009F566E">
        <w:t>.</w:t>
      </w:r>
      <w:r w:rsidRPr="002C6368">
        <w:t>2013</w:t>
      </w:r>
      <w:r w:rsidRPr="009F566E">
        <w:t>, S. </w:t>
      </w:r>
      <w:r w:rsidRPr="002C6368">
        <w:t>259</w:t>
      </w:r>
      <w:r w:rsidRPr="009F566E">
        <w:t>).</w:t>
      </w:r>
    </w:p>
  </w:footnote>
  <w:footnote w:id="19">
    <w:p w14:paraId="1D4A3187" w14:textId="77777777" w:rsidR="0025216A" w:rsidRPr="009F566E" w:rsidRDefault="0025216A">
      <w:pPr>
        <w:pStyle w:val="FootnoteText"/>
      </w:pPr>
      <w:r>
        <w:rPr>
          <w:rStyle w:val="FootnoteReference"/>
        </w:rPr>
        <w:footnoteRef/>
      </w:r>
      <w:r w:rsidRPr="009F566E">
        <w:tab/>
        <w:t>Verordnung (EU) Nr. </w:t>
      </w:r>
      <w:r w:rsidRPr="002C6368">
        <w:t>508</w:t>
      </w:r>
      <w:r w:rsidRPr="009F566E">
        <w:t>/</w:t>
      </w:r>
      <w:r w:rsidRPr="002C6368">
        <w:t>2014</w:t>
      </w:r>
      <w:r w:rsidRPr="009F566E">
        <w:t xml:space="preserve"> des Europäischen Parlaments und des Rates vom </w:t>
      </w:r>
      <w:r w:rsidRPr="002C6368">
        <w:t>15</w:t>
      </w:r>
      <w:r w:rsidRPr="009F566E">
        <w:t xml:space="preserve">. Mai </w:t>
      </w:r>
      <w:r w:rsidRPr="002C6368">
        <w:t>2014</w:t>
      </w:r>
      <w:r w:rsidRPr="009F566E">
        <w:t xml:space="preserve"> über den Europäischen Meeres- und Fischereifonds und zur Aufhebung der Verordnungen (EG) Nr. </w:t>
      </w:r>
      <w:r w:rsidRPr="002C6368">
        <w:t>2328</w:t>
      </w:r>
      <w:r w:rsidRPr="009F566E">
        <w:t>/</w:t>
      </w:r>
      <w:r w:rsidRPr="002C6368">
        <w:t>2003</w:t>
      </w:r>
      <w:r w:rsidRPr="009F566E">
        <w:t>, (EG) Nr. </w:t>
      </w:r>
      <w:r w:rsidRPr="002C6368">
        <w:t>861</w:t>
      </w:r>
      <w:r w:rsidRPr="009F566E">
        <w:t>/</w:t>
      </w:r>
      <w:r w:rsidRPr="002C6368">
        <w:t>2006</w:t>
      </w:r>
      <w:r w:rsidRPr="009F566E">
        <w:t>, (EG) Nr. </w:t>
      </w:r>
      <w:r w:rsidRPr="002C6368">
        <w:t>1198</w:t>
      </w:r>
      <w:r w:rsidRPr="009F566E">
        <w:t>/</w:t>
      </w:r>
      <w:r w:rsidRPr="002C6368">
        <w:t>2006</w:t>
      </w:r>
      <w:r w:rsidRPr="009F566E">
        <w:t xml:space="preserve"> und (EG) Nr. </w:t>
      </w:r>
      <w:r w:rsidRPr="002C6368">
        <w:t>791</w:t>
      </w:r>
      <w:r w:rsidRPr="009F566E">
        <w:t>/</w:t>
      </w:r>
      <w:r w:rsidRPr="002C6368">
        <w:t>2007</w:t>
      </w:r>
      <w:r w:rsidRPr="009F566E">
        <w:t xml:space="preserve"> des Rates und der Verordnung (EU) Nr. </w:t>
      </w:r>
      <w:r w:rsidRPr="002C6368">
        <w:t>1255</w:t>
      </w:r>
      <w:r w:rsidRPr="009F566E">
        <w:t>/</w:t>
      </w:r>
      <w:r w:rsidRPr="002C6368">
        <w:t>2011</w:t>
      </w:r>
      <w:r w:rsidRPr="009F566E">
        <w:t xml:space="preserve"> des Europäischen Parlaments und des Rates (ABl. L </w:t>
      </w:r>
      <w:r w:rsidRPr="002C6368">
        <w:t>149</w:t>
      </w:r>
      <w:r w:rsidRPr="009F566E">
        <w:t xml:space="preserve"> vom </w:t>
      </w:r>
      <w:r w:rsidRPr="002C6368">
        <w:t>20</w:t>
      </w:r>
      <w:r w:rsidRPr="009F566E">
        <w:t>.</w:t>
      </w:r>
      <w:r w:rsidRPr="002C6368">
        <w:t>5</w:t>
      </w:r>
      <w:r w:rsidRPr="009F566E">
        <w:t>.</w:t>
      </w:r>
      <w:r w:rsidRPr="002C6368">
        <w:t>2014</w:t>
      </w:r>
      <w:r w:rsidRPr="009F566E">
        <w:t>, S. </w:t>
      </w:r>
      <w:r w:rsidRPr="002C6368">
        <w:t>1</w:t>
      </w:r>
      <w:r w:rsidRPr="009F566E">
        <w:t>).</w:t>
      </w:r>
    </w:p>
  </w:footnote>
  <w:footnote w:id="20">
    <w:p w14:paraId="425ABFB7" w14:textId="77777777" w:rsidR="0025216A" w:rsidRPr="009F566E" w:rsidRDefault="0025216A" w:rsidP="00E41E7D">
      <w:pPr>
        <w:pStyle w:val="FootnoteText"/>
        <w:rPr>
          <w:szCs w:val="24"/>
        </w:rPr>
      </w:pPr>
      <w:r>
        <w:rPr>
          <w:rStyle w:val="FootnoteReference"/>
        </w:rPr>
        <w:footnoteRef/>
      </w:r>
      <w:r w:rsidRPr="009F566E">
        <w:tab/>
        <w:t>Im Sinne des Artikels </w:t>
      </w:r>
      <w:r w:rsidRPr="002C6368">
        <w:t>58</w:t>
      </w:r>
      <w:r w:rsidRPr="009F566E">
        <w:t xml:space="preserve"> Absatz </w:t>
      </w:r>
      <w:r w:rsidRPr="002C6368">
        <w:t>2</w:t>
      </w:r>
      <w:r w:rsidRPr="009F566E">
        <w:t xml:space="preserve"> Buchstabe a oder b der Haushaltsordnung.</w:t>
      </w:r>
    </w:p>
  </w:footnote>
  <w:footnote w:id="21">
    <w:p w14:paraId="2E79A7BF" w14:textId="77777777" w:rsidR="0025216A" w:rsidRPr="009F566E" w:rsidRDefault="0025216A" w:rsidP="00E41E7D">
      <w:pPr>
        <w:pStyle w:val="FootnoteText"/>
        <w:jc w:val="left"/>
        <w:rPr>
          <w:szCs w:val="24"/>
        </w:rPr>
      </w:pPr>
      <w:r>
        <w:rPr>
          <w:rStyle w:val="FootnoteReference"/>
        </w:rPr>
        <w:footnoteRef/>
      </w:r>
      <w:r w:rsidRPr="009F566E">
        <w:tab/>
        <w:t xml:space="preserve">Erläuterungen zu den Methoden der Mittelverwaltung und Verweise auf die Haushaltsordnung enthält die Website BudgWeb (in französischer und englischer Sprache): </w:t>
      </w:r>
      <w:hyperlink r:id="rId1" w:history="1">
        <w:r w:rsidRPr="009F566E">
          <w:rPr>
            <w:rStyle w:val="Hyperlink"/>
          </w:rPr>
          <w:t>https://myintracomm.ec.europa.eu/budgweb/EN/man/budgmanag/Pages/budgmanag.aspx</w:t>
        </w:r>
      </w:hyperlink>
      <w:r w:rsidRPr="009F566E">
        <w:t xml:space="preserve">. </w:t>
      </w:r>
    </w:p>
  </w:footnote>
  <w:footnote w:id="22">
    <w:p w14:paraId="0C25232E" w14:textId="77777777" w:rsidR="0025216A" w:rsidRPr="009F566E" w:rsidRDefault="0025216A" w:rsidP="00C87E1E">
      <w:pPr>
        <w:pStyle w:val="FootnoteText"/>
        <w:rPr>
          <w:szCs w:val="24"/>
        </w:rPr>
      </w:pPr>
      <w:r>
        <w:rPr>
          <w:rStyle w:val="FootnoteReference"/>
        </w:rPr>
        <w:footnoteRef/>
      </w:r>
      <w:r w:rsidRPr="009F566E">
        <w:tab/>
        <w:t>GM = Getrennte Mittel/NGM = Nichtgetrennte Mittel.</w:t>
      </w:r>
    </w:p>
  </w:footnote>
  <w:footnote w:id="23">
    <w:p w14:paraId="07C3588E" w14:textId="77777777" w:rsidR="0025216A" w:rsidRPr="009F566E" w:rsidRDefault="0025216A" w:rsidP="00C87E1E">
      <w:pPr>
        <w:pStyle w:val="FootnoteText"/>
        <w:rPr>
          <w:szCs w:val="24"/>
        </w:rPr>
      </w:pPr>
      <w:r>
        <w:rPr>
          <w:rStyle w:val="FootnoteReference"/>
        </w:rPr>
        <w:footnoteRef/>
      </w:r>
      <w:r w:rsidRPr="009F566E">
        <w:tab/>
        <w:t xml:space="preserve">EFTA: Europäische Freihandelsassoziation. </w:t>
      </w:r>
    </w:p>
  </w:footnote>
  <w:footnote w:id="24">
    <w:p w14:paraId="6C2905F1" w14:textId="77777777" w:rsidR="0025216A" w:rsidRPr="009F566E" w:rsidRDefault="0025216A" w:rsidP="00C87E1E">
      <w:pPr>
        <w:pStyle w:val="FootnoteText"/>
        <w:rPr>
          <w:szCs w:val="24"/>
        </w:rPr>
      </w:pPr>
      <w:r>
        <w:rPr>
          <w:rStyle w:val="FootnoteReference"/>
        </w:rPr>
        <w:footnoteRef/>
      </w:r>
      <w:r w:rsidRPr="009F566E">
        <w:tab/>
        <w:t>Kandidatenländer und gegebenenfalls potenzielle Kandidaten des Westbalkans.</w:t>
      </w:r>
    </w:p>
  </w:footnote>
  <w:footnote w:id="25">
    <w:p w14:paraId="7CD5DDE4" w14:textId="77777777" w:rsidR="0025216A" w:rsidRPr="009F566E" w:rsidRDefault="0025216A" w:rsidP="00431F4F">
      <w:pPr>
        <w:pStyle w:val="FootnoteText"/>
        <w:rPr>
          <w:szCs w:val="24"/>
        </w:rPr>
      </w:pPr>
      <w:r>
        <w:rPr>
          <w:rStyle w:val="FootnoteReference"/>
        </w:rPr>
        <w:footnoteRef/>
      </w:r>
      <w:r w:rsidRPr="009F566E">
        <w:tab/>
      </w:r>
      <w:r w:rsidRPr="009F566E">
        <w:rPr>
          <w:sz w:val="18"/>
        </w:rPr>
        <w:t>Technische und/oder administrative Hilfe und Ausgaben zur Unterstützung der Durchführung von Programmen bzw. Maßnahmen der EU (vormalige BA-Linien), indirekte Forschung, direkte Forschung.</w:t>
      </w:r>
    </w:p>
  </w:footnote>
  <w:footnote w:id="26">
    <w:p w14:paraId="33AE7109" w14:textId="77777777" w:rsidR="0025216A" w:rsidRPr="009F566E" w:rsidRDefault="0025216A" w:rsidP="00C87E1E">
      <w:pPr>
        <w:pStyle w:val="FootnoteText"/>
        <w:rPr>
          <w:szCs w:val="24"/>
        </w:rPr>
      </w:pPr>
      <w:r>
        <w:rPr>
          <w:rStyle w:val="FootnoteReference"/>
        </w:rPr>
        <w:footnoteRef/>
      </w:r>
      <w:r w:rsidRPr="009F566E">
        <w:tab/>
        <w:t>Ergebnisse sind Produkte, die geliefert, und Dienstleistungen, die erbracht werden (z. B.: Zahl der Austauschstudenten, gebaute Straßenkilometer…).</w:t>
      </w:r>
    </w:p>
  </w:footnote>
  <w:footnote w:id="27">
    <w:p w14:paraId="46332DD3" w14:textId="77777777" w:rsidR="0025216A" w:rsidRPr="009F566E" w:rsidRDefault="0025216A" w:rsidP="00C87E1E">
      <w:pPr>
        <w:pStyle w:val="FootnoteText"/>
        <w:rPr>
          <w:szCs w:val="24"/>
        </w:rPr>
      </w:pPr>
      <w:r>
        <w:rPr>
          <w:rStyle w:val="FootnoteReference"/>
        </w:rPr>
        <w:footnoteRef/>
      </w:r>
      <w:r w:rsidRPr="009F566E">
        <w:tab/>
        <w:t xml:space="preserve">Wie unter </w:t>
      </w:r>
      <w:r w:rsidRPr="002C6368">
        <w:t>1</w:t>
      </w:r>
      <w:r w:rsidRPr="009F566E">
        <w:t>.</w:t>
      </w:r>
      <w:r w:rsidRPr="002C6368">
        <w:t>4</w:t>
      </w:r>
      <w:r w:rsidRPr="009F566E">
        <w:t>.</w:t>
      </w:r>
      <w:r w:rsidRPr="002C6368">
        <w:t>2</w:t>
      </w:r>
      <w:r w:rsidRPr="009F566E">
        <w:t xml:space="preserve">. („Einzelziele…“) beschrieben. </w:t>
      </w:r>
    </w:p>
  </w:footnote>
  <w:footnote w:id="28">
    <w:p w14:paraId="3471E366" w14:textId="77777777" w:rsidR="0025216A" w:rsidRPr="009F566E" w:rsidRDefault="0025216A" w:rsidP="00C87E1E">
      <w:pPr>
        <w:pStyle w:val="FootnoteText"/>
        <w:rPr>
          <w:sz w:val="18"/>
          <w:szCs w:val="18"/>
        </w:rPr>
      </w:pPr>
      <w:r>
        <w:rPr>
          <w:rStyle w:val="FootnoteReference"/>
        </w:rPr>
        <w:footnoteRef/>
      </w:r>
      <w:r w:rsidRPr="009F566E">
        <w:tab/>
      </w:r>
      <w:r w:rsidRPr="009F566E">
        <w:rPr>
          <w:sz w:val="18"/>
        </w:rPr>
        <w:t xml:space="preserve">Das Jahr N ist das Jahr, in dem mit der Umsetzung des Vorschlags/der Initiative begonnen wird. Bitte ersetzen Sie „N“ durch das voraussichtlich erste Jahr der Umsetzung (z. B. </w:t>
      </w:r>
      <w:r w:rsidRPr="002C6368">
        <w:rPr>
          <w:sz w:val="18"/>
        </w:rPr>
        <w:t>2021</w:t>
      </w:r>
      <w:r w:rsidRPr="009F566E">
        <w:rPr>
          <w:sz w:val="18"/>
        </w:rPr>
        <w:t>). Dasselbe gilt für die folgenden Jahre.</w:t>
      </w:r>
    </w:p>
  </w:footnote>
  <w:footnote w:id="29">
    <w:p w14:paraId="102DA18A" w14:textId="77777777" w:rsidR="0025216A" w:rsidRPr="009F566E" w:rsidRDefault="0025216A" w:rsidP="00C87E1E">
      <w:pPr>
        <w:pStyle w:val="FootnoteText"/>
        <w:rPr>
          <w:szCs w:val="24"/>
        </w:rPr>
      </w:pPr>
      <w:r>
        <w:rPr>
          <w:rStyle w:val="FootnoteReference"/>
        </w:rPr>
        <w:footnoteRef/>
      </w:r>
      <w:r w:rsidRPr="009F566E">
        <w:tab/>
      </w:r>
      <w:r w:rsidRPr="009F566E">
        <w:rPr>
          <w:sz w:val="18"/>
        </w:rPr>
        <w:t>Technische und/oder administrative Hilfe und Ausgaben zur Unterstützung der Durchführung von Programmen bzw. Maßnahmen der EU (vormalige BA-Linien), indirekte Forschung, direkte Forschung.</w:t>
      </w:r>
    </w:p>
  </w:footnote>
  <w:footnote w:id="30">
    <w:p w14:paraId="419AEAAC" w14:textId="75F2F266" w:rsidR="0025216A" w:rsidRPr="009F566E" w:rsidRDefault="0025216A" w:rsidP="00C87E1E">
      <w:pPr>
        <w:pStyle w:val="FootnoteText"/>
        <w:rPr>
          <w:szCs w:val="24"/>
        </w:rPr>
      </w:pPr>
      <w:r>
        <w:rPr>
          <w:rStyle w:val="FootnoteReference"/>
        </w:rPr>
        <w:footnoteRef/>
      </w:r>
      <w:r w:rsidRPr="009F566E">
        <w:tab/>
        <w:t xml:space="preserve">VB = Vertragsbedienstete, ÖB = örtliche Bedienstete, ANS = abgeordnete nationale Sachverständige, LAK = Leiharbeitskräfte, JFD = Juniorfachkräfte in Delegationen. </w:t>
      </w:r>
    </w:p>
  </w:footnote>
  <w:footnote w:id="31">
    <w:p w14:paraId="6F29A385" w14:textId="77777777" w:rsidR="0025216A" w:rsidRPr="009F566E" w:rsidRDefault="0025216A" w:rsidP="00C87E1E">
      <w:pPr>
        <w:pStyle w:val="FootnoteText"/>
        <w:rPr>
          <w:szCs w:val="24"/>
        </w:rPr>
      </w:pPr>
      <w:r>
        <w:rPr>
          <w:rStyle w:val="FootnoteReference"/>
        </w:rPr>
        <w:footnoteRef/>
      </w:r>
      <w:r w:rsidRPr="009F566E">
        <w:tab/>
        <w:t>Teilobergrenze für aus operativen Mitteln finanziertes externes Personal (vormalige BA-Linien).</w:t>
      </w:r>
    </w:p>
  </w:footnote>
  <w:footnote w:id="32">
    <w:p w14:paraId="2B7319C2" w14:textId="4F2FBAC4" w:rsidR="0025216A" w:rsidRPr="009F566E" w:rsidRDefault="0025216A" w:rsidP="00C87E1E">
      <w:pPr>
        <w:pStyle w:val="FootnoteText"/>
      </w:pPr>
      <w:r>
        <w:rPr>
          <w:rStyle w:val="FootnoteReference"/>
        </w:rPr>
        <w:footnoteRef/>
      </w:r>
      <w:r w:rsidRPr="009F566E">
        <w:tab/>
        <w:t>Das Jahr N ist das Jahr, in dem mit der Umsetzung des Vorschlags/der Initiative begonnen wird. Bitte ersetzen Sie „N“ durch das voraussichtli</w:t>
      </w:r>
      <w:r w:rsidR="003C3A6B">
        <w:t>ch erste Jahr der Umsetzung (z. </w:t>
      </w:r>
      <w:r w:rsidRPr="009F566E">
        <w:t xml:space="preserve">B. </w:t>
      </w:r>
      <w:r w:rsidRPr="002C6368">
        <w:t>2021</w:t>
      </w:r>
      <w:r w:rsidRPr="009F566E">
        <w:t>). Dasselbe gilt für die folgenden Jahre.</w:t>
      </w:r>
    </w:p>
  </w:footnote>
  <w:footnote w:id="33">
    <w:p w14:paraId="79AFE570" w14:textId="6DF5C8CB" w:rsidR="0025216A" w:rsidRPr="009F566E" w:rsidRDefault="0025216A" w:rsidP="00C87E1E">
      <w:pPr>
        <w:pStyle w:val="FootnoteText"/>
        <w:rPr>
          <w:szCs w:val="24"/>
        </w:rPr>
      </w:pPr>
      <w:r>
        <w:rPr>
          <w:rStyle w:val="FootnoteReference"/>
        </w:rPr>
        <w:footnoteRef/>
      </w:r>
      <w:r w:rsidRPr="009F566E">
        <w:tab/>
        <w:t>Bei den traditionellen Eigenmitteln (Zölle, Zuckerabgaben) sind die Beträge netto, d.</w:t>
      </w:r>
      <w:r w:rsidR="003C3A6B">
        <w:t> </w:t>
      </w:r>
      <w:r w:rsidRPr="009F566E">
        <w:t xml:space="preserve">h. abzüglich </w:t>
      </w:r>
      <w:r w:rsidRPr="002C6368">
        <w:t>20</w:t>
      </w:r>
      <w:r w:rsidRPr="009F566E">
        <w:t>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8D6B" w14:textId="77777777" w:rsidR="001E1836" w:rsidRPr="001E1836" w:rsidRDefault="001E1836" w:rsidP="001E1836">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2551" w14:textId="77777777" w:rsidR="001E1836" w:rsidRPr="001E1836" w:rsidRDefault="001E1836" w:rsidP="001E1836">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3317" w14:textId="77777777" w:rsidR="0025216A" w:rsidRPr="00C36AA6" w:rsidRDefault="0025216A" w:rsidP="001E18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9D1D" w14:textId="77777777" w:rsidR="001E1836" w:rsidRPr="001E1836" w:rsidRDefault="001E1836" w:rsidP="001E1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994E0B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87EF0E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93AAAC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8BA982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C48330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570E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4C06B2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7F659E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20"/>
  </w:num>
  <w:num w:numId="11">
    <w:abstractNumId w:val="19"/>
  </w:num>
  <w:num w:numId="12">
    <w:abstractNumId w:val="14"/>
  </w:num>
  <w:num w:numId="13">
    <w:abstractNumId w:val="13"/>
  </w:num>
  <w:num w:numId="14">
    <w:abstractNumId w:val="22"/>
    <w:lvlOverride w:ilvl="0">
      <w:startOverride w:val="1"/>
    </w:lvlOverride>
  </w:num>
  <w:num w:numId="15">
    <w:abstractNumId w:val="27"/>
    <w:lvlOverride w:ilvl="0">
      <w:startOverride w:val="1"/>
    </w:lvlOverride>
  </w:num>
  <w:num w:numId="16">
    <w:abstractNumId w:val="24"/>
  </w:num>
  <w:num w:numId="17">
    <w:abstractNumId w:val="15"/>
  </w:num>
  <w:num w:numId="18">
    <w:abstractNumId w:val="26"/>
  </w:num>
  <w:num w:numId="19">
    <w:abstractNumId w:val="12"/>
  </w:num>
  <w:num w:numId="20">
    <w:abstractNumId w:val="16"/>
  </w:num>
  <w:num w:numId="21">
    <w:abstractNumId w:val="17"/>
  </w:num>
  <w:num w:numId="22">
    <w:abstractNumId w:val="10"/>
  </w:num>
  <w:num w:numId="23">
    <w:abstractNumId w:val="25"/>
  </w:num>
  <w:num w:numId="24">
    <w:abstractNumId w:val="9"/>
  </w:num>
  <w:num w:numId="25">
    <w:abstractNumId w:val="18"/>
  </w:num>
  <w:num w:numId="26">
    <w:abstractNumId w:val="22"/>
  </w:num>
  <w:num w:numId="27">
    <w:abstractNumId w:val="23"/>
  </w:num>
  <w:num w:numId="28">
    <w:abstractNumId w:val="11"/>
  </w:num>
  <w:num w:numId="29">
    <w:abstractNumId w:val="21"/>
  </w:num>
  <w:num w:numId="30">
    <w:abstractNumId w:val="27"/>
  </w:num>
  <w:num w:numId="31">
    <w:abstractNumId w:val="24"/>
  </w:num>
  <w:num w:numId="32">
    <w:abstractNumId w:val="15"/>
  </w:num>
  <w:num w:numId="33">
    <w:abstractNumId w:val="26"/>
  </w:num>
  <w:num w:numId="34">
    <w:abstractNumId w:val="12"/>
  </w:num>
  <w:num w:numId="35">
    <w:abstractNumId w:val="16"/>
  </w:num>
  <w:num w:numId="36">
    <w:abstractNumId w:val="17"/>
  </w:num>
  <w:num w:numId="37">
    <w:abstractNumId w:val="10"/>
  </w:num>
  <w:num w:numId="38">
    <w:abstractNumId w:val="25"/>
  </w:num>
  <w:num w:numId="39">
    <w:abstractNumId w:val="9"/>
  </w:num>
  <w:num w:numId="40">
    <w:abstractNumId w:val="18"/>
  </w:num>
  <w:num w:numId="41">
    <w:abstractNumId w:val="22"/>
  </w:num>
  <w:num w:numId="42">
    <w:abstractNumId w:val="23"/>
  </w:num>
  <w:num w:numId="43">
    <w:abstractNumId w:val="11"/>
  </w:num>
  <w:num w:numId="44">
    <w:abstractNumId w:val="21"/>
  </w:num>
  <w:num w:numId="45">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activeWritingStyle w:appName="MSWord" w:lang="pt-PT"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7-01 10:51:01"/>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6F109347-8298-45A7-A128-46ED338BBB7F"/>
    <w:docVar w:name="LW_COVERPAGE_TYPE" w:val="1"/>
    <w:docVar w:name="LW_CROSSREFERENCE" w:val="&lt;UNUSED&gt;"/>
    <w:docVar w:name="LW_DocType" w:val="COM"/>
    <w:docVar w:name="LW_EMISSION" w:val="29.6.2022"/>
    <w:docVar w:name="LW_EMISSION_ISODATE" w:val="2022-06-29"/>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08"/>
    <w:docVar w:name="LW_REF.II.NEW.CP_YEAR" w:val="2022"/>
    <w:docVar w:name="LW_REF.INST.NEW" w:val="COM"/>
    <w:docVar w:name="LW_REF.INST.NEW_ADOPTED" w:val="final"/>
    <w:docVar w:name="LW_REF.INST.NEW_TEXT" w:val="(2022) 3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Nr. 1303/2013 und der Verordnung (EU) 2021/1060 im Hinblick auf zusätzliche Flexibilität zur Bewältigung der Folgen des militärischen Angriffs durch die Russische Föderation _x000b_FAST - CARE (Flexible Assistance for Territories – Flexible Unterstützung für Gebiete)"/>
    <w:docVar w:name="LW_TYPE.DOC.CP" w:val="VERORDNUNG DES EUROPÄISCHEN PARLAMENTS UND DES RATES"/>
    <w:docVar w:name="LwApiVersions" w:val="LW4CoDe 1.23.2.0; LW 8.0, Build 20211117"/>
  </w:docVars>
  <w:rsids>
    <w:rsidRoot w:val="00C1332E"/>
    <w:rsid w:val="0000018F"/>
    <w:rsid w:val="00000438"/>
    <w:rsid w:val="00000D80"/>
    <w:rsid w:val="000013B8"/>
    <w:rsid w:val="00002070"/>
    <w:rsid w:val="00002B5D"/>
    <w:rsid w:val="0000561F"/>
    <w:rsid w:val="00007482"/>
    <w:rsid w:val="00007FCC"/>
    <w:rsid w:val="00010016"/>
    <w:rsid w:val="00011A54"/>
    <w:rsid w:val="00012F1F"/>
    <w:rsid w:val="000144CA"/>
    <w:rsid w:val="00016C39"/>
    <w:rsid w:val="00017758"/>
    <w:rsid w:val="00020FF8"/>
    <w:rsid w:val="00021FA3"/>
    <w:rsid w:val="000230D8"/>
    <w:rsid w:val="00027C97"/>
    <w:rsid w:val="000307C8"/>
    <w:rsid w:val="000314FC"/>
    <w:rsid w:val="00032C70"/>
    <w:rsid w:val="00035429"/>
    <w:rsid w:val="000426FD"/>
    <w:rsid w:val="0004555E"/>
    <w:rsid w:val="000467FB"/>
    <w:rsid w:val="00046C9E"/>
    <w:rsid w:val="00050B68"/>
    <w:rsid w:val="00052646"/>
    <w:rsid w:val="000542B4"/>
    <w:rsid w:val="00063A22"/>
    <w:rsid w:val="00065883"/>
    <w:rsid w:val="00070C9F"/>
    <w:rsid w:val="00075498"/>
    <w:rsid w:val="0008111C"/>
    <w:rsid w:val="000819DB"/>
    <w:rsid w:val="00085318"/>
    <w:rsid w:val="0008649A"/>
    <w:rsid w:val="000938DE"/>
    <w:rsid w:val="00095928"/>
    <w:rsid w:val="00096C59"/>
    <w:rsid w:val="000970BF"/>
    <w:rsid w:val="000A1216"/>
    <w:rsid w:val="000A195F"/>
    <w:rsid w:val="000A352E"/>
    <w:rsid w:val="000A6742"/>
    <w:rsid w:val="000B20C4"/>
    <w:rsid w:val="000C2BB7"/>
    <w:rsid w:val="000C42C5"/>
    <w:rsid w:val="000C59FD"/>
    <w:rsid w:val="000D3072"/>
    <w:rsid w:val="000D4125"/>
    <w:rsid w:val="000D58DE"/>
    <w:rsid w:val="000D75D4"/>
    <w:rsid w:val="000E055F"/>
    <w:rsid w:val="000E5EF5"/>
    <w:rsid w:val="000E6CE2"/>
    <w:rsid w:val="000F0BB3"/>
    <w:rsid w:val="000F7C63"/>
    <w:rsid w:val="00104D2B"/>
    <w:rsid w:val="00104FE3"/>
    <w:rsid w:val="00105416"/>
    <w:rsid w:val="0010591B"/>
    <w:rsid w:val="00106314"/>
    <w:rsid w:val="00107C7D"/>
    <w:rsid w:val="00111C25"/>
    <w:rsid w:val="0011388B"/>
    <w:rsid w:val="00113C50"/>
    <w:rsid w:val="00115AF9"/>
    <w:rsid w:val="0011607E"/>
    <w:rsid w:val="00116216"/>
    <w:rsid w:val="00121158"/>
    <w:rsid w:val="001325FC"/>
    <w:rsid w:val="0013335C"/>
    <w:rsid w:val="00133C77"/>
    <w:rsid w:val="00134E3B"/>
    <w:rsid w:val="001357C0"/>
    <w:rsid w:val="001359C9"/>
    <w:rsid w:val="00136CB4"/>
    <w:rsid w:val="00137595"/>
    <w:rsid w:val="00137AA4"/>
    <w:rsid w:val="001414D1"/>
    <w:rsid w:val="00143278"/>
    <w:rsid w:val="00146C76"/>
    <w:rsid w:val="00151187"/>
    <w:rsid w:val="00155312"/>
    <w:rsid w:val="001555B2"/>
    <w:rsid w:val="0015663B"/>
    <w:rsid w:val="00161BA8"/>
    <w:rsid w:val="00163578"/>
    <w:rsid w:val="00164E78"/>
    <w:rsid w:val="00166416"/>
    <w:rsid w:val="001709B1"/>
    <w:rsid w:val="00171099"/>
    <w:rsid w:val="0017323E"/>
    <w:rsid w:val="0017445D"/>
    <w:rsid w:val="001765BE"/>
    <w:rsid w:val="00182F8D"/>
    <w:rsid w:val="00183B08"/>
    <w:rsid w:val="00187529"/>
    <w:rsid w:val="001915FF"/>
    <w:rsid w:val="00194A92"/>
    <w:rsid w:val="001971C4"/>
    <w:rsid w:val="001A0977"/>
    <w:rsid w:val="001A599E"/>
    <w:rsid w:val="001B03F8"/>
    <w:rsid w:val="001B0677"/>
    <w:rsid w:val="001B084D"/>
    <w:rsid w:val="001B19CB"/>
    <w:rsid w:val="001C42E9"/>
    <w:rsid w:val="001C5F76"/>
    <w:rsid w:val="001C64D8"/>
    <w:rsid w:val="001D03A2"/>
    <w:rsid w:val="001D2C74"/>
    <w:rsid w:val="001D48CE"/>
    <w:rsid w:val="001D5BF4"/>
    <w:rsid w:val="001D77AA"/>
    <w:rsid w:val="001E1836"/>
    <w:rsid w:val="001E602C"/>
    <w:rsid w:val="001E674C"/>
    <w:rsid w:val="001E71F7"/>
    <w:rsid w:val="001E7AAB"/>
    <w:rsid w:val="001F0EDA"/>
    <w:rsid w:val="001F30AD"/>
    <w:rsid w:val="001F63B3"/>
    <w:rsid w:val="002062E7"/>
    <w:rsid w:val="00206E18"/>
    <w:rsid w:val="00206E78"/>
    <w:rsid w:val="002103A3"/>
    <w:rsid w:val="00210B15"/>
    <w:rsid w:val="00210F98"/>
    <w:rsid w:val="002118DA"/>
    <w:rsid w:val="00212B56"/>
    <w:rsid w:val="00212D2A"/>
    <w:rsid w:val="00214A4C"/>
    <w:rsid w:val="00215403"/>
    <w:rsid w:val="002169D9"/>
    <w:rsid w:val="00217EB4"/>
    <w:rsid w:val="002222E2"/>
    <w:rsid w:val="00222CEF"/>
    <w:rsid w:val="00226351"/>
    <w:rsid w:val="002275C4"/>
    <w:rsid w:val="002313F4"/>
    <w:rsid w:val="00231D18"/>
    <w:rsid w:val="00232992"/>
    <w:rsid w:val="002463FA"/>
    <w:rsid w:val="00250720"/>
    <w:rsid w:val="0025216A"/>
    <w:rsid w:val="00252328"/>
    <w:rsid w:val="00252E6C"/>
    <w:rsid w:val="00255132"/>
    <w:rsid w:val="00255416"/>
    <w:rsid w:val="00257806"/>
    <w:rsid w:val="00271C42"/>
    <w:rsid w:val="002726CD"/>
    <w:rsid w:val="002763E9"/>
    <w:rsid w:val="0027658B"/>
    <w:rsid w:val="00277226"/>
    <w:rsid w:val="00277A05"/>
    <w:rsid w:val="00281195"/>
    <w:rsid w:val="002812B3"/>
    <w:rsid w:val="0028218C"/>
    <w:rsid w:val="00284CBF"/>
    <w:rsid w:val="00291600"/>
    <w:rsid w:val="00292208"/>
    <w:rsid w:val="0029365C"/>
    <w:rsid w:val="00295334"/>
    <w:rsid w:val="002967E3"/>
    <w:rsid w:val="002A2B19"/>
    <w:rsid w:val="002A38D1"/>
    <w:rsid w:val="002A3ED6"/>
    <w:rsid w:val="002A50BA"/>
    <w:rsid w:val="002A5EC6"/>
    <w:rsid w:val="002A66CF"/>
    <w:rsid w:val="002B1527"/>
    <w:rsid w:val="002B168F"/>
    <w:rsid w:val="002B629F"/>
    <w:rsid w:val="002C0859"/>
    <w:rsid w:val="002C3696"/>
    <w:rsid w:val="002C58C3"/>
    <w:rsid w:val="002C6368"/>
    <w:rsid w:val="002D0E2E"/>
    <w:rsid w:val="002D130D"/>
    <w:rsid w:val="002D2B41"/>
    <w:rsid w:val="002D44A5"/>
    <w:rsid w:val="002D6338"/>
    <w:rsid w:val="002E0753"/>
    <w:rsid w:val="002E533D"/>
    <w:rsid w:val="002E537C"/>
    <w:rsid w:val="002E6841"/>
    <w:rsid w:val="002F2810"/>
    <w:rsid w:val="002F3ABB"/>
    <w:rsid w:val="002F3FFE"/>
    <w:rsid w:val="002F54C3"/>
    <w:rsid w:val="002F554A"/>
    <w:rsid w:val="00301AC6"/>
    <w:rsid w:val="003039C0"/>
    <w:rsid w:val="00304116"/>
    <w:rsid w:val="003062E4"/>
    <w:rsid w:val="00312293"/>
    <w:rsid w:val="003147B2"/>
    <w:rsid w:val="00324790"/>
    <w:rsid w:val="00325F39"/>
    <w:rsid w:val="003261E3"/>
    <w:rsid w:val="003273A3"/>
    <w:rsid w:val="00327C7A"/>
    <w:rsid w:val="00332DE2"/>
    <w:rsid w:val="00333908"/>
    <w:rsid w:val="0033410D"/>
    <w:rsid w:val="00336174"/>
    <w:rsid w:val="00340EA6"/>
    <w:rsid w:val="00341575"/>
    <w:rsid w:val="003418E7"/>
    <w:rsid w:val="003432A2"/>
    <w:rsid w:val="00343AB7"/>
    <w:rsid w:val="003472E3"/>
    <w:rsid w:val="003503DC"/>
    <w:rsid w:val="00352EDC"/>
    <w:rsid w:val="003535D8"/>
    <w:rsid w:val="0035593D"/>
    <w:rsid w:val="00355B16"/>
    <w:rsid w:val="00360F56"/>
    <w:rsid w:val="00362751"/>
    <w:rsid w:val="00362810"/>
    <w:rsid w:val="00363583"/>
    <w:rsid w:val="00363B80"/>
    <w:rsid w:val="00365833"/>
    <w:rsid w:val="00367795"/>
    <w:rsid w:val="00375E07"/>
    <w:rsid w:val="00377B56"/>
    <w:rsid w:val="00383264"/>
    <w:rsid w:val="003901C8"/>
    <w:rsid w:val="00390555"/>
    <w:rsid w:val="00390E35"/>
    <w:rsid w:val="00393C6B"/>
    <w:rsid w:val="00395481"/>
    <w:rsid w:val="00396995"/>
    <w:rsid w:val="003A3FDE"/>
    <w:rsid w:val="003A6B7D"/>
    <w:rsid w:val="003B08B3"/>
    <w:rsid w:val="003B136D"/>
    <w:rsid w:val="003B6A3C"/>
    <w:rsid w:val="003B7094"/>
    <w:rsid w:val="003C0C5B"/>
    <w:rsid w:val="003C1002"/>
    <w:rsid w:val="003C1853"/>
    <w:rsid w:val="003C2E36"/>
    <w:rsid w:val="003C3A6B"/>
    <w:rsid w:val="003C6D77"/>
    <w:rsid w:val="003D19EB"/>
    <w:rsid w:val="003D2470"/>
    <w:rsid w:val="003D5627"/>
    <w:rsid w:val="003E082F"/>
    <w:rsid w:val="003E0E5F"/>
    <w:rsid w:val="003E1A2D"/>
    <w:rsid w:val="003F1C4C"/>
    <w:rsid w:val="003F1FB5"/>
    <w:rsid w:val="003F639B"/>
    <w:rsid w:val="003F6F89"/>
    <w:rsid w:val="00402C8B"/>
    <w:rsid w:val="00403FFD"/>
    <w:rsid w:val="00404DB4"/>
    <w:rsid w:val="00406A17"/>
    <w:rsid w:val="004079F0"/>
    <w:rsid w:val="004110E5"/>
    <w:rsid w:val="00416DDF"/>
    <w:rsid w:val="0042067E"/>
    <w:rsid w:val="00422AF4"/>
    <w:rsid w:val="00424456"/>
    <w:rsid w:val="00424DFB"/>
    <w:rsid w:val="004300AB"/>
    <w:rsid w:val="004308EA"/>
    <w:rsid w:val="00431DB6"/>
    <w:rsid w:val="00431DCD"/>
    <w:rsid w:val="00431F4F"/>
    <w:rsid w:val="00437457"/>
    <w:rsid w:val="004413FE"/>
    <w:rsid w:val="00445D67"/>
    <w:rsid w:val="00456B01"/>
    <w:rsid w:val="00460C2D"/>
    <w:rsid w:val="00462411"/>
    <w:rsid w:val="0046493A"/>
    <w:rsid w:val="004700C1"/>
    <w:rsid w:val="0047294E"/>
    <w:rsid w:val="004749B7"/>
    <w:rsid w:val="004760A2"/>
    <w:rsid w:val="004777BD"/>
    <w:rsid w:val="00490C14"/>
    <w:rsid w:val="004953F4"/>
    <w:rsid w:val="004A429E"/>
    <w:rsid w:val="004A5208"/>
    <w:rsid w:val="004B3EAF"/>
    <w:rsid w:val="004B7CEC"/>
    <w:rsid w:val="004C19FB"/>
    <w:rsid w:val="004C35A1"/>
    <w:rsid w:val="004C6D45"/>
    <w:rsid w:val="004D0A81"/>
    <w:rsid w:val="004D233E"/>
    <w:rsid w:val="004D525F"/>
    <w:rsid w:val="004D6CFE"/>
    <w:rsid w:val="004D6D43"/>
    <w:rsid w:val="004D7859"/>
    <w:rsid w:val="004E05FA"/>
    <w:rsid w:val="004E0DDA"/>
    <w:rsid w:val="004E43DD"/>
    <w:rsid w:val="004E542B"/>
    <w:rsid w:val="004F05AF"/>
    <w:rsid w:val="004F1EC4"/>
    <w:rsid w:val="004F1EEF"/>
    <w:rsid w:val="004F527C"/>
    <w:rsid w:val="00505D28"/>
    <w:rsid w:val="00507B51"/>
    <w:rsid w:val="00507FF2"/>
    <w:rsid w:val="0051008E"/>
    <w:rsid w:val="0051257A"/>
    <w:rsid w:val="00516948"/>
    <w:rsid w:val="005314BD"/>
    <w:rsid w:val="00533237"/>
    <w:rsid w:val="00536525"/>
    <w:rsid w:val="005367E7"/>
    <w:rsid w:val="005431A5"/>
    <w:rsid w:val="005442E3"/>
    <w:rsid w:val="0054591C"/>
    <w:rsid w:val="00547E8D"/>
    <w:rsid w:val="005541A2"/>
    <w:rsid w:val="00555DAC"/>
    <w:rsid w:val="00560751"/>
    <w:rsid w:val="00562067"/>
    <w:rsid w:val="00563B97"/>
    <w:rsid w:val="00565149"/>
    <w:rsid w:val="00566267"/>
    <w:rsid w:val="00566A6D"/>
    <w:rsid w:val="00567E10"/>
    <w:rsid w:val="00574DD5"/>
    <w:rsid w:val="00576C98"/>
    <w:rsid w:val="00582703"/>
    <w:rsid w:val="00582788"/>
    <w:rsid w:val="00586419"/>
    <w:rsid w:val="00586D7D"/>
    <w:rsid w:val="0059485C"/>
    <w:rsid w:val="005972C2"/>
    <w:rsid w:val="005A06C8"/>
    <w:rsid w:val="005A158B"/>
    <w:rsid w:val="005A3934"/>
    <w:rsid w:val="005A57CB"/>
    <w:rsid w:val="005A6F12"/>
    <w:rsid w:val="005B119A"/>
    <w:rsid w:val="005B22EF"/>
    <w:rsid w:val="005C0252"/>
    <w:rsid w:val="005C248E"/>
    <w:rsid w:val="005C2C63"/>
    <w:rsid w:val="005C3DED"/>
    <w:rsid w:val="005D0538"/>
    <w:rsid w:val="005D3171"/>
    <w:rsid w:val="005D4A07"/>
    <w:rsid w:val="005D4FBC"/>
    <w:rsid w:val="005E19C0"/>
    <w:rsid w:val="005E7799"/>
    <w:rsid w:val="005F14A3"/>
    <w:rsid w:val="005F2EEF"/>
    <w:rsid w:val="005F437D"/>
    <w:rsid w:val="005F4A44"/>
    <w:rsid w:val="005F6027"/>
    <w:rsid w:val="005F656C"/>
    <w:rsid w:val="00601839"/>
    <w:rsid w:val="00610796"/>
    <w:rsid w:val="00616AEC"/>
    <w:rsid w:val="0061723B"/>
    <w:rsid w:val="00620CD6"/>
    <w:rsid w:val="006227FD"/>
    <w:rsid w:val="00623C3F"/>
    <w:rsid w:val="006249AC"/>
    <w:rsid w:val="00625FA8"/>
    <w:rsid w:val="00630582"/>
    <w:rsid w:val="00630B52"/>
    <w:rsid w:val="00637447"/>
    <w:rsid w:val="00644EEB"/>
    <w:rsid w:val="006528DC"/>
    <w:rsid w:val="00654E80"/>
    <w:rsid w:val="0065542C"/>
    <w:rsid w:val="00655BE3"/>
    <w:rsid w:val="006573D1"/>
    <w:rsid w:val="00661C8C"/>
    <w:rsid w:val="00664403"/>
    <w:rsid w:val="00667A88"/>
    <w:rsid w:val="0067241D"/>
    <w:rsid w:val="00675CCF"/>
    <w:rsid w:val="00676147"/>
    <w:rsid w:val="00676680"/>
    <w:rsid w:val="006801A3"/>
    <w:rsid w:val="00680A27"/>
    <w:rsid w:val="00680B87"/>
    <w:rsid w:val="00682DA7"/>
    <w:rsid w:val="006832B4"/>
    <w:rsid w:val="006839D4"/>
    <w:rsid w:val="0068636A"/>
    <w:rsid w:val="0068659C"/>
    <w:rsid w:val="00686B03"/>
    <w:rsid w:val="00687B90"/>
    <w:rsid w:val="006941F3"/>
    <w:rsid w:val="00695F04"/>
    <w:rsid w:val="0069768A"/>
    <w:rsid w:val="006A36FE"/>
    <w:rsid w:val="006A7615"/>
    <w:rsid w:val="006A79D3"/>
    <w:rsid w:val="006B5C4B"/>
    <w:rsid w:val="006C0365"/>
    <w:rsid w:val="006C2DA8"/>
    <w:rsid w:val="006C2F62"/>
    <w:rsid w:val="006C4DCE"/>
    <w:rsid w:val="006D07A9"/>
    <w:rsid w:val="006D2E24"/>
    <w:rsid w:val="006D3E64"/>
    <w:rsid w:val="006D5ABF"/>
    <w:rsid w:val="006D6D3A"/>
    <w:rsid w:val="006E0D84"/>
    <w:rsid w:val="006E1F7F"/>
    <w:rsid w:val="006E782F"/>
    <w:rsid w:val="006F0ABA"/>
    <w:rsid w:val="006F0E07"/>
    <w:rsid w:val="006F591B"/>
    <w:rsid w:val="006F5AA2"/>
    <w:rsid w:val="006F7F18"/>
    <w:rsid w:val="00705DF8"/>
    <w:rsid w:val="00706F1F"/>
    <w:rsid w:val="00707576"/>
    <w:rsid w:val="0071189A"/>
    <w:rsid w:val="00713710"/>
    <w:rsid w:val="00715C41"/>
    <w:rsid w:val="00716035"/>
    <w:rsid w:val="007167A1"/>
    <w:rsid w:val="00717D0F"/>
    <w:rsid w:val="00720B9E"/>
    <w:rsid w:val="00721154"/>
    <w:rsid w:val="00722A58"/>
    <w:rsid w:val="007325D7"/>
    <w:rsid w:val="007341EF"/>
    <w:rsid w:val="00734475"/>
    <w:rsid w:val="00736D2D"/>
    <w:rsid w:val="00741FD2"/>
    <w:rsid w:val="00745DA6"/>
    <w:rsid w:val="00746CBC"/>
    <w:rsid w:val="007516DD"/>
    <w:rsid w:val="00752117"/>
    <w:rsid w:val="007521D1"/>
    <w:rsid w:val="00752FDF"/>
    <w:rsid w:val="00762F28"/>
    <w:rsid w:val="00766D52"/>
    <w:rsid w:val="00770BB5"/>
    <w:rsid w:val="007909C9"/>
    <w:rsid w:val="007941D8"/>
    <w:rsid w:val="007968CD"/>
    <w:rsid w:val="00797D27"/>
    <w:rsid w:val="007A5D44"/>
    <w:rsid w:val="007A7D2D"/>
    <w:rsid w:val="007B09E8"/>
    <w:rsid w:val="007B3C85"/>
    <w:rsid w:val="007C42FD"/>
    <w:rsid w:val="007D4CDA"/>
    <w:rsid w:val="007D59DE"/>
    <w:rsid w:val="007E15AB"/>
    <w:rsid w:val="007E2D4A"/>
    <w:rsid w:val="007E541D"/>
    <w:rsid w:val="007E5F2A"/>
    <w:rsid w:val="007E6066"/>
    <w:rsid w:val="007F049D"/>
    <w:rsid w:val="007F3592"/>
    <w:rsid w:val="007F59EC"/>
    <w:rsid w:val="007F5F26"/>
    <w:rsid w:val="007F73F8"/>
    <w:rsid w:val="00800AC1"/>
    <w:rsid w:val="00802F3B"/>
    <w:rsid w:val="0080688A"/>
    <w:rsid w:val="00811283"/>
    <w:rsid w:val="00816421"/>
    <w:rsid w:val="00820A97"/>
    <w:rsid w:val="00821190"/>
    <w:rsid w:val="00821969"/>
    <w:rsid w:val="008221D5"/>
    <w:rsid w:val="0083171B"/>
    <w:rsid w:val="0083364F"/>
    <w:rsid w:val="008406EE"/>
    <w:rsid w:val="0084104E"/>
    <w:rsid w:val="00841AC1"/>
    <w:rsid w:val="00851EAF"/>
    <w:rsid w:val="008524A7"/>
    <w:rsid w:val="00855A8A"/>
    <w:rsid w:val="0086040B"/>
    <w:rsid w:val="008623B2"/>
    <w:rsid w:val="00863574"/>
    <w:rsid w:val="0086744E"/>
    <w:rsid w:val="00871911"/>
    <w:rsid w:val="00872A2D"/>
    <w:rsid w:val="008730BC"/>
    <w:rsid w:val="00873E97"/>
    <w:rsid w:val="008741BF"/>
    <w:rsid w:val="00875845"/>
    <w:rsid w:val="00875927"/>
    <w:rsid w:val="00876654"/>
    <w:rsid w:val="00882D42"/>
    <w:rsid w:val="0088349C"/>
    <w:rsid w:val="00884E8F"/>
    <w:rsid w:val="008854F0"/>
    <w:rsid w:val="00885C1C"/>
    <w:rsid w:val="008872C1"/>
    <w:rsid w:val="00892800"/>
    <w:rsid w:val="008937FA"/>
    <w:rsid w:val="008A39EC"/>
    <w:rsid w:val="008A5FB8"/>
    <w:rsid w:val="008B061D"/>
    <w:rsid w:val="008B52E5"/>
    <w:rsid w:val="008C5510"/>
    <w:rsid w:val="008C59E0"/>
    <w:rsid w:val="008C5EC3"/>
    <w:rsid w:val="008C6C87"/>
    <w:rsid w:val="008D530A"/>
    <w:rsid w:val="008D7001"/>
    <w:rsid w:val="008D702D"/>
    <w:rsid w:val="008E36F8"/>
    <w:rsid w:val="008E53F9"/>
    <w:rsid w:val="008E6B21"/>
    <w:rsid w:val="008F0915"/>
    <w:rsid w:val="008F2BD6"/>
    <w:rsid w:val="008F6004"/>
    <w:rsid w:val="00903613"/>
    <w:rsid w:val="0090485C"/>
    <w:rsid w:val="00907553"/>
    <w:rsid w:val="00911BF5"/>
    <w:rsid w:val="00913E3F"/>
    <w:rsid w:val="009154A2"/>
    <w:rsid w:val="00920A6C"/>
    <w:rsid w:val="00920A73"/>
    <w:rsid w:val="00925880"/>
    <w:rsid w:val="00931288"/>
    <w:rsid w:val="009347DF"/>
    <w:rsid w:val="00936901"/>
    <w:rsid w:val="00936F61"/>
    <w:rsid w:val="00940DA1"/>
    <w:rsid w:val="00942383"/>
    <w:rsid w:val="00943666"/>
    <w:rsid w:val="00944661"/>
    <w:rsid w:val="0094611D"/>
    <w:rsid w:val="00961DB6"/>
    <w:rsid w:val="009641DE"/>
    <w:rsid w:val="0096458A"/>
    <w:rsid w:val="00964C82"/>
    <w:rsid w:val="00972D05"/>
    <w:rsid w:val="0097374A"/>
    <w:rsid w:val="00975445"/>
    <w:rsid w:val="0098113F"/>
    <w:rsid w:val="00984D91"/>
    <w:rsid w:val="009856E2"/>
    <w:rsid w:val="009879E9"/>
    <w:rsid w:val="00991B1B"/>
    <w:rsid w:val="00993999"/>
    <w:rsid w:val="009939BC"/>
    <w:rsid w:val="00995CFB"/>
    <w:rsid w:val="00996183"/>
    <w:rsid w:val="00997155"/>
    <w:rsid w:val="009976D9"/>
    <w:rsid w:val="009A5D00"/>
    <w:rsid w:val="009A7051"/>
    <w:rsid w:val="009B3DB9"/>
    <w:rsid w:val="009B3FCA"/>
    <w:rsid w:val="009C2580"/>
    <w:rsid w:val="009C2825"/>
    <w:rsid w:val="009C5AC5"/>
    <w:rsid w:val="009C6F40"/>
    <w:rsid w:val="009D1E6F"/>
    <w:rsid w:val="009D2B39"/>
    <w:rsid w:val="009E0594"/>
    <w:rsid w:val="009E492D"/>
    <w:rsid w:val="009E7319"/>
    <w:rsid w:val="009E770D"/>
    <w:rsid w:val="009E7A3C"/>
    <w:rsid w:val="009F121A"/>
    <w:rsid w:val="009F29E4"/>
    <w:rsid w:val="009F3671"/>
    <w:rsid w:val="009F51A3"/>
    <w:rsid w:val="009F526A"/>
    <w:rsid w:val="009F566E"/>
    <w:rsid w:val="009F5936"/>
    <w:rsid w:val="009F6908"/>
    <w:rsid w:val="00A029D7"/>
    <w:rsid w:val="00A03A61"/>
    <w:rsid w:val="00A04B9C"/>
    <w:rsid w:val="00A071F1"/>
    <w:rsid w:val="00A07932"/>
    <w:rsid w:val="00A17E92"/>
    <w:rsid w:val="00A17F91"/>
    <w:rsid w:val="00A21149"/>
    <w:rsid w:val="00A233AB"/>
    <w:rsid w:val="00A24A2B"/>
    <w:rsid w:val="00A24C45"/>
    <w:rsid w:val="00A25BAB"/>
    <w:rsid w:val="00A26786"/>
    <w:rsid w:val="00A26851"/>
    <w:rsid w:val="00A27D48"/>
    <w:rsid w:val="00A27FB0"/>
    <w:rsid w:val="00A301E4"/>
    <w:rsid w:val="00A30C51"/>
    <w:rsid w:val="00A31E83"/>
    <w:rsid w:val="00A32C7F"/>
    <w:rsid w:val="00A34861"/>
    <w:rsid w:val="00A34AF1"/>
    <w:rsid w:val="00A40D00"/>
    <w:rsid w:val="00A4342B"/>
    <w:rsid w:val="00A43444"/>
    <w:rsid w:val="00A446A4"/>
    <w:rsid w:val="00A45FBC"/>
    <w:rsid w:val="00A47F0F"/>
    <w:rsid w:val="00A50101"/>
    <w:rsid w:val="00A5168D"/>
    <w:rsid w:val="00A54245"/>
    <w:rsid w:val="00A546CF"/>
    <w:rsid w:val="00A57E59"/>
    <w:rsid w:val="00A61337"/>
    <w:rsid w:val="00A65CB3"/>
    <w:rsid w:val="00A7155E"/>
    <w:rsid w:val="00A72829"/>
    <w:rsid w:val="00A7634C"/>
    <w:rsid w:val="00A76505"/>
    <w:rsid w:val="00A816CD"/>
    <w:rsid w:val="00A81A9C"/>
    <w:rsid w:val="00A822E1"/>
    <w:rsid w:val="00A826BA"/>
    <w:rsid w:val="00A84BC9"/>
    <w:rsid w:val="00A85A92"/>
    <w:rsid w:val="00A863A7"/>
    <w:rsid w:val="00A87678"/>
    <w:rsid w:val="00A9022D"/>
    <w:rsid w:val="00A91000"/>
    <w:rsid w:val="00A91827"/>
    <w:rsid w:val="00A91B68"/>
    <w:rsid w:val="00A9430D"/>
    <w:rsid w:val="00A9589B"/>
    <w:rsid w:val="00A961D1"/>
    <w:rsid w:val="00A96BF1"/>
    <w:rsid w:val="00A96F99"/>
    <w:rsid w:val="00AA6084"/>
    <w:rsid w:val="00AA6B40"/>
    <w:rsid w:val="00AB1A3C"/>
    <w:rsid w:val="00AB3B6A"/>
    <w:rsid w:val="00AB6D32"/>
    <w:rsid w:val="00AC05C5"/>
    <w:rsid w:val="00AD6BCA"/>
    <w:rsid w:val="00AE37AF"/>
    <w:rsid w:val="00AE50E2"/>
    <w:rsid w:val="00AE5A2A"/>
    <w:rsid w:val="00AE6013"/>
    <w:rsid w:val="00AF117E"/>
    <w:rsid w:val="00AF1B5B"/>
    <w:rsid w:val="00AF7BC9"/>
    <w:rsid w:val="00B11792"/>
    <w:rsid w:val="00B150EC"/>
    <w:rsid w:val="00B1714A"/>
    <w:rsid w:val="00B2033A"/>
    <w:rsid w:val="00B236C6"/>
    <w:rsid w:val="00B278FF"/>
    <w:rsid w:val="00B3015B"/>
    <w:rsid w:val="00B336DF"/>
    <w:rsid w:val="00B343CA"/>
    <w:rsid w:val="00B34620"/>
    <w:rsid w:val="00B34B8B"/>
    <w:rsid w:val="00B40170"/>
    <w:rsid w:val="00B41470"/>
    <w:rsid w:val="00B45774"/>
    <w:rsid w:val="00B4693F"/>
    <w:rsid w:val="00B6094A"/>
    <w:rsid w:val="00B63FCC"/>
    <w:rsid w:val="00B6770D"/>
    <w:rsid w:val="00B716FE"/>
    <w:rsid w:val="00B832CB"/>
    <w:rsid w:val="00B83A12"/>
    <w:rsid w:val="00B83E45"/>
    <w:rsid w:val="00B87BF8"/>
    <w:rsid w:val="00B87C8E"/>
    <w:rsid w:val="00B9351C"/>
    <w:rsid w:val="00B97103"/>
    <w:rsid w:val="00BA0754"/>
    <w:rsid w:val="00BA11AE"/>
    <w:rsid w:val="00BA2ADE"/>
    <w:rsid w:val="00BB305B"/>
    <w:rsid w:val="00BB3590"/>
    <w:rsid w:val="00BB4817"/>
    <w:rsid w:val="00BD1AB1"/>
    <w:rsid w:val="00BD5597"/>
    <w:rsid w:val="00BE176D"/>
    <w:rsid w:val="00BE48DD"/>
    <w:rsid w:val="00BF5445"/>
    <w:rsid w:val="00C01751"/>
    <w:rsid w:val="00C017A2"/>
    <w:rsid w:val="00C066DE"/>
    <w:rsid w:val="00C1089D"/>
    <w:rsid w:val="00C1332E"/>
    <w:rsid w:val="00C15C02"/>
    <w:rsid w:val="00C16980"/>
    <w:rsid w:val="00C16A78"/>
    <w:rsid w:val="00C172F0"/>
    <w:rsid w:val="00C21D25"/>
    <w:rsid w:val="00C231C8"/>
    <w:rsid w:val="00C237C9"/>
    <w:rsid w:val="00C250B2"/>
    <w:rsid w:val="00C27D70"/>
    <w:rsid w:val="00C30BF5"/>
    <w:rsid w:val="00C3146F"/>
    <w:rsid w:val="00C3178C"/>
    <w:rsid w:val="00C31B11"/>
    <w:rsid w:val="00C35C28"/>
    <w:rsid w:val="00C3688C"/>
    <w:rsid w:val="00C36AA6"/>
    <w:rsid w:val="00C43C95"/>
    <w:rsid w:val="00C457F7"/>
    <w:rsid w:val="00C45FA2"/>
    <w:rsid w:val="00C46D1B"/>
    <w:rsid w:val="00C47761"/>
    <w:rsid w:val="00C520AE"/>
    <w:rsid w:val="00C52F63"/>
    <w:rsid w:val="00C54654"/>
    <w:rsid w:val="00C5503D"/>
    <w:rsid w:val="00C55122"/>
    <w:rsid w:val="00C5557F"/>
    <w:rsid w:val="00C62A55"/>
    <w:rsid w:val="00C636B9"/>
    <w:rsid w:val="00C63B3A"/>
    <w:rsid w:val="00C6522B"/>
    <w:rsid w:val="00C6590B"/>
    <w:rsid w:val="00C71348"/>
    <w:rsid w:val="00C73AD9"/>
    <w:rsid w:val="00C755A3"/>
    <w:rsid w:val="00C837E3"/>
    <w:rsid w:val="00C84023"/>
    <w:rsid w:val="00C871F9"/>
    <w:rsid w:val="00C873F6"/>
    <w:rsid w:val="00C87D15"/>
    <w:rsid w:val="00C87E1E"/>
    <w:rsid w:val="00C90D19"/>
    <w:rsid w:val="00C93451"/>
    <w:rsid w:val="00C970E1"/>
    <w:rsid w:val="00CA1BE6"/>
    <w:rsid w:val="00CA4954"/>
    <w:rsid w:val="00CA5FF3"/>
    <w:rsid w:val="00CA71DD"/>
    <w:rsid w:val="00CA72F0"/>
    <w:rsid w:val="00CB0C2F"/>
    <w:rsid w:val="00CB184E"/>
    <w:rsid w:val="00CB4A3E"/>
    <w:rsid w:val="00CC46C1"/>
    <w:rsid w:val="00CC4F67"/>
    <w:rsid w:val="00CD0C1C"/>
    <w:rsid w:val="00CD4C21"/>
    <w:rsid w:val="00CE3297"/>
    <w:rsid w:val="00CE5072"/>
    <w:rsid w:val="00CE61F9"/>
    <w:rsid w:val="00CE696F"/>
    <w:rsid w:val="00CF2C8E"/>
    <w:rsid w:val="00CF2E7F"/>
    <w:rsid w:val="00CF3FF4"/>
    <w:rsid w:val="00CF74A7"/>
    <w:rsid w:val="00D006E7"/>
    <w:rsid w:val="00D01928"/>
    <w:rsid w:val="00D04245"/>
    <w:rsid w:val="00D06183"/>
    <w:rsid w:val="00D06C6A"/>
    <w:rsid w:val="00D14AAD"/>
    <w:rsid w:val="00D17CEE"/>
    <w:rsid w:val="00D225FD"/>
    <w:rsid w:val="00D226DB"/>
    <w:rsid w:val="00D30B02"/>
    <w:rsid w:val="00D32C0F"/>
    <w:rsid w:val="00D37277"/>
    <w:rsid w:val="00D42B7B"/>
    <w:rsid w:val="00D454CC"/>
    <w:rsid w:val="00D45CD0"/>
    <w:rsid w:val="00D4630B"/>
    <w:rsid w:val="00D46BF4"/>
    <w:rsid w:val="00D54D68"/>
    <w:rsid w:val="00D65449"/>
    <w:rsid w:val="00D65D64"/>
    <w:rsid w:val="00D721C8"/>
    <w:rsid w:val="00D74229"/>
    <w:rsid w:val="00D74416"/>
    <w:rsid w:val="00D75195"/>
    <w:rsid w:val="00D829E7"/>
    <w:rsid w:val="00D836C3"/>
    <w:rsid w:val="00D85035"/>
    <w:rsid w:val="00D87033"/>
    <w:rsid w:val="00D9127F"/>
    <w:rsid w:val="00D91CF7"/>
    <w:rsid w:val="00D9204C"/>
    <w:rsid w:val="00DA0114"/>
    <w:rsid w:val="00DA211F"/>
    <w:rsid w:val="00DA3892"/>
    <w:rsid w:val="00DA6183"/>
    <w:rsid w:val="00DA7085"/>
    <w:rsid w:val="00DB1DFF"/>
    <w:rsid w:val="00DC1588"/>
    <w:rsid w:val="00DC2C80"/>
    <w:rsid w:val="00DC3112"/>
    <w:rsid w:val="00DC5AD0"/>
    <w:rsid w:val="00DC5BB7"/>
    <w:rsid w:val="00DC5C58"/>
    <w:rsid w:val="00DC635E"/>
    <w:rsid w:val="00DC6CDD"/>
    <w:rsid w:val="00DC7AC7"/>
    <w:rsid w:val="00DD4B5E"/>
    <w:rsid w:val="00DD4D3E"/>
    <w:rsid w:val="00DE1480"/>
    <w:rsid w:val="00DE279F"/>
    <w:rsid w:val="00DE28F6"/>
    <w:rsid w:val="00DE5996"/>
    <w:rsid w:val="00DE6507"/>
    <w:rsid w:val="00DE6CB8"/>
    <w:rsid w:val="00DE7165"/>
    <w:rsid w:val="00DF2250"/>
    <w:rsid w:val="00DF27C8"/>
    <w:rsid w:val="00DF30BB"/>
    <w:rsid w:val="00E01F89"/>
    <w:rsid w:val="00E02C73"/>
    <w:rsid w:val="00E03943"/>
    <w:rsid w:val="00E056F0"/>
    <w:rsid w:val="00E10BE1"/>
    <w:rsid w:val="00E11891"/>
    <w:rsid w:val="00E14FB1"/>
    <w:rsid w:val="00E17F54"/>
    <w:rsid w:val="00E200F9"/>
    <w:rsid w:val="00E21E1B"/>
    <w:rsid w:val="00E220EC"/>
    <w:rsid w:val="00E22C4E"/>
    <w:rsid w:val="00E23346"/>
    <w:rsid w:val="00E2601F"/>
    <w:rsid w:val="00E33098"/>
    <w:rsid w:val="00E41E7D"/>
    <w:rsid w:val="00E43F2E"/>
    <w:rsid w:val="00E45329"/>
    <w:rsid w:val="00E464CE"/>
    <w:rsid w:val="00E46FC1"/>
    <w:rsid w:val="00E510A0"/>
    <w:rsid w:val="00E54C74"/>
    <w:rsid w:val="00E56A03"/>
    <w:rsid w:val="00E57556"/>
    <w:rsid w:val="00E61475"/>
    <w:rsid w:val="00E6613B"/>
    <w:rsid w:val="00E670A8"/>
    <w:rsid w:val="00E670FA"/>
    <w:rsid w:val="00E67E9A"/>
    <w:rsid w:val="00E751CF"/>
    <w:rsid w:val="00E7533C"/>
    <w:rsid w:val="00E7613D"/>
    <w:rsid w:val="00E76B68"/>
    <w:rsid w:val="00E80C92"/>
    <w:rsid w:val="00E8243D"/>
    <w:rsid w:val="00E82DAE"/>
    <w:rsid w:val="00E83480"/>
    <w:rsid w:val="00E863C0"/>
    <w:rsid w:val="00E86714"/>
    <w:rsid w:val="00E8673D"/>
    <w:rsid w:val="00E921C7"/>
    <w:rsid w:val="00E936DD"/>
    <w:rsid w:val="00E95F4F"/>
    <w:rsid w:val="00E9633C"/>
    <w:rsid w:val="00E97CFE"/>
    <w:rsid w:val="00EB007E"/>
    <w:rsid w:val="00EB06D9"/>
    <w:rsid w:val="00EB21A6"/>
    <w:rsid w:val="00EB25F7"/>
    <w:rsid w:val="00EB57A2"/>
    <w:rsid w:val="00EC0E4B"/>
    <w:rsid w:val="00EC3F8D"/>
    <w:rsid w:val="00EC5ABF"/>
    <w:rsid w:val="00EC5F50"/>
    <w:rsid w:val="00ED3C5E"/>
    <w:rsid w:val="00ED4728"/>
    <w:rsid w:val="00EE1190"/>
    <w:rsid w:val="00EE147E"/>
    <w:rsid w:val="00EE27A4"/>
    <w:rsid w:val="00EE4F89"/>
    <w:rsid w:val="00EE5D39"/>
    <w:rsid w:val="00EF3B10"/>
    <w:rsid w:val="00EF3D3B"/>
    <w:rsid w:val="00EF5081"/>
    <w:rsid w:val="00EF6110"/>
    <w:rsid w:val="00EF623C"/>
    <w:rsid w:val="00EF7269"/>
    <w:rsid w:val="00EF77DF"/>
    <w:rsid w:val="00F00871"/>
    <w:rsid w:val="00F10CA8"/>
    <w:rsid w:val="00F14D03"/>
    <w:rsid w:val="00F23CE4"/>
    <w:rsid w:val="00F26B06"/>
    <w:rsid w:val="00F27244"/>
    <w:rsid w:val="00F31D74"/>
    <w:rsid w:val="00F341A5"/>
    <w:rsid w:val="00F34238"/>
    <w:rsid w:val="00F346B2"/>
    <w:rsid w:val="00F36813"/>
    <w:rsid w:val="00F36932"/>
    <w:rsid w:val="00F36C89"/>
    <w:rsid w:val="00F36CB6"/>
    <w:rsid w:val="00F37677"/>
    <w:rsid w:val="00F37942"/>
    <w:rsid w:val="00F408FD"/>
    <w:rsid w:val="00F42E93"/>
    <w:rsid w:val="00F443BC"/>
    <w:rsid w:val="00F4723F"/>
    <w:rsid w:val="00F47440"/>
    <w:rsid w:val="00F50150"/>
    <w:rsid w:val="00F51510"/>
    <w:rsid w:val="00F536A2"/>
    <w:rsid w:val="00F54312"/>
    <w:rsid w:val="00F6232F"/>
    <w:rsid w:val="00F63B8E"/>
    <w:rsid w:val="00F65858"/>
    <w:rsid w:val="00F677CA"/>
    <w:rsid w:val="00F74EBB"/>
    <w:rsid w:val="00F76FAB"/>
    <w:rsid w:val="00F8187B"/>
    <w:rsid w:val="00F84700"/>
    <w:rsid w:val="00F87216"/>
    <w:rsid w:val="00F90455"/>
    <w:rsid w:val="00F90995"/>
    <w:rsid w:val="00F91ABF"/>
    <w:rsid w:val="00F92178"/>
    <w:rsid w:val="00F92C97"/>
    <w:rsid w:val="00F936C3"/>
    <w:rsid w:val="00F93F97"/>
    <w:rsid w:val="00F94579"/>
    <w:rsid w:val="00FA06DC"/>
    <w:rsid w:val="00FA0E20"/>
    <w:rsid w:val="00FA4BD9"/>
    <w:rsid w:val="00FA64CA"/>
    <w:rsid w:val="00FA7F00"/>
    <w:rsid w:val="00FB18F4"/>
    <w:rsid w:val="00FB195E"/>
    <w:rsid w:val="00FB35BF"/>
    <w:rsid w:val="00FB50B6"/>
    <w:rsid w:val="00FB707B"/>
    <w:rsid w:val="00FB72EB"/>
    <w:rsid w:val="00FC2E67"/>
    <w:rsid w:val="00FC35A7"/>
    <w:rsid w:val="00FC6546"/>
    <w:rsid w:val="00FD102C"/>
    <w:rsid w:val="00FD2A15"/>
    <w:rsid w:val="00FD37F5"/>
    <w:rsid w:val="00FD5D0C"/>
    <w:rsid w:val="00FD63CD"/>
    <w:rsid w:val="00FD6E63"/>
    <w:rsid w:val="00FE364B"/>
    <w:rsid w:val="00FE53BC"/>
    <w:rsid w:val="00FE6BBA"/>
    <w:rsid w:val="00FE771C"/>
    <w:rsid w:val="00FE7FCB"/>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88BE92"/>
  <w15:docId w15:val="{DB8755A5-0B43-4CB7-B8D4-751344DB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17205"/>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de-D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LegalNumPar">
    <w:name w:val="LegalNumPar"/>
    <w:basedOn w:val="Normal"/>
    <w:rsid w:val="00F408FD"/>
    <w:pPr>
      <w:numPr>
        <w:numId w:val="13"/>
      </w:numPr>
      <w:spacing w:line="360" w:lineRule="auto"/>
    </w:pPr>
  </w:style>
  <w:style w:type="paragraph" w:customStyle="1" w:styleId="LegalNumPar2">
    <w:name w:val="LegalNumPar2"/>
    <w:basedOn w:val="Normal"/>
    <w:rsid w:val="00F408FD"/>
    <w:pPr>
      <w:numPr>
        <w:ilvl w:val="1"/>
        <w:numId w:val="13"/>
      </w:numPr>
      <w:spacing w:line="360" w:lineRule="auto"/>
    </w:pPr>
  </w:style>
  <w:style w:type="paragraph" w:customStyle="1" w:styleId="LegalNumPar3">
    <w:name w:val="LegalNumPar3"/>
    <w:basedOn w:val="Normal"/>
    <w:rsid w:val="00F408FD"/>
    <w:pPr>
      <w:numPr>
        <w:ilvl w:val="2"/>
        <w:numId w:val="13"/>
      </w:numPr>
      <w:spacing w:line="360" w:lineRule="auto"/>
    </w:pPr>
  </w:style>
  <w:style w:type="character" w:customStyle="1" w:styleId="conf-macro">
    <w:name w:val="conf-macro"/>
    <w:basedOn w:val="DefaultParagraphFont"/>
    <w:rsid w:val="00E41E7D"/>
  </w:style>
  <w:style w:type="paragraph" w:customStyle="1" w:styleId="norm">
    <w:name w:val="norm"/>
    <w:basedOn w:val="Normal"/>
    <w:rsid w:val="0054591C"/>
    <w:pPr>
      <w:spacing w:before="100" w:beforeAutospacing="1" w:after="100" w:afterAutospacing="1"/>
      <w:jc w:val="left"/>
    </w:pPr>
    <w:rPr>
      <w:rFonts w:eastAsia="Times New Roman"/>
      <w:szCs w:val="24"/>
      <w:lang w:eastAsia="fr-BE"/>
    </w:rPr>
  </w:style>
  <w:style w:type="paragraph" w:customStyle="1" w:styleId="oj-normal">
    <w:name w:val="oj-normal"/>
    <w:basedOn w:val="Normal"/>
    <w:rsid w:val="00FF6E2E"/>
    <w:pPr>
      <w:spacing w:before="100" w:beforeAutospacing="1" w:after="100" w:afterAutospacing="1"/>
      <w:jc w:val="left"/>
    </w:pPr>
    <w:rPr>
      <w:rFonts w:eastAsia="Times New Roman"/>
      <w:szCs w:val="24"/>
      <w:lang w:eastAsia="fr-BE"/>
    </w:rPr>
  </w:style>
  <w:style w:type="character" w:customStyle="1" w:styleId="oj-super">
    <w:name w:val="oj-super"/>
    <w:basedOn w:val="DefaultParagraphFont"/>
    <w:rsid w:val="00FF6E2E"/>
  </w:style>
  <w:style w:type="paragraph" w:customStyle="1" w:styleId="italic">
    <w:name w:val="italic"/>
    <w:basedOn w:val="Normal"/>
    <w:rsid w:val="00CB4A3E"/>
    <w:pPr>
      <w:spacing w:before="100" w:beforeAutospacing="1" w:after="100" w:afterAutospacing="1"/>
      <w:jc w:val="left"/>
    </w:pPr>
    <w:rPr>
      <w:rFonts w:eastAsia="Times New Roman"/>
      <w:szCs w:val="24"/>
      <w:lang w:eastAsia="fr-BE"/>
    </w:rPr>
  </w:style>
  <w:style w:type="character" w:customStyle="1" w:styleId="italic1">
    <w:name w:val="italic1"/>
    <w:basedOn w:val="DefaultParagraphFont"/>
    <w:rsid w:val="00CB4A3E"/>
  </w:style>
  <w:style w:type="paragraph" w:customStyle="1" w:styleId="oj-ti-art">
    <w:name w:val="oj-ti-art"/>
    <w:basedOn w:val="Normal"/>
    <w:rsid w:val="00C520AE"/>
    <w:pPr>
      <w:spacing w:before="100" w:beforeAutospacing="1" w:after="100" w:afterAutospacing="1"/>
      <w:jc w:val="left"/>
    </w:pPr>
    <w:rPr>
      <w:rFonts w:eastAsia="Times New Roman"/>
      <w:szCs w:val="24"/>
      <w:lang w:eastAsia="fr-BE"/>
    </w:rPr>
  </w:style>
  <w:style w:type="paragraph" w:customStyle="1" w:styleId="oj-sti-art">
    <w:name w:val="oj-sti-art"/>
    <w:basedOn w:val="Normal"/>
    <w:rsid w:val="00C520AE"/>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rsid w:val="001E1836"/>
    <w:pPr>
      <w:tabs>
        <w:tab w:val="center" w:pos="4535"/>
        <w:tab w:val="right" w:pos="9071"/>
      </w:tabs>
      <w:spacing w:before="0"/>
    </w:pPr>
  </w:style>
  <w:style w:type="character" w:customStyle="1" w:styleId="HeaderChar">
    <w:name w:val="Header Char"/>
    <w:basedOn w:val="DefaultParagraphFont"/>
    <w:link w:val="Header"/>
    <w:uiPriority w:val="99"/>
    <w:rsid w:val="001E1836"/>
    <w:rPr>
      <w:rFonts w:ascii="Times New Roman" w:hAnsi="Times New Roman" w:cs="Times New Roman"/>
      <w:sz w:val="24"/>
      <w:lang w:val="de-DE"/>
    </w:rPr>
  </w:style>
  <w:style w:type="paragraph" w:styleId="Footer">
    <w:name w:val="footer"/>
    <w:basedOn w:val="Normal"/>
    <w:link w:val="FooterChar"/>
    <w:uiPriority w:val="99"/>
    <w:unhideWhenUsed/>
    <w:rsid w:val="001E183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E1836"/>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1E1836"/>
    <w:pPr>
      <w:tabs>
        <w:tab w:val="center" w:pos="7285"/>
        <w:tab w:val="right" w:pos="14003"/>
      </w:tabs>
      <w:spacing w:before="0"/>
    </w:pPr>
  </w:style>
  <w:style w:type="paragraph" w:customStyle="1" w:styleId="FooterLandscape">
    <w:name w:val="FooterLandscape"/>
    <w:basedOn w:val="Normal"/>
    <w:rsid w:val="001E183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1E183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E1836"/>
    <w:pPr>
      <w:spacing w:before="0"/>
      <w:jc w:val="right"/>
    </w:pPr>
    <w:rPr>
      <w:sz w:val="28"/>
    </w:rPr>
  </w:style>
  <w:style w:type="paragraph" w:customStyle="1" w:styleId="FooterSensitivity">
    <w:name w:val="Footer Sensitivity"/>
    <w:basedOn w:val="Normal"/>
    <w:rsid w:val="001E183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1"/>
      </w:numPr>
    </w:pPr>
  </w:style>
  <w:style w:type="paragraph" w:customStyle="1" w:styleId="Tiret1">
    <w:name w:val="Tiret 1"/>
    <w:basedOn w:val="Point1"/>
    <w:rsid w:val="00517205"/>
    <w:pPr>
      <w:numPr>
        <w:numId w:val="32"/>
      </w:numPr>
    </w:pPr>
  </w:style>
  <w:style w:type="paragraph" w:customStyle="1" w:styleId="Tiret2">
    <w:name w:val="Tiret 2"/>
    <w:basedOn w:val="Point2"/>
    <w:rsid w:val="00517205"/>
    <w:pPr>
      <w:numPr>
        <w:numId w:val="33"/>
      </w:numPr>
    </w:pPr>
  </w:style>
  <w:style w:type="paragraph" w:customStyle="1" w:styleId="Tiret3">
    <w:name w:val="Tiret 3"/>
    <w:basedOn w:val="Point3"/>
    <w:rsid w:val="00517205"/>
    <w:pPr>
      <w:numPr>
        <w:numId w:val="34"/>
      </w:numPr>
    </w:pPr>
  </w:style>
  <w:style w:type="paragraph" w:customStyle="1" w:styleId="Tiret4">
    <w:name w:val="Tiret 4"/>
    <w:basedOn w:val="Point4"/>
    <w:rsid w:val="00517205"/>
    <w:pPr>
      <w:numPr>
        <w:numId w:val="35"/>
      </w:numPr>
    </w:pPr>
  </w:style>
  <w:style w:type="paragraph" w:customStyle="1" w:styleId="Tiret5">
    <w:name w:val="Tiret 5"/>
    <w:basedOn w:val="Point5"/>
    <w:rsid w:val="00517205"/>
    <w:pPr>
      <w:numPr>
        <w:numId w:val="3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7"/>
      </w:numPr>
    </w:pPr>
  </w:style>
  <w:style w:type="paragraph" w:customStyle="1" w:styleId="NumPar2">
    <w:name w:val="NumPar 2"/>
    <w:basedOn w:val="Normal"/>
    <w:next w:val="Text1"/>
    <w:rsid w:val="00517205"/>
    <w:pPr>
      <w:numPr>
        <w:ilvl w:val="1"/>
        <w:numId w:val="37"/>
      </w:numPr>
    </w:pPr>
  </w:style>
  <w:style w:type="paragraph" w:customStyle="1" w:styleId="NumPar3">
    <w:name w:val="NumPar 3"/>
    <w:basedOn w:val="Normal"/>
    <w:next w:val="Text1"/>
    <w:rsid w:val="00517205"/>
    <w:pPr>
      <w:numPr>
        <w:ilvl w:val="2"/>
        <w:numId w:val="37"/>
      </w:numPr>
    </w:pPr>
  </w:style>
  <w:style w:type="paragraph" w:customStyle="1" w:styleId="NumPar4">
    <w:name w:val="NumPar 4"/>
    <w:basedOn w:val="Normal"/>
    <w:next w:val="Text1"/>
    <w:rsid w:val="00517205"/>
    <w:pPr>
      <w:numPr>
        <w:ilvl w:val="3"/>
        <w:numId w:val="37"/>
      </w:numPr>
    </w:pPr>
  </w:style>
  <w:style w:type="paragraph" w:customStyle="1" w:styleId="NumPar5">
    <w:name w:val="NumPar 5"/>
    <w:basedOn w:val="Normal"/>
    <w:next w:val="Text2"/>
    <w:rsid w:val="00517205"/>
    <w:pPr>
      <w:numPr>
        <w:ilvl w:val="4"/>
        <w:numId w:val="37"/>
      </w:numPr>
    </w:pPr>
  </w:style>
  <w:style w:type="paragraph" w:customStyle="1" w:styleId="NumPar6">
    <w:name w:val="NumPar 6"/>
    <w:basedOn w:val="Normal"/>
    <w:next w:val="Text2"/>
    <w:rsid w:val="00517205"/>
    <w:pPr>
      <w:numPr>
        <w:ilvl w:val="5"/>
        <w:numId w:val="37"/>
      </w:numPr>
    </w:pPr>
  </w:style>
  <w:style w:type="paragraph" w:customStyle="1" w:styleId="NumPar7">
    <w:name w:val="NumPar 7"/>
    <w:basedOn w:val="Normal"/>
    <w:next w:val="Text2"/>
    <w:rsid w:val="00517205"/>
    <w:pPr>
      <w:numPr>
        <w:ilvl w:val="6"/>
        <w:numId w:val="3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BB3590"/>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9"/>
      </w:numPr>
    </w:pPr>
  </w:style>
  <w:style w:type="paragraph" w:customStyle="1" w:styleId="Point1number">
    <w:name w:val="Point 1 (number)"/>
    <w:basedOn w:val="Normal"/>
    <w:rsid w:val="00517205"/>
    <w:pPr>
      <w:numPr>
        <w:ilvl w:val="2"/>
        <w:numId w:val="39"/>
      </w:numPr>
    </w:pPr>
  </w:style>
  <w:style w:type="paragraph" w:customStyle="1" w:styleId="Point2number">
    <w:name w:val="Point 2 (number)"/>
    <w:basedOn w:val="Normal"/>
    <w:rsid w:val="00517205"/>
    <w:pPr>
      <w:numPr>
        <w:ilvl w:val="4"/>
        <w:numId w:val="39"/>
      </w:numPr>
    </w:pPr>
  </w:style>
  <w:style w:type="paragraph" w:customStyle="1" w:styleId="Point3number">
    <w:name w:val="Point 3 (number)"/>
    <w:basedOn w:val="Normal"/>
    <w:rsid w:val="00517205"/>
    <w:pPr>
      <w:numPr>
        <w:ilvl w:val="6"/>
        <w:numId w:val="39"/>
      </w:numPr>
    </w:pPr>
  </w:style>
  <w:style w:type="paragraph" w:customStyle="1" w:styleId="Point0letter">
    <w:name w:val="Point 0 (letter)"/>
    <w:basedOn w:val="Normal"/>
    <w:rsid w:val="00517205"/>
    <w:pPr>
      <w:numPr>
        <w:ilvl w:val="1"/>
        <w:numId w:val="39"/>
      </w:numPr>
    </w:pPr>
  </w:style>
  <w:style w:type="paragraph" w:customStyle="1" w:styleId="Point1letter">
    <w:name w:val="Point 1 (letter)"/>
    <w:basedOn w:val="Normal"/>
    <w:rsid w:val="00517205"/>
    <w:pPr>
      <w:numPr>
        <w:ilvl w:val="3"/>
        <w:numId w:val="39"/>
      </w:numPr>
    </w:pPr>
  </w:style>
  <w:style w:type="paragraph" w:customStyle="1" w:styleId="Point2letter">
    <w:name w:val="Point 2 (letter)"/>
    <w:basedOn w:val="Normal"/>
    <w:rsid w:val="00517205"/>
    <w:pPr>
      <w:numPr>
        <w:ilvl w:val="5"/>
        <w:numId w:val="39"/>
      </w:numPr>
    </w:pPr>
  </w:style>
  <w:style w:type="paragraph" w:customStyle="1" w:styleId="Point3letter">
    <w:name w:val="Point 3 (letter)"/>
    <w:basedOn w:val="Normal"/>
    <w:rsid w:val="00517205"/>
    <w:pPr>
      <w:numPr>
        <w:ilvl w:val="7"/>
        <w:numId w:val="39"/>
      </w:numPr>
    </w:pPr>
  </w:style>
  <w:style w:type="paragraph" w:customStyle="1" w:styleId="Point4letter">
    <w:name w:val="Point 4 (letter)"/>
    <w:basedOn w:val="Normal"/>
    <w:rsid w:val="00517205"/>
    <w:pPr>
      <w:numPr>
        <w:ilvl w:val="8"/>
        <w:numId w:val="39"/>
      </w:numPr>
    </w:pPr>
  </w:style>
  <w:style w:type="paragraph" w:customStyle="1" w:styleId="Bullet0">
    <w:name w:val="Bullet 0"/>
    <w:basedOn w:val="Normal"/>
    <w:rsid w:val="00517205"/>
    <w:pPr>
      <w:numPr>
        <w:numId w:val="40"/>
      </w:numPr>
    </w:pPr>
  </w:style>
  <w:style w:type="paragraph" w:customStyle="1" w:styleId="Bullet1">
    <w:name w:val="Bullet 1"/>
    <w:basedOn w:val="Normal"/>
    <w:rsid w:val="00517205"/>
    <w:pPr>
      <w:numPr>
        <w:numId w:val="41"/>
      </w:numPr>
    </w:pPr>
  </w:style>
  <w:style w:type="paragraph" w:customStyle="1" w:styleId="Bullet2">
    <w:name w:val="Bullet 2"/>
    <w:basedOn w:val="Normal"/>
    <w:rsid w:val="00517205"/>
    <w:pPr>
      <w:numPr>
        <w:numId w:val="42"/>
      </w:numPr>
    </w:pPr>
  </w:style>
  <w:style w:type="paragraph" w:customStyle="1" w:styleId="Bullet3">
    <w:name w:val="Bullet 3"/>
    <w:basedOn w:val="Normal"/>
    <w:rsid w:val="00517205"/>
    <w:pPr>
      <w:numPr>
        <w:numId w:val="43"/>
      </w:numPr>
    </w:pPr>
  </w:style>
  <w:style w:type="paragraph" w:customStyle="1" w:styleId="Bullet4">
    <w:name w:val="Bullet 4"/>
    <w:basedOn w:val="Normal"/>
    <w:rsid w:val="00517205"/>
    <w:pPr>
      <w:numPr>
        <w:numId w:val="4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5198">
      <w:bodyDiv w:val="1"/>
      <w:marLeft w:val="0"/>
      <w:marRight w:val="0"/>
      <w:marTop w:val="0"/>
      <w:marBottom w:val="0"/>
      <w:divBdr>
        <w:top w:val="none" w:sz="0" w:space="0" w:color="auto"/>
        <w:left w:val="none" w:sz="0" w:space="0" w:color="auto"/>
        <w:bottom w:val="none" w:sz="0" w:space="0" w:color="auto"/>
        <w:right w:val="none" w:sz="0" w:space="0" w:color="auto"/>
      </w:divBdr>
    </w:div>
    <w:div w:id="46026945">
      <w:bodyDiv w:val="1"/>
      <w:marLeft w:val="0"/>
      <w:marRight w:val="0"/>
      <w:marTop w:val="0"/>
      <w:marBottom w:val="0"/>
      <w:divBdr>
        <w:top w:val="none" w:sz="0" w:space="0" w:color="auto"/>
        <w:left w:val="none" w:sz="0" w:space="0" w:color="auto"/>
        <w:bottom w:val="none" w:sz="0" w:space="0" w:color="auto"/>
        <w:right w:val="none" w:sz="0" w:space="0" w:color="auto"/>
      </w:divBdr>
      <w:divsChild>
        <w:div w:id="1910768907">
          <w:marLeft w:val="0"/>
          <w:marRight w:val="0"/>
          <w:marTop w:val="0"/>
          <w:marBottom w:val="0"/>
          <w:divBdr>
            <w:top w:val="none" w:sz="0" w:space="0" w:color="auto"/>
            <w:left w:val="none" w:sz="0" w:space="0" w:color="auto"/>
            <w:bottom w:val="none" w:sz="0" w:space="0" w:color="auto"/>
            <w:right w:val="none" w:sz="0" w:space="0" w:color="auto"/>
          </w:divBdr>
        </w:div>
      </w:divsChild>
    </w:div>
    <w:div w:id="102769352">
      <w:bodyDiv w:val="1"/>
      <w:marLeft w:val="0"/>
      <w:marRight w:val="0"/>
      <w:marTop w:val="0"/>
      <w:marBottom w:val="0"/>
      <w:divBdr>
        <w:top w:val="none" w:sz="0" w:space="0" w:color="auto"/>
        <w:left w:val="none" w:sz="0" w:space="0" w:color="auto"/>
        <w:bottom w:val="none" w:sz="0" w:space="0" w:color="auto"/>
        <w:right w:val="none" w:sz="0" w:space="0" w:color="auto"/>
      </w:divBdr>
    </w:div>
    <w:div w:id="109515952">
      <w:bodyDiv w:val="1"/>
      <w:marLeft w:val="0"/>
      <w:marRight w:val="0"/>
      <w:marTop w:val="0"/>
      <w:marBottom w:val="0"/>
      <w:divBdr>
        <w:top w:val="none" w:sz="0" w:space="0" w:color="auto"/>
        <w:left w:val="none" w:sz="0" w:space="0" w:color="auto"/>
        <w:bottom w:val="none" w:sz="0" w:space="0" w:color="auto"/>
        <w:right w:val="none" w:sz="0" w:space="0" w:color="auto"/>
      </w:divBdr>
    </w:div>
    <w:div w:id="110514703">
      <w:bodyDiv w:val="1"/>
      <w:marLeft w:val="0"/>
      <w:marRight w:val="0"/>
      <w:marTop w:val="0"/>
      <w:marBottom w:val="0"/>
      <w:divBdr>
        <w:top w:val="none" w:sz="0" w:space="0" w:color="auto"/>
        <w:left w:val="none" w:sz="0" w:space="0" w:color="auto"/>
        <w:bottom w:val="none" w:sz="0" w:space="0" w:color="auto"/>
        <w:right w:val="none" w:sz="0" w:space="0" w:color="auto"/>
      </w:divBdr>
      <w:divsChild>
        <w:div w:id="883712604">
          <w:marLeft w:val="0"/>
          <w:marRight w:val="0"/>
          <w:marTop w:val="0"/>
          <w:marBottom w:val="0"/>
          <w:divBdr>
            <w:top w:val="none" w:sz="0" w:space="0" w:color="auto"/>
            <w:left w:val="none" w:sz="0" w:space="0" w:color="auto"/>
            <w:bottom w:val="none" w:sz="0" w:space="0" w:color="auto"/>
            <w:right w:val="none" w:sz="0" w:space="0" w:color="auto"/>
          </w:divBdr>
        </w:div>
      </w:divsChild>
    </w:div>
    <w:div w:id="144977089">
      <w:bodyDiv w:val="1"/>
      <w:marLeft w:val="0"/>
      <w:marRight w:val="0"/>
      <w:marTop w:val="0"/>
      <w:marBottom w:val="0"/>
      <w:divBdr>
        <w:top w:val="none" w:sz="0" w:space="0" w:color="auto"/>
        <w:left w:val="none" w:sz="0" w:space="0" w:color="auto"/>
        <w:bottom w:val="none" w:sz="0" w:space="0" w:color="auto"/>
        <w:right w:val="none" w:sz="0" w:space="0" w:color="auto"/>
      </w:divBdr>
      <w:divsChild>
        <w:div w:id="622229626">
          <w:marLeft w:val="0"/>
          <w:marRight w:val="0"/>
          <w:marTop w:val="0"/>
          <w:marBottom w:val="0"/>
          <w:divBdr>
            <w:top w:val="none" w:sz="0" w:space="0" w:color="auto"/>
            <w:left w:val="none" w:sz="0" w:space="0" w:color="auto"/>
            <w:bottom w:val="none" w:sz="0" w:space="0" w:color="auto"/>
            <w:right w:val="none" w:sz="0" w:space="0" w:color="auto"/>
          </w:divBdr>
        </w:div>
      </w:divsChild>
    </w:div>
    <w:div w:id="254943782">
      <w:bodyDiv w:val="1"/>
      <w:marLeft w:val="0"/>
      <w:marRight w:val="0"/>
      <w:marTop w:val="0"/>
      <w:marBottom w:val="0"/>
      <w:divBdr>
        <w:top w:val="none" w:sz="0" w:space="0" w:color="auto"/>
        <w:left w:val="none" w:sz="0" w:space="0" w:color="auto"/>
        <w:bottom w:val="none" w:sz="0" w:space="0" w:color="auto"/>
        <w:right w:val="none" w:sz="0" w:space="0" w:color="auto"/>
      </w:divBdr>
    </w:div>
    <w:div w:id="271985018">
      <w:bodyDiv w:val="1"/>
      <w:marLeft w:val="0"/>
      <w:marRight w:val="0"/>
      <w:marTop w:val="0"/>
      <w:marBottom w:val="0"/>
      <w:divBdr>
        <w:top w:val="none" w:sz="0" w:space="0" w:color="auto"/>
        <w:left w:val="none" w:sz="0" w:space="0" w:color="auto"/>
        <w:bottom w:val="none" w:sz="0" w:space="0" w:color="auto"/>
        <w:right w:val="none" w:sz="0" w:space="0" w:color="auto"/>
      </w:divBdr>
    </w:div>
    <w:div w:id="336541489">
      <w:bodyDiv w:val="1"/>
      <w:marLeft w:val="0"/>
      <w:marRight w:val="0"/>
      <w:marTop w:val="0"/>
      <w:marBottom w:val="0"/>
      <w:divBdr>
        <w:top w:val="none" w:sz="0" w:space="0" w:color="auto"/>
        <w:left w:val="none" w:sz="0" w:space="0" w:color="auto"/>
        <w:bottom w:val="none" w:sz="0" w:space="0" w:color="auto"/>
        <w:right w:val="none" w:sz="0" w:space="0" w:color="auto"/>
      </w:divBdr>
    </w:div>
    <w:div w:id="342440935">
      <w:bodyDiv w:val="1"/>
      <w:marLeft w:val="0"/>
      <w:marRight w:val="0"/>
      <w:marTop w:val="0"/>
      <w:marBottom w:val="0"/>
      <w:divBdr>
        <w:top w:val="none" w:sz="0" w:space="0" w:color="auto"/>
        <w:left w:val="none" w:sz="0" w:space="0" w:color="auto"/>
        <w:bottom w:val="none" w:sz="0" w:space="0" w:color="auto"/>
        <w:right w:val="none" w:sz="0" w:space="0" w:color="auto"/>
      </w:divBdr>
    </w:div>
    <w:div w:id="347827879">
      <w:bodyDiv w:val="1"/>
      <w:marLeft w:val="0"/>
      <w:marRight w:val="0"/>
      <w:marTop w:val="0"/>
      <w:marBottom w:val="0"/>
      <w:divBdr>
        <w:top w:val="none" w:sz="0" w:space="0" w:color="auto"/>
        <w:left w:val="none" w:sz="0" w:space="0" w:color="auto"/>
        <w:bottom w:val="none" w:sz="0" w:space="0" w:color="auto"/>
        <w:right w:val="none" w:sz="0" w:space="0" w:color="auto"/>
      </w:divBdr>
      <w:divsChild>
        <w:div w:id="967509353">
          <w:marLeft w:val="0"/>
          <w:marRight w:val="0"/>
          <w:marTop w:val="0"/>
          <w:marBottom w:val="0"/>
          <w:divBdr>
            <w:top w:val="none" w:sz="0" w:space="0" w:color="auto"/>
            <w:left w:val="none" w:sz="0" w:space="0" w:color="auto"/>
            <w:bottom w:val="none" w:sz="0" w:space="0" w:color="auto"/>
            <w:right w:val="none" w:sz="0" w:space="0" w:color="auto"/>
          </w:divBdr>
        </w:div>
      </w:divsChild>
    </w:div>
    <w:div w:id="375744408">
      <w:bodyDiv w:val="1"/>
      <w:marLeft w:val="0"/>
      <w:marRight w:val="0"/>
      <w:marTop w:val="0"/>
      <w:marBottom w:val="0"/>
      <w:divBdr>
        <w:top w:val="none" w:sz="0" w:space="0" w:color="auto"/>
        <w:left w:val="none" w:sz="0" w:space="0" w:color="auto"/>
        <w:bottom w:val="none" w:sz="0" w:space="0" w:color="auto"/>
        <w:right w:val="none" w:sz="0" w:space="0" w:color="auto"/>
      </w:divBdr>
    </w:div>
    <w:div w:id="378894176">
      <w:bodyDiv w:val="1"/>
      <w:marLeft w:val="0"/>
      <w:marRight w:val="0"/>
      <w:marTop w:val="0"/>
      <w:marBottom w:val="0"/>
      <w:divBdr>
        <w:top w:val="none" w:sz="0" w:space="0" w:color="auto"/>
        <w:left w:val="none" w:sz="0" w:space="0" w:color="auto"/>
        <w:bottom w:val="none" w:sz="0" w:space="0" w:color="auto"/>
        <w:right w:val="none" w:sz="0" w:space="0" w:color="auto"/>
      </w:divBdr>
    </w:div>
    <w:div w:id="413014906">
      <w:bodyDiv w:val="1"/>
      <w:marLeft w:val="0"/>
      <w:marRight w:val="0"/>
      <w:marTop w:val="0"/>
      <w:marBottom w:val="0"/>
      <w:divBdr>
        <w:top w:val="none" w:sz="0" w:space="0" w:color="auto"/>
        <w:left w:val="none" w:sz="0" w:space="0" w:color="auto"/>
        <w:bottom w:val="none" w:sz="0" w:space="0" w:color="auto"/>
        <w:right w:val="none" w:sz="0" w:space="0" w:color="auto"/>
      </w:divBdr>
    </w:div>
    <w:div w:id="427969001">
      <w:bodyDiv w:val="1"/>
      <w:marLeft w:val="0"/>
      <w:marRight w:val="0"/>
      <w:marTop w:val="0"/>
      <w:marBottom w:val="0"/>
      <w:divBdr>
        <w:top w:val="none" w:sz="0" w:space="0" w:color="auto"/>
        <w:left w:val="none" w:sz="0" w:space="0" w:color="auto"/>
        <w:bottom w:val="none" w:sz="0" w:space="0" w:color="auto"/>
        <w:right w:val="none" w:sz="0" w:space="0" w:color="auto"/>
      </w:divBdr>
    </w:div>
    <w:div w:id="463742396">
      <w:bodyDiv w:val="1"/>
      <w:marLeft w:val="0"/>
      <w:marRight w:val="0"/>
      <w:marTop w:val="0"/>
      <w:marBottom w:val="0"/>
      <w:divBdr>
        <w:top w:val="none" w:sz="0" w:space="0" w:color="auto"/>
        <w:left w:val="none" w:sz="0" w:space="0" w:color="auto"/>
        <w:bottom w:val="none" w:sz="0" w:space="0" w:color="auto"/>
        <w:right w:val="none" w:sz="0" w:space="0" w:color="auto"/>
      </w:divBdr>
    </w:div>
    <w:div w:id="649292010">
      <w:bodyDiv w:val="1"/>
      <w:marLeft w:val="0"/>
      <w:marRight w:val="0"/>
      <w:marTop w:val="0"/>
      <w:marBottom w:val="0"/>
      <w:divBdr>
        <w:top w:val="none" w:sz="0" w:space="0" w:color="auto"/>
        <w:left w:val="none" w:sz="0" w:space="0" w:color="auto"/>
        <w:bottom w:val="none" w:sz="0" w:space="0" w:color="auto"/>
        <w:right w:val="none" w:sz="0" w:space="0" w:color="auto"/>
      </w:divBdr>
    </w:div>
    <w:div w:id="658193626">
      <w:bodyDiv w:val="1"/>
      <w:marLeft w:val="0"/>
      <w:marRight w:val="0"/>
      <w:marTop w:val="0"/>
      <w:marBottom w:val="0"/>
      <w:divBdr>
        <w:top w:val="none" w:sz="0" w:space="0" w:color="auto"/>
        <w:left w:val="none" w:sz="0" w:space="0" w:color="auto"/>
        <w:bottom w:val="none" w:sz="0" w:space="0" w:color="auto"/>
        <w:right w:val="none" w:sz="0" w:space="0" w:color="auto"/>
      </w:divBdr>
      <w:divsChild>
        <w:div w:id="39019151">
          <w:marLeft w:val="0"/>
          <w:marRight w:val="0"/>
          <w:marTop w:val="0"/>
          <w:marBottom w:val="0"/>
          <w:divBdr>
            <w:top w:val="none" w:sz="0" w:space="0" w:color="auto"/>
            <w:left w:val="none" w:sz="0" w:space="0" w:color="auto"/>
            <w:bottom w:val="none" w:sz="0" w:space="0" w:color="auto"/>
            <w:right w:val="none" w:sz="0" w:space="0" w:color="auto"/>
          </w:divBdr>
          <w:divsChild>
            <w:div w:id="1690065773">
              <w:marLeft w:val="0"/>
              <w:marRight w:val="0"/>
              <w:marTop w:val="0"/>
              <w:marBottom w:val="0"/>
              <w:divBdr>
                <w:top w:val="none" w:sz="0" w:space="0" w:color="auto"/>
                <w:left w:val="none" w:sz="0" w:space="0" w:color="auto"/>
                <w:bottom w:val="none" w:sz="0" w:space="0" w:color="auto"/>
                <w:right w:val="none" w:sz="0" w:space="0" w:color="auto"/>
              </w:divBdr>
            </w:div>
          </w:divsChild>
        </w:div>
        <w:div w:id="1411003199">
          <w:marLeft w:val="0"/>
          <w:marRight w:val="0"/>
          <w:marTop w:val="0"/>
          <w:marBottom w:val="0"/>
          <w:divBdr>
            <w:top w:val="none" w:sz="0" w:space="0" w:color="auto"/>
            <w:left w:val="none" w:sz="0" w:space="0" w:color="auto"/>
            <w:bottom w:val="none" w:sz="0" w:space="0" w:color="auto"/>
            <w:right w:val="none" w:sz="0" w:space="0" w:color="auto"/>
          </w:divBdr>
          <w:divsChild>
            <w:div w:id="1874607878">
              <w:marLeft w:val="0"/>
              <w:marRight w:val="0"/>
              <w:marTop w:val="0"/>
              <w:marBottom w:val="0"/>
              <w:divBdr>
                <w:top w:val="none" w:sz="0" w:space="0" w:color="auto"/>
                <w:left w:val="none" w:sz="0" w:space="0" w:color="auto"/>
                <w:bottom w:val="none" w:sz="0" w:space="0" w:color="auto"/>
                <w:right w:val="none" w:sz="0" w:space="0" w:color="auto"/>
              </w:divBdr>
            </w:div>
          </w:divsChild>
        </w:div>
        <w:div w:id="1746800817">
          <w:marLeft w:val="0"/>
          <w:marRight w:val="0"/>
          <w:marTop w:val="0"/>
          <w:marBottom w:val="0"/>
          <w:divBdr>
            <w:top w:val="none" w:sz="0" w:space="0" w:color="auto"/>
            <w:left w:val="none" w:sz="0" w:space="0" w:color="auto"/>
            <w:bottom w:val="none" w:sz="0" w:space="0" w:color="auto"/>
            <w:right w:val="none" w:sz="0" w:space="0" w:color="auto"/>
          </w:divBdr>
          <w:divsChild>
            <w:div w:id="2496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8602">
      <w:bodyDiv w:val="1"/>
      <w:marLeft w:val="0"/>
      <w:marRight w:val="0"/>
      <w:marTop w:val="0"/>
      <w:marBottom w:val="0"/>
      <w:divBdr>
        <w:top w:val="none" w:sz="0" w:space="0" w:color="auto"/>
        <w:left w:val="none" w:sz="0" w:space="0" w:color="auto"/>
        <w:bottom w:val="none" w:sz="0" w:space="0" w:color="auto"/>
        <w:right w:val="none" w:sz="0" w:space="0" w:color="auto"/>
      </w:divBdr>
    </w:div>
    <w:div w:id="706106811">
      <w:bodyDiv w:val="1"/>
      <w:marLeft w:val="0"/>
      <w:marRight w:val="0"/>
      <w:marTop w:val="0"/>
      <w:marBottom w:val="0"/>
      <w:divBdr>
        <w:top w:val="none" w:sz="0" w:space="0" w:color="auto"/>
        <w:left w:val="none" w:sz="0" w:space="0" w:color="auto"/>
        <w:bottom w:val="none" w:sz="0" w:space="0" w:color="auto"/>
        <w:right w:val="none" w:sz="0" w:space="0" w:color="auto"/>
      </w:divBdr>
    </w:div>
    <w:div w:id="790831165">
      <w:bodyDiv w:val="1"/>
      <w:marLeft w:val="0"/>
      <w:marRight w:val="0"/>
      <w:marTop w:val="0"/>
      <w:marBottom w:val="0"/>
      <w:divBdr>
        <w:top w:val="none" w:sz="0" w:space="0" w:color="auto"/>
        <w:left w:val="none" w:sz="0" w:space="0" w:color="auto"/>
        <w:bottom w:val="none" w:sz="0" w:space="0" w:color="auto"/>
        <w:right w:val="none" w:sz="0" w:space="0" w:color="auto"/>
      </w:divBdr>
    </w:div>
    <w:div w:id="792333122">
      <w:bodyDiv w:val="1"/>
      <w:marLeft w:val="0"/>
      <w:marRight w:val="0"/>
      <w:marTop w:val="0"/>
      <w:marBottom w:val="0"/>
      <w:divBdr>
        <w:top w:val="none" w:sz="0" w:space="0" w:color="auto"/>
        <w:left w:val="none" w:sz="0" w:space="0" w:color="auto"/>
        <w:bottom w:val="none" w:sz="0" w:space="0" w:color="auto"/>
        <w:right w:val="none" w:sz="0" w:space="0" w:color="auto"/>
      </w:divBdr>
    </w:div>
    <w:div w:id="802888683">
      <w:bodyDiv w:val="1"/>
      <w:marLeft w:val="0"/>
      <w:marRight w:val="0"/>
      <w:marTop w:val="0"/>
      <w:marBottom w:val="0"/>
      <w:divBdr>
        <w:top w:val="none" w:sz="0" w:space="0" w:color="auto"/>
        <w:left w:val="none" w:sz="0" w:space="0" w:color="auto"/>
        <w:bottom w:val="none" w:sz="0" w:space="0" w:color="auto"/>
        <w:right w:val="none" w:sz="0" w:space="0" w:color="auto"/>
      </w:divBdr>
    </w:div>
    <w:div w:id="805901146">
      <w:bodyDiv w:val="1"/>
      <w:marLeft w:val="0"/>
      <w:marRight w:val="0"/>
      <w:marTop w:val="0"/>
      <w:marBottom w:val="0"/>
      <w:divBdr>
        <w:top w:val="none" w:sz="0" w:space="0" w:color="auto"/>
        <w:left w:val="none" w:sz="0" w:space="0" w:color="auto"/>
        <w:bottom w:val="none" w:sz="0" w:space="0" w:color="auto"/>
        <w:right w:val="none" w:sz="0" w:space="0" w:color="auto"/>
      </w:divBdr>
    </w:div>
    <w:div w:id="840584757">
      <w:bodyDiv w:val="1"/>
      <w:marLeft w:val="0"/>
      <w:marRight w:val="0"/>
      <w:marTop w:val="0"/>
      <w:marBottom w:val="0"/>
      <w:divBdr>
        <w:top w:val="none" w:sz="0" w:space="0" w:color="auto"/>
        <w:left w:val="none" w:sz="0" w:space="0" w:color="auto"/>
        <w:bottom w:val="none" w:sz="0" w:space="0" w:color="auto"/>
        <w:right w:val="none" w:sz="0" w:space="0" w:color="auto"/>
      </w:divBdr>
    </w:div>
    <w:div w:id="871914680">
      <w:bodyDiv w:val="1"/>
      <w:marLeft w:val="0"/>
      <w:marRight w:val="0"/>
      <w:marTop w:val="0"/>
      <w:marBottom w:val="0"/>
      <w:divBdr>
        <w:top w:val="none" w:sz="0" w:space="0" w:color="auto"/>
        <w:left w:val="none" w:sz="0" w:space="0" w:color="auto"/>
        <w:bottom w:val="none" w:sz="0" w:space="0" w:color="auto"/>
        <w:right w:val="none" w:sz="0" w:space="0" w:color="auto"/>
      </w:divBdr>
      <w:divsChild>
        <w:div w:id="1716734589">
          <w:marLeft w:val="0"/>
          <w:marRight w:val="0"/>
          <w:marTop w:val="0"/>
          <w:marBottom w:val="0"/>
          <w:divBdr>
            <w:top w:val="none" w:sz="0" w:space="0" w:color="auto"/>
            <w:left w:val="none" w:sz="0" w:space="0" w:color="auto"/>
            <w:bottom w:val="none" w:sz="0" w:space="0" w:color="auto"/>
            <w:right w:val="none" w:sz="0" w:space="0" w:color="auto"/>
          </w:divBdr>
          <w:divsChild>
            <w:div w:id="5881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178">
      <w:bodyDiv w:val="1"/>
      <w:marLeft w:val="0"/>
      <w:marRight w:val="0"/>
      <w:marTop w:val="0"/>
      <w:marBottom w:val="0"/>
      <w:divBdr>
        <w:top w:val="none" w:sz="0" w:space="0" w:color="auto"/>
        <w:left w:val="none" w:sz="0" w:space="0" w:color="auto"/>
        <w:bottom w:val="none" w:sz="0" w:space="0" w:color="auto"/>
        <w:right w:val="none" w:sz="0" w:space="0" w:color="auto"/>
      </w:divBdr>
      <w:divsChild>
        <w:div w:id="1702511058">
          <w:marLeft w:val="0"/>
          <w:marRight w:val="0"/>
          <w:marTop w:val="0"/>
          <w:marBottom w:val="0"/>
          <w:divBdr>
            <w:top w:val="none" w:sz="0" w:space="0" w:color="auto"/>
            <w:left w:val="none" w:sz="0" w:space="0" w:color="auto"/>
            <w:bottom w:val="none" w:sz="0" w:space="0" w:color="auto"/>
            <w:right w:val="none" w:sz="0" w:space="0" w:color="auto"/>
          </w:divBdr>
        </w:div>
      </w:divsChild>
    </w:div>
    <w:div w:id="1001155353">
      <w:bodyDiv w:val="1"/>
      <w:marLeft w:val="0"/>
      <w:marRight w:val="0"/>
      <w:marTop w:val="0"/>
      <w:marBottom w:val="0"/>
      <w:divBdr>
        <w:top w:val="none" w:sz="0" w:space="0" w:color="auto"/>
        <w:left w:val="none" w:sz="0" w:space="0" w:color="auto"/>
        <w:bottom w:val="none" w:sz="0" w:space="0" w:color="auto"/>
        <w:right w:val="none" w:sz="0" w:space="0" w:color="auto"/>
      </w:divBdr>
    </w:div>
    <w:div w:id="1020399835">
      <w:bodyDiv w:val="1"/>
      <w:marLeft w:val="0"/>
      <w:marRight w:val="0"/>
      <w:marTop w:val="0"/>
      <w:marBottom w:val="0"/>
      <w:divBdr>
        <w:top w:val="none" w:sz="0" w:space="0" w:color="auto"/>
        <w:left w:val="none" w:sz="0" w:space="0" w:color="auto"/>
        <w:bottom w:val="none" w:sz="0" w:space="0" w:color="auto"/>
        <w:right w:val="none" w:sz="0" w:space="0" w:color="auto"/>
      </w:divBdr>
    </w:div>
    <w:div w:id="1036199854">
      <w:bodyDiv w:val="1"/>
      <w:marLeft w:val="0"/>
      <w:marRight w:val="0"/>
      <w:marTop w:val="0"/>
      <w:marBottom w:val="0"/>
      <w:divBdr>
        <w:top w:val="none" w:sz="0" w:space="0" w:color="auto"/>
        <w:left w:val="none" w:sz="0" w:space="0" w:color="auto"/>
        <w:bottom w:val="none" w:sz="0" w:space="0" w:color="auto"/>
        <w:right w:val="none" w:sz="0" w:space="0" w:color="auto"/>
      </w:divBdr>
    </w:div>
    <w:div w:id="1058164167">
      <w:bodyDiv w:val="1"/>
      <w:marLeft w:val="0"/>
      <w:marRight w:val="0"/>
      <w:marTop w:val="0"/>
      <w:marBottom w:val="0"/>
      <w:divBdr>
        <w:top w:val="none" w:sz="0" w:space="0" w:color="auto"/>
        <w:left w:val="none" w:sz="0" w:space="0" w:color="auto"/>
        <w:bottom w:val="none" w:sz="0" w:space="0" w:color="auto"/>
        <w:right w:val="none" w:sz="0" w:space="0" w:color="auto"/>
      </w:divBdr>
    </w:div>
    <w:div w:id="1127120312">
      <w:bodyDiv w:val="1"/>
      <w:marLeft w:val="0"/>
      <w:marRight w:val="0"/>
      <w:marTop w:val="0"/>
      <w:marBottom w:val="0"/>
      <w:divBdr>
        <w:top w:val="none" w:sz="0" w:space="0" w:color="auto"/>
        <w:left w:val="none" w:sz="0" w:space="0" w:color="auto"/>
        <w:bottom w:val="none" w:sz="0" w:space="0" w:color="auto"/>
        <w:right w:val="none" w:sz="0" w:space="0" w:color="auto"/>
      </w:divBdr>
    </w:div>
    <w:div w:id="1133525164">
      <w:bodyDiv w:val="1"/>
      <w:marLeft w:val="0"/>
      <w:marRight w:val="0"/>
      <w:marTop w:val="0"/>
      <w:marBottom w:val="0"/>
      <w:divBdr>
        <w:top w:val="none" w:sz="0" w:space="0" w:color="auto"/>
        <w:left w:val="none" w:sz="0" w:space="0" w:color="auto"/>
        <w:bottom w:val="none" w:sz="0" w:space="0" w:color="auto"/>
        <w:right w:val="none" w:sz="0" w:space="0" w:color="auto"/>
      </w:divBdr>
    </w:div>
    <w:div w:id="1175729724">
      <w:bodyDiv w:val="1"/>
      <w:marLeft w:val="0"/>
      <w:marRight w:val="0"/>
      <w:marTop w:val="0"/>
      <w:marBottom w:val="0"/>
      <w:divBdr>
        <w:top w:val="none" w:sz="0" w:space="0" w:color="auto"/>
        <w:left w:val="none" w:sz="0" w:space="0" w:color="auto"/>
        <w:bottom w:val="none" w:sz="0" w:space="0" w:color="auto"/>
        <w:right w:val="none" w:sz="0" w:space="0" w:color="auto"/>
      </w:divBdr>
    </w:div>
    <w:div w:id="1251161004">
      <w:bodyDiv w:val="1"/>
      <w:marLeft w:val="0"/>
      <w:marRight w:val="0"/>
      <w:marTop w:val="0"/>
      <w:marBottom w:val="0"/>
      <w:divBdr>
        <w:top w:val="none" w:sz="0" w:space="0" w:color="auto"/>
        <w:left w:val="none" w:sz="0" w:space="0" w:color="auto"/>
        <w:bottom w:val="none" w:sz="0" w:space="0" w:color="auto"/>
        <w:right w:val="none" w:sz="0" w:space="0" w:color="auto"/>
      </w:divBdr>
    </w:div>
    <w:div w:id="1256859194">
      <w:bodyDiv w:val="1"/>
      <w:marLeft w:val="0"/>
      <w:marRight w:val="0"/>
      <w:marTop w:val="0"/>
      <w:marBottom w:val="0"/>
      <w:divBdr>
        <w:top w:val="none" w:sz="0" w:space="0" w:color="auto"/>
        <w:left w:val="none" w:sz="0" w:space="0" w:color="auto"/>
        <w:bottom w:val="none" w:sz="0" w:space="0" w:color="auto"/>
        <w:right w:val="none" w:sz="0" w:space="0" w:color="auto"/>
      </w:divBdr>
    </w:div>
    <w:div w:id="1294874134">
      <w:bodyDiv w:val="1"/>
      <w:marLeft w:val="0"/>
      <w:marRight w:val="0"/>
      <w:marTop w:val="0"/>
      <w:marBottom w:val="0"/>
      <w:divBdr>
        <w:top w:val="none" w:sz="0" w:space="0" w:color="auto"/>
        <w:left w:val="none" w:sz="0" w:space="0" w:color="auto"/>
        <w:bottom w:val="none" w:sz="0" w:space="0" w:color="auto"/>
        <w:right w:val="none" w:sz="0" w:space="0" w:color="auto"/>
      </w:divBdr>
    </w:div>
    <w:div w:id="1298338917">
      <w:bodyDiv w:val="1"/>
      <w:marLeft w:val="0"/>
      <w:marRight w:val="0"/>
      <w:marTop w:val="0"/>
      <w:marBottom w:val="0"/>
      <w:divBdr>
        <w:top w:val="none" w:sz="0" w:space="0" w:color="auto"/>
        <w:left w:val="none" w:sz="0" w:space="0" w:color="auto"/>
        <w:bottom w:val="none" w:sz="0" w:space="0" w:color="auto"/>
        <w:right w:val="none" w:sz="0" w:space="0" w:color="auto"/>
      </w:divBdr>
    </w:div>
    <w:div w:id="1323239417">
      <w:bodyDiv w:val="1"/>
      <w:marLeft w:val="0"/>
      <w:marRight w:val="0"/>
      <w:marTop w:val="0"/>
      <w:marBottom w:val="0"/>
      <w:divBdr>
        <w:top w:val="none" w:sz="0" w:space="0" w:color="auto"/>
        <w:left w:val="none" w:sz="0" w:space="0" w:color="auto"/>
        <w:bottom w:val="none" w:sz="0" w:space="0" w:color="auto"/>
        <w:right w:val="none" w:sz="0" w:space="0" w:color="auto"/>
      </w:divBdr>
    </w:div>
    <w:div w:id="1351371084">
      <w:bodyDiv w:val="1"/>
      <w:marLeft w:val="0"/>
      <w:marRight w:val="0"/>
      <w:marTop w:val="0"/>
      <w:marBottom w:val="0"/>
      <w:divBdr>
        <w:top w:val="none" w:sz="0" w:space="0" w:color="auto"/>
        <w:left w:val="none" w:sz="0" w:space="0" w:color="auto"/>
        <w:bottom w:val="none" w:sz="0" w:space="0" w:color="auto"/>
        <w:right w:val="none" w:sz="0" w:space="0" w:color="auto"/>
      </w:divBdr>
      <w:divsChild>
        <w:div w:id="390813519">
          <w:marLeft w:val="0"/>
          <w:marRight w:val="0"/>
          <w:marTop w:val="0"/>
          <w:marBottom w:val="0"/>
          <w:divBdr>
            <w:top w:val="none" w:sz="0" w:space="0" w:color="auto"/>
            <w:left w:val="none" w:sz="0" w:space="0" w:color="auto"/>
            <w:bottom w:val="none" w:sz="0" w:space="0" w:color="auto"/>
            <w:right w:val="none" w:sz="0" w:space="0" w:color="auto"/>
          </w:divBdr>
        </w:div>
        <w:div w:id="355737634">
          <w:marLeft w:val="0"/>
          <w:marRight w:val="0"/>
          <w:marTop w:val="0"/>
          <w:marBottom w:val="0"/>
          <w:divBdr>
            <w:top w:val="none" w:sz="0" w:space="0" w:color="auto"/>
            <w:left w:val="none" w:sz="0" w:space="0" w:color="auto"/>
            <w:bottom w:val="none" w:sz="0" w:space="0" w:color="auto"/>
            <w:right w:val="none" w:sz="0" w:space="0" w:color="auto"/>
          </w:divBdr>
        </w:div>
      </w:divsChild>
    </w:div>
    <w:div w:id="1357467509">
      <w:bodyDiv w:val="1"/>
      <w:marLeft w:val="0"/>
      <w:marRight w:val="0"/>
      <w:marTop w:val="0"/>
      <w:marBottom w:val="0"/>
      <w:divBdr>
        <w:top w:val="none" w:sz="0" w:space="0" w:color="auto"/>
        <w:left w:val="none" w:sz="0" w:space="0" w:color="auto"/>
        <w:bottom w:val="none" w:sz="0" w:space="0" w:color="auto"/>
        <w:right w:val="none" w:sz="0" w:space="0" w:color="auto"/>
      </w:divBdr>
    </w:div>
    <w:div w:id="1380010866">
      <w:bodyDiv w:val="1"/>
      <w:marLeft w:val="0"/>
      <w:marRight w:val="0"/>
      <w:marTop w:val="0"/>
      <w:marBottom w:val="0"/>
      <w:divBdr>
        <w:top w:val="none" w:sz="0" w:space="0" w:color="auto"/>
        <w:left w:val="none" w:sz="0" w:space="0" w:color="auto"/>
        <w:bottom w:val="none" w:sz="0" w:space="0" w:color="auto"/>
        <w:right w:val="none" w:sz="0" w:space="0" w:color="auto"/>
      </w:divBdr>
    </w:div>
    <w:div w:id="1393191772">
      <w:bodyDiv w:val="1"/>
      <w:marLeft w:val="0"/>
      <w:marRight w:val="0"/>
      <w:marTop w:val="0"/>
      <w:marBottom w:val="0"/>
      <w:divBdr>
        <w:top w:val="none" w:sz="0" w:space="0" w:color="auto"/>
        <w:left w:val="none" w:sz="0" w:space="0" w:color="auto"/>
        <w:bottom w:val="none" w:sz="0" w:space="0" w:color="auto"/>
        <w:right w:val="none" w:sz="0" w:space="0" w:color="auto"/>
      </w:divBdr>
      <w:divsChild>
        <w:div w:id="808400285">
          <w:marLeft w:val="0"/>
          <w:marRight w:val="0"/>
          <w:marTop w:val="0"/>
          <w:marBottom w:val="0"/>
          <w:divBdr>
            <w:top w:val="none" w:sz="0" w:space="0" w:color="auto"/>
            <w:left w:val="none" w:sz="0" w:space="0" w:color="auto"/>
            <w:bottom w:val="none" w:sz="0" w:space="0" w:color="auto"/>
            <w:right w:val="none" w:sz="0" w:space="0" w:color="auto"/>
          </w:divBdr>
        </w:div>
      </w:divsChild>
    </w:div>
    <w:div w:id="1504468489">
      <w:bodyDiv w:val="1"/>
      <w:marLeft w:val="0"/>
      <w:marRight w:val="0"/>
      <w:marTop w:val="0"/>
      <w:marBottom w:val="0"/>
      <w:divBdr>
        <w:top w:val="none" w:sz="0" w:space="0" w:color="auto"/>
        <w:left w:val="none" w:sz="0" w:space="0" w:color="auto"/>
        <w:bottom w:val="none" w:sz="0" w:space="0" w:color="auto"/>
        <w:right w:val="none" w:sz="0" w:space="0" w:color="auto"/>
      </w:divBdr>
    </w:div>
    <w:div w:id="1549952501">
      <w:bodyDiv w:val="1"/>
      <w:marLeft w:val="0"/>
      <w:marRight w:val="0"/>
      <w:marTop w:val="0"/>
      <w:marBottom w:val="0"/>
      <w:divBdr>
        <w:top w:val="none" w:sz="0" w:space="0" w:color="auto"/>
        <w:left w:val="none" w:sz="0" w:space="0" w:color="auto"/>
        <w:bottom w:val="none" w:sz="0" w:space="0" w:color="auto"/>
        <w:right w:val="none" w:sz="0" w:space="0" w:color="auto"/>
      </w:divBdr>
    </w:div>
    <w:div w:id="1575777495">
      <w:bodyDiv w:val="1"/>
      <w:marLeft w:val="0"/>
      <w:marRight w:val="0"/>
      <w:marTop w:val="0"/>
      <w:marBottom w:val="0"/>
      <w:divBdr>
        <w:top w:val="none" w:sz="0" w:space="0" w:color="auto"/>
        <w:left w:val="none" w:sz="0" w:space="0" w:color="auto"/>
        <w:bottom w:val="none" w:sz="0" w:space="0" w:color="auto"/>
        <w:right w:val="none" w:sz="0" w:space="0" w:color="auto"/>
      </w:divBdr>
    </w:div>
    <w:div w:id="1599096399">
      <w:bodyDiv w:val="1"/>
      <w:marLeft w:val="0"/>
      <w:marRight w:val="0"/>
      <w:marTop w:val="0"/>
      <w:marBottom w:val="0"/>
      <w:divBdr>
        <w:top w:val="none" w:sz="0" w:space="0" w:color="auto"/>
        <w:left w:val="none" w:sz="0" w:space="0" w:color="auto"/>
        <w:bottom w:val="none" w:sz="0" w:space="0" w:color="auto"/>
        <w:right w:val="none" w:sz="0" w:space="0" w:color="auto"/>
      </w:divBdr>
    </w:div>
    <w:div w:id="1611007894">
      <w:bodyDiv w:val="1"/>
      <w:marLeft w:val="0"/>
      <w:marRight w:val="0"/>
      <w:marTop w:val="0"/>
      <w:marBottom w:val="0"/>
      <w:divBdr>
        <w:top w:val="none" w:sz="0" w:space="0" w:color="auto"/>
        <w:left w:val="none" w:sz="0" w:space="0" w:color="auto"/>
        <w:bottom w:val="none" w:sz="0" w:space="0" w:color="auto"/>
        <w:right w:val="none" w:sz="0" w:space="0" w:color="auto"/>
      </w:divBdr>
    </w:div>
    <w:div w:id="1719159734">
      <w:bodyDiv w:val="1"/>
      <w:marLeft w:val="0"/>
      <w:marRight w:val="0"/>
      <w:marTop w:val="0"/>
      <w:marBottom w:val="0"/>
      <w:divBdr>
        <w:top w:val="none" w:sz="0" w:space="0" w:color="auto"/>
        <w:left w:val="none" w:sz="0" w:space="0" w:color="auto"/>
        <w:bottom w:val="none" w:sz="0" w:space="0" w:color="auto"/>
        <w:right w:val="none" w:sz="0" w:space="0" w:color="auto"/>
      </w:divBdr>
      <w:divsChild>
        <w:div w:id="197164470">
          <w:marLeft w:val="0"/>
          <w:marRight w:val="0"/>
          <w:marTop w:val="0"/>
          <w:marBottom w:val="0"/>
          <w:divBdr>
            <w:top w:val="none" w:sz="0" w:space="0" w:color="auto"/>
            <w:left w:val="none" w:sz="0" w:space="0" w:color="auto"/>
            <w:bottom w:val="none" w:sz="0" w:space="0" w:color="auto"/>
            <w:right w:val="none" w:sz="0" w:space="0" w:color="auto"/>
          </w:divBdr>
          <w:divsChild>
            <w:div w:id="160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115">
      <w:bodyDiv w:val="1"/>
      <w:marLeft w:val="0"/>
      <w:marRight w:val="0"/>
      <w:marTop w:val="0"/>
      <w:marBottom w:val="0"/>
      <w:divBdr>
        <w:top w:val="none" w:sz="0" w:space="0" w:color="auto"/>
        <w:left w:val="none" w:sz="0" w:space="0" w:color="auto"/>
        <w:bottom w:val="none" w:sz="0" w:space="0" w:color="auto"/>
        <w:right w:val="none" w:sz="0" w:space="0" w:color="auto"/>
      </w:divBdr>
      <w:divsChild>
        <w:div w:id="794253794">
          <w:marLeft w:val="0"/>
          <w:marRight w:val="0"/>
          <w:marTop w:val="0"/>
          <w:marBottom w:val="0"/>
          <w:divBdr>
            <w:top w:val="none" w:sz="0" w:space="0" w:color="auto"/>
            <w:left w:val="none" w:sz="0" w:space="0" w:color="auto"/>
            <w:bottom w:val="none" w:sz="0" w:space="0" w:color="auto"/>
            <w:right w:val="none" w:sz="0" w:space="0" w:color="auto"/>
          </w:divBdr>
        </w:div>
        <w:div w:id="1325544407">
          <w:marLeft w:val="0"/>
          <w:marRight w:val="0"/>
          <w:marTop w:val="0"/>
          <w:marBottom w:val="0"/>
          <w:divBdr>
            <w:top w:val="none" w:sz="0" w:space="0" w:color="auto"/>
            <w:left w:val="none" w:sz="0" w:space="0" w:color="auto"/>
            <w:bottom w:val="none" w:sz="0" w:space="0" w:color="auto"/>
            <w:right w:val="none" w:sz="0" w:space="0" w:color="auto"/>
          </w:divBdr>
        </w:div>
      </w:divsChild>
    </w:div>
    <w:div w:id="1751344001">
      <w:bodyDiv w:val="1"/>
      <w:marLeft w:val="0"/>
      <w:marRight w:val="0"/>
      <w:marTop w:val="0"/>
      <w:marBottom w:val="0"/>
      <w:divBdr>
        <w:top w:val="none" w:sz="0" w:space="0" w:color="auto"/>
        <w:left w:val="none" w:sz="0" w:space="0" w:color="auto"/>
        <w:bottom w:val="none" w:sz="0" w:space="0" w:color="auto"/>
        <w:right w:val="none" w:sz="0" w:space="0" w:color="auto"/>
      </w:divBdr>
      <w:divsChild>
        <w:div w:id="1312056641">
          <w:marLeft w:val="0"/>
          <w:marRight w:val="0"/>
          <w:marTop w:val="0"/>
          <w:marBottom w:val="0"/>
          <w:divBdr>
            <w:top w:val="none" w:sz="0" w:space="0" w:color="auto"/>
            <w:left w:val="none" w:sz="0" w:space="0" w:color="auto"/>
            <w:bottom w:val="none" w:sz="0" w:space="0" w:color="auto"/>
            <w:right w:val="none" w:sz="0" w:space="0" w:color="auto"/>
          </w:divBdr>
          <w:divsChild>
            <w:div w:id="616331001">
              <w:marLeft w:val="0"/>
              <w:marRight w:val="0"/>
              <w:marTop w:val="120"/>
              <w:marBottom w:val="0"/>
              <w:divBdr>
                <w:top w:val="none" w:sz="0" w:space="0" w:color="auto"/>
                <w:left w:val="none" w:sz="0" w:space="0" w:color="auto"/>
                <w:bottom w:val="none" w:sz="0" w:space="0" w:color="auto"/>
                <w:right w:val="none" w:sz="0" w:space="0" w:color="auto"/>
              </w:divBdr>
            </w:div>
            <w:div w:id="1550385774">
              <w:marLeft w:val="0"/>
              <w:marRight w:val="0"/>
              <w:marTop w:val="0"/>
              <w:marBottom w:val="0"/>
              <w:divBdr>
                <w:top w:val="none" w:sz="0" w:space="0" w:color="auto"/>
                <w:left w:val="none" w:sz="0" w:space="0" w:color="auto"/>
                <w:bottom w:val="none" w:sz="0" w:space="0" w:color="auto"/>
                <w:right w:val="none" w:sz="0" w:space="0" w:color="auto"/>
              </w:divBdr>
            </w:div>
          </w:divsChild>
        </w:div>
        <w:div w:id="1152217495">
          <w:marLeft w:val="0"/>
          <w:marRight w:val="0"/>
          <w:marTop w:val="0"/>
          <w:marBottom w:val="0"/>
          <w:divBdr>
            <w:top w:val="none" w:sz="0" w:space="0" w:color="auto"/>
            <w:left w:val="none" w:sz="0" w:space="0" w:color="auto"/>
            <w:bottom w:val="none" w:sz="0" w:space="0" w:color="auto"/>
            <w:right w:val="none" w:sz="0" w:space="0" w:color="auto"/>
          </w:divBdr>
          <w:divsChild>
            <w:div w:id="239220322">
              <w:marLeft w:val="0"/>
              <w:marRight w:val="0"/>
              <w:marTop w:val="120"/>
              <w:marBottom w:val="0"/>
              <w:divBdr>
                <w:top w:val="none" w:sz="0" w:space="0" w:color="auto"/>
                <w:left w:val="none" w:sz="0" w:space="0" w:color="auto"/>
                <w:bottom w:val="none" w:sz="0" w:space="0" w:color="auto"/>
                <w:right w:val="none" w:sz="0" w:space="0" w:color="auto"/>
              </w:divBdr>
            </w:div>
            <w:div w:id="1814715901">
              <w:marLeft w:val="0"/>
              <w:marRight w:val="0"/>
              <w:marTop w:val="0"/>
              <w:marBottom w:val="0"/>
              <w:divBdr>
                <w:top w:val="none" w:sz="0" w:space="0" w:color="auto"/>
                <w:left w:val="none" w:sz="0" w:space="0" w:color="auto"/>
                <w:bottom w:val="none" w:sz="0" w:space="0" w:color="auto"/>
                <w:right w:val="none" w:sz="0" w:space="0" w:color="auto"/>
              </w:divBdr>
            </w:div>
          </w:divsChild>
        </w:div>
        <w:div w:id="1299267251">
          <w:marLeft w:val="0"/>
          <w:marRight w:val="0"/>
          <w:marTop w:val="0"/>
          <w:marBottom w:val="0"/>
          <w:divBdr>
            <w:top w:val="none" w:sz="0" w:space="0" w:color="auto"/>
            <w:left w:val="none" w:sz="0" w:space="0" w:color="auto"/>
            <w:bottom w:val="none" w:sz="0" w:space="0" w:color="auto"/>
            <w:right w:val="none" w:sz="0" w:space="0" w:color="auto"/>
          </w:divBdr>
          <w:divsChild>
            <w:div w:id="1151168019">
              <w:marLeft w:val="0"/>
              <w:marRight w:val="0"/>
              <w:marTop w:val="120"/>
              <w:marBottom w:val="0"/>
              <w:divBdr>
                <w:top w:val="none" w:sz="0" w:space="0" w:color="auto"/>
                <w:left w:val="none" w:sz="0" w:space="0" w:color="auto"/>
                <w:bottom w:val="none" w:sz="0" w:space="0" w:color="auto"/>
                <w:right w:val="none" w:sz="0" w:space="0" w:color="auto"/>
              </w:divBdr>
            </w:div>
            <w:div w:id="1875846058">
              <w:marLeft w:val="0"/>
              <w:marRight w:val="0"/>
              <w:marTop w:val="0"/>
              <w:marBottom w:val="0"/>
              <w:divBdr>
                <w:top w:val="none" w:sz="0" w:space="0" w:color="auto"/>
                <w:left w:val="none" w:sz="0" w:space="0" w:color="auto"/>
                <w:bottom w:val="none" w:sz="0" w:space="0" w:color="auto"/>
                <w:right w:val="none" w:sz="0" w:space="0" w:color="auto"/>
              </w:divBdr>
            </w:div>
          </w:divsChild>
        </w:div>
        <w:div w:id="955676773">
          <w:marLeft w:val="0"/>
          <w:marRight w:val="0"/>
          <w:marTop w:val="0"/>
          <w:marBottom w:val="0"/>
          <w:divBdr>
            <w:top w:val="none" w:sz="0" w:space="0" w:color="auto"/>
            <w:left w:val="none" w:sz="0" w:space="0" w:color="auto"/>
            <w:bottom w:val="none" w:sz="0" w:space="0" w:color="auto"/>
            <w:right w:val="none" w:sz="0" w:space="0" w:color="auto"/>
          </w:divBdr>
          <w:divsChild>
            <w:div w:id="1925217323">
              <w:marLeft w:val="0"/>
              <w:marRight w:val="0"/>
              <w:marTop w:val="120"/>
              <w:marBottom w:val="0"/>
              <w:divBdr>
                <w:top w:val="none" w:sz="0" w:space="0" w:color="auto"/>
                <w:left w:val="none" w:sz="0" w:space="0" w:color="auto"/>
                <w:bottom w:val="none" w:sz="0" w:space="0" w:color="auto"/>
                <w:right w:val="none" w:sz="0" w:space="0" w:color="auto"/>
              </w:divBdr>
            </w:div>
            <w:div w:id="722944193">
              <w:marLeft w:val="0"/>
              <w:marRight w:val="0"/>
              <w:marTop w:val="0"/>
              <w:marBottom w:val="0"/>
              <w:divBdr>
                <w:top w:val="none" w:sz="0" w:space="0" w:color="auto"/>
                <w:left w:val="none" w:sz="0" w:space="0" w:color="auto"/>
                <w:bottom w:val="none" w:sz="0" w:space="0" w:color="auto"/>
                <w:right w:val="none" w:sz="0" w:space="0" w:color="auto"/>
              </w:divBdr>
            </w:div>
          </w:divsChild>
        </w:div>
        <w:div w:id="1973830635">
          <w:marLeft w:val="0"/>
          <w:marRight w:val="0"/>
          <w:marTop w:val="0"/>
          <w:marBottom w:val="0"/>
          <w:divBdr>
            <w:top w:val="none" w:sz="0" w:space="0" w:color="auto"/>
            <w:left w:val="none" w:sz="0" w:space="0" w:color="auto"/>
            <w:bottom w:val="none" w:sz="0" w:space="0" w:color="auto"/>
            <w:right w:val="none" w:sz="0" w:space="0" w:color="auto"/>
          </w:divBdr>
          <w:divsChild>
            <w:div w:id="1862081827">
              <w:marLeft w:val="0"/>
              <w:marRight w:val="0"/>
              <w:marTop w:val="120"/>
              <w:marBottom w:val="0"/>
              <w:divBdr>
                <w:top w:val="none" w:sz="0" w:space="0" w:color="auto"/>
                <w:left w:val="none" w:sz="0" w:space="0" w:color="auto"/>
                <w:bottom w:val="none" w:sz="0" w:space="0" w:color="auto"/>
                <w:right w:val="none" w:sz="0" w:space="0" w:color="auto"/>
              </w:divBdr>
            </w:div>
            <w:div w:id="1555655794">
              <w:marLeft w:val="0"/>
              <w:marRight w:val="0"/>
              <w:marTop w:val="0"/>
              <w:marBottom w:val="0"/>
              <w:divBdr>
                <w:top w:val="none" w:sz="0" w:space="0" w:color="auto"/>
                <w:left w:val="none" w:sz="0" w:space="0" w:color="auto"/>
                <w:bottom w:val="none" w:sz="0" w:space="0" w:color="auto"/>
                <w:right w:val="none" w:sz="0" w:space="0" w:color="auto"/>
              </w:divBdr>
            </w:div>
          </w:divsChild>
        </w:div>
        <w:div w:id="1490751165">
          <w:marLeft w:val="0"/>
          <w:marRight w:val="0"/>
          <w:marTop w:val="0"/>
          <w:marBottom w:val="0"/>
          <w:divBdr>
            <w:top w:val="none" w:sz="0" w:space="0" w:color="auto"/>
            <w:left w:val="none" w:sz="0" w:space="0" w:color="auto"/>
            <w:bottom w:val="none" w:sz="0" w:space="0" w:color="auto"/>
            <w:right w:val="none" w:sz="0" w:space="0" w:color="auto"/>
          </w:divBdr>
          <w:divsChild>
            <w:div w:id="584606673">
              <w:marLeft w:val="0"/>
              <w:marRight w:val="0"/>
              <w:marTop w:val="120"/>
              <w:marBottom w:val="0"/>
              <w:divBdr>
                <w:top w:val="none" w:sz="0" w:space="0" w:color="auto"/>
                <w:left w:val="none" w:sz="0" w:space="0" w:color="auto"/>
                <w:bottom w:val="none" w:sz="0" w:space="0" w:color="auto"/>
                <w:right w:val="none" w:sz="0" w:space="0" w:color="auto"/>
              </w:divBdr>
            </w:div>
            <w:div w:id="21314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0853">
      <w:bodyDiv w:val="1"/>
      <w:marLeft w:val="0"/>
      <w:marRight w:val="0"/>
      <w:marTop w:val="0"/>
      <w:marBottom w:val="0"/>
      <w:divBdr>
        <w:top w:val="none" w:sz="0" w:space="0" w:color="auto"/>
        <w:left w:val="none" w:sz="0" w:space="0" w:color="auto"/>
        <w:bottom w:val="none" w:sz="0" w:space="0" w:color="auto"/>
        <w:right w:val="none" w:sz="0" w:space="0" w:color="auto"/>
      </w:divBdr>
    </w:div>
    <w:div w:id="1827281227">
      <w:bodyDiv w:val="1"/>
      <w:marLeft w:val="0"/>
      <w:marRight w:val="0"/>
      <w:marTop w:val="0"/>
      <w:marBottom w:val="0"/>
      <w:divBdr>
        <w:top w:val="none" w:sz="0" w:space="0" w:color="auto"/>
        <w:left w:val="none" w:sz="0" w:space="0" w:color="auto"/>
        <w:bottom w:val="none" w:sz="0" w:space="0" w:color="auto"/>
        <w:right w:val="none" w:sz="0" w:space="0" w:color="auto"/>
      </w:divBdr>
    </w:div>
    <w:div w:id="1948852339">
      <w:bodyDiv w:val="1"/>
      <w:marLeft w:val="0"/>
      <w:marRight w:val="0"/>
      <w:marTop w:val="0"/>
      <w:marBottom w:val="0"/>
      <w:divBdr>
        <w:top w:val="none" w:sz="0" w:space="0" w:color="auto"/>
        <w:left w:val="none" w:sz="0" w:space="0" w:color="auto"/>
        <w:bottom w:val="none" w:sz="0" w:space="0" w:color="auto"/>
        <w:right w:val="none" w:sz="0" w:space="0" w:color="auto"/>
      </w:divBdr>
    </w:div>
    <w:div w:id="1958488630">
      <w:bodyDiv w:val="1"/>
      <w:marLeft w:val="0"/>
      <w:marRight w:val="0"/>
      <w:marTop w:val="0"/>
      <w:marBottom w:val="0"/>
      <w:divBdr>
        <w:top w:val="none" w:sz="0" w:space="0" w:color="auto"/>
        <w:left w:val="none" w:sz="0" w:space="0" w:color="auto"/>
        <w:bottom w:val="none" w:sz="0" w:space="0" w:color="auto"/>
        <w:right w:val="none" w:sz="0" w:space="0" w:color="auto"/>
      </w:divBdr>
    </w:div>
    <w:div w:id="1983999061">
      <w:bodyDiv w:val="1"/>
      <w:marLeft w:val="0"/>
      <w:marRight w:val="0"/>
      <w:marTop w:val="0"/>
      <w:marBottom w:val="0"/>
      <w:divBdr>
        <w:top w:val="none" w:sz="0" w:space="0" w:color="auto"/>
        <w:left w:val="none" w:sz="0" w:space="0" w:color="auto"/>
        <w:bottom w:val="none" w:sz="0" w:space="0" w:color="auto"/>
        <w:right w:val="none" w:sz="0" w:space="0" w:color="auto"/>
      </w:divBdr>
    </w:div>
    <w:div w:id="2006787814">
      <w:bodyDiv w:val="1"/>
      <w:marLeft w:val="0"/>
      <w:marRight w:val="0"/>
      <w:marTop w:val="0"/>
      <w:marBottom w:val="0"/>
      <w:divBdr>
        <w:top w:val="none" w:sz="0" w:space="0" w:color="auto"/>
        <w:left w:val="none" w:sz="0" w:space="0" w:color="auto"/>
        <w:bottom w:val="none" w:sz="0" w:space="0" w:color="auto"/>
        <w:right w:val="none" w:sz="0" w:space="0" w:color="auto"/>
      </w:divBdr>
      <w:divsChild>
        <w:div w:id="963192657">
          <w:marLeft w:val="0"/>
          <w:marRight w:val="0"/>
          <w:marTop w:val="120"/>
          <w:marBottom w:val="0"/>
          <w:divBdr>
            <w:top w:val="none" w:sz="0" w:space="0" w:color="auto"/>
            <w:left w:val="none" w:sz="0" w:space="0" w:color="auto"/>
            <w:bottom w:val="none" w:sz="0" w:space="0" w:color="auto"/>
            <w:right w:val="none" w:sz="0" w:space="0" w:color="auto"/>
          </w:divBdr>
        </w:div>
        <w:div w:id="1923491862">
          <w:marLeft w:val="0"/>
          <w:marRight w:val="0"/>
          <w:marTop w:val="0"/>
          <w:marBottom w:val="0"/>
          <w:divBdr>
            <w:top w:val="none" w:sz="0" w:space="0" w:color="auto"/>
            <w:left w:val="none" w:sz="0" w:space="0" w:color="auto"/>
            <w:bottom w:val="none" w:sz="0" w:space="0" w:color="auto"/>
            <w:right w:val="none" w:sz="0" w:space="0" w:color="auto"/>
          </w:divBdr>
        </w:div>
      </w:divsChild>
    </w:div>
    <w:div w:id="2067878091">
      <w:bodyDiv w:val="1"/>
      <w:marLeft w:val="0"/>
      <w:marRight w:val="0"/>
      <w:marTop w:val="0"/>
      <w:marBottom w:val="0"/>
      <w:divBdr>
        <w:top w:val="none" w:sz="0" w:space="0" w:color="auto"/>
        <w:left w:val="none" w:sz="0" w:space="0" w:color="auto"/>
        <w:bottom w:val="none" w:sz="0" w:space="0" w:color="auto"/>
        <w:right w:val="none" w:sz="0" w:space="0" w:color="auto"/>
      </w:divBdr>
    </w:div>
    <w:div w:id="2069644947">
      <w:bodyDiv w:val="1"/>
      <w:marLeft w:val="0"/>
      <w:marRight w:val="0"/>
      <w:marTop w:val="0"/>
      <w:marBottom w:val="0"/>
      <w:divBdr>
        <w:top w:val="none" w:sz="0" w:space="0" w:color="auto"/>
        <w:left w:val="none" w:sz="0" w:space="0" w:color="auto"/>
        <w:bottom w:val="none" w:sz="0" w:space="0" w:color="auto"/>
        <w:right w:val="none" w:sz="0" w:space="0" w:color="auto"/>
      </w:divBdr>
    </w:div>
    <w:div w:id="2075930473">
      <w:bodyDiv w:val="1"/>
      <w:marLeft w:val="0"/>
      <w:marRight w:val="0"/>
      <w:marTop w:val="0"/>
      <w:marBottom w:val="0"/>
      <w:divBdr>
        <w:top w:val="none" w:sz="0" w:space="0" w:color="auto"/>
        <w:left w:val="none" w:sz="0" w:space="0" w:color="auto"/>
        <w:bottom w:val="none" w:sz="0" w:space="0" w:color="auto"/>
        <w:right w:val="none" w:sz="0" w:space="0" w:color="auto"/>
      </w:divBdr>
    </w:div>
    <w:div w:id="2089226084">
      <w:bodyDiv w:val="1"/>
      <w:marLeft w:val="0"/>
      <w:marRight w:val="0"/>
      <w:marTop w:val="0"/>
      <w:marBottom w:val="0"/>
      <w:divBdr>
        <w:top w:val="none" w:sz="0" w:space="0" w:color="auto"/>
        <w:left w:val="none" w:sz="0" w:space="0" w:color="auto"/>
        <w:bottom w:val="none" w:sz="0" w:space="0" w:color="auto"/>
        <w:right w:val="none" w:sz="0" w:space="0" w:color="auto"/>
      </w:divBdr>
      <w:divsChild>
        <w:div w:id="1856187882">
          <w:blockQuote w:val="1"/>
          <w:marLeft w:val="1050"/>
          <w:marRight w:val="0"/>
          <w:marTop w:val="192"/>
          <w:marBottom w:val="0"/>
          <w:divBdr>
            <w:top w:val="none" w:sz="0" w:space="0" w:color="auto"/>
            <w:left w:val="none" w:sz="0" w:space="0" w:color="auto"/>
            <w:bottom w:val="none" w:sz="0" w:space="0" w:color="auto"/>
            <w:right w:val="none" w:sz="0" w:space="0" w:color="auto"/>
          </w:divBdr>
        </w:div>
      </w:divsChild>
    </w:div>
    <w:div w:id="2089304101">
      <w:bodyDiv w:val="1"/>
      <w:marLeft w:val="0"/>
      <w:marRight w:val="0"/>
      <w:marTop w:val="0"/>
      <w:marBottom w:val="0"/>
      <w:divBdr>
        <w:top w:val="none" w:sz="0" w:space="0" w:color="auto"/>
        <w:left w:val="none" w:sz="0" w:space="0" w:color="auto"/>
        <w:bottom w:val="none" w:sz="0" w:space="0" w:color="auto"/>
        <w:right w:val="none" w:sz="0" w:space="0" w:color="auto"/>
      </w:divBdr>
    </w:div>
    <w:div w:id="2147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intracomm.ec.europa.eu/budgweb/EN/leg/internal/Documents/2016-5-legislative-financial-statement-ann-en.docx"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934AA0B36B1384886ADB3E40549A2B0" ma:contentTypeVersion="0" ma:contentTypeDescription="Create a new document in this library." ma:contentTypeScope="" ma:versionID="2ccea2f6a9419b2cc6372d603c4d829b">
  <xsd:schema xmlns:xsd="http://www.w3.org/2001/XMLSchema" xmlns:xs="http://www.w3.org/2001/XMLSchema" xmlns:p="http://schemas.microsoft.com/office/2006/metadata/properties" xmlns:ns2="http://schemas.microsoft.com/sharepoint/v3/fields" xmlns:ns3="62e97ea9-7ea3-481f-81a3-2d45a5a9b393" targetNamespace="http://schemas.microsoft.com/office/2006/metadata/properties" ma:root="true" ma:fieldsID="e99a88584d72bb20f25083a2210d0d03" ns2:_="" ns3:_="">
    <xsd:import namespace="http://schemas.microsoft.com/sharepoint/v3/fields"/>
    <xsd:import namespace="62e97ea9-7ea3-481f-81a3-2d45a5a9b39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e97ea9-7ea3-481f-81a3-2d45a5a9b39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2e97ea9-7ea3-481f-81a3-2d45a5a9b393">Not Started</EC_Collab_Status>
    <EC_Collab_DocumentLanguage xmlns="62e97ea9-7ea3-481f-81a3-2d45a5a9b393">EN</EC_Collab_DocumentLanguage>
    <EC_Collab_Reference xmlns="62e97ea9-7ea3-481f-81a3-2d45a5a9b393"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E3FE85-EE68-4FCA-AD13-79181A2C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e97ea9-7ea3-481f-81a3-2d45a5a9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58C45-29C4-4014-94DF-4206643B6015}">
  <ds:schemaRefs>
    <ds:schemaRef ds:uri="http://schemas.microsoft.com/sharepoint/v3/contenttype/forms"/>
  </ds:schemaRefs>
</ds:datastoreItem>
</file>

<file path=customXml/itemProps3.xml><?xml version="1.0" encoding="utf-8"?>
<ds:datastoreItem xmlns:ds="http://schemas.openxmlformats.org/officeDocument/2006/customXml" ds:itemID="{05716F78-C311-4872-8C4A-C603A696F179}">
  <ds:schemaRefs>
    <ds:schemaRef ds:uri="http://schemas.microsoft.com/sharepoint/v3/field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62e97ea9-7ea3-481f-81a3-2d45a5a9b393"/>
    <ds:schemaRef ds:uri="http://www.w3.org/XML/1998/namespace"/>
    <ds:schemaRef ds:uri="http://purl.org/dc/dcmitype/"/>
  </ds:schemaRefs>
</ds:datastoreItem>
</file>

<file path=customXml/itemProps4.xml><?xml version="1.0" encoding="utf-8"?>
<ds:datastoreItem xmlns:ds="http://schemas.openxmlformats.org/officeDocument/2006/customXml" ds:itemID="{88106CCE-958D-4DC9-94DC-CE267E1B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33</Pages>
  <Words>8037</Words>
  <Characters>54011</Characters>
  <Application>Microsoft Office Word</Application>
  <DocSecurity>0</DocSecurity>
  <Lines>1800</Lines>
  <Paragraphs>596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dcterms:created xsi:type="dcterms:W3CDTF">2022-06-28T18:06:00Z</dcterms:created>
  <dcterms:modified xsi:type="dcterms:W3CDTF">2022-07-01T08:51:00Z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8.0, Build 20220128</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0x010100258AA79CEB83498886A3A08681123250009934AA0B36B1384886ADB3E40549A2B0</vt:lpwstr>
  </property>
  <property fmtid="{D5CDD505-2E9C-101B-9397-08002B2CF9AE}" pid="11" name="MSIP_Label_6bd9ddd1-4d20-43f6-abfa-fc3c07406f94_Enabled">
    <vt:lpwstr>true</vt:lpwstr>
  </property>
  <property fmtid="{D5CDD505-2E9C-101B-9397-08002B2CF9AE}" pid="12" name="MSIP_Label_6bd9ddd1-4d20-43f6-abfa-fc3c07406f94_SetDate">
    <vt:lpwstr>2022-06-09T13:59:46Z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9f857206-ec98-44d0-a630-2030ad4220b9</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