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4510" w14:textId="0229180D" w:rsidR="00DB139D" w:rsidRPr="00055C7D" w:rsidRDefault="00222396" w:rsidP="00222396">
      <w:pPr>
        <w:pStyle w:val="Pagedecouverture"/>
        <w:rPr>
          <w:noProof/>
        </w:rPr>
      </w:pPr>
      <w:r>
        <w:rPr>
          <w:noProof/>
        </w:rPr>
        <w:pict w14:anchorId="13138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8E856D7-80D4-43EE-AB03-F098013BABEC" style="width:455.25pt;height:414pt">
            <v:imagedata r:id="rId11" o:title=""/>
          </v:shape>
        </w:pict>
      </w:r>
    </w:p>
    <w:p w14:paraId="27105C31" w14:textId="77777777" w:rsidR="00DB139D" w:rsidRPr="00055C7D" w:rsidRDefault="00DB139D" w:rsidP="00DB139D">
      <w:pPr>
        <w:rPr>
          <w:noProof/>
        </w:rPr>
        <w:sectPr w:rsidR="00DB139D" w:rsidRPr="00055C7D" w:rsidSect="00222396">
          <w:footerReference w:type="default" r:id="rId12"/>
          <w:pgSz w:w="11907" w:h="16839"/>
          <w:pgMar w:top="1134" w:right="1417" w:bottom="1134" w:left="1417" w:header="709" w:footer="709" w:gutter="0"/>
          <w:pgNumType w:start="0"/>
          <w:cols w:space="720"/>
          <w:docGrid w:linePitch="360"/>
        </w:sectPr>
      </w:pPr>
    </w:p>
    <w:p w14:paraId="39AD946D" w14:textId="77777777" w:rsidR="00DB139D" w:rsidRPr="00055C7D" w:rsidRDefault="00DB139D" w:rsidP="00825B19">
      <w:pPr>
        <w:pStyle w:val="Exposdesmotifstitre"/>
        <w:rPr>
          <w:noProof/>
        </w:rPr>
      </w:pPr>
      <w:bookmarkStart w:id="0" w:name="_GoBack"/>
      <w:bookmarkEnd w:id="0"/>
      <w:r w:rsidRPr="00055C7D">
        <w:rPr>
          <w:noProof/>
        </w:rPr>
        <w:lastRenderedPageBreak/>
        <w:t>ΑΙΤΙΟΛΟΓΙΚΗ ΕΚΘΕΣΗ</w:t>
      </w:r>
    </w:p>
    <w:p w14:paraId="5323DE28" w14:textId="77777777" w:rsidR="00D44D4F" w:rsidRPr="00055C7D" w:rsidRDefault="00D44D4F" w:rsidP="001C5834">
      <w:pPr>
        <w:rPr>
          <w:noProof/>
        </w:rPr>
      </w:pPr>
    </w:p>
    <w:p w14:paraId="220E8617" w14:textId="77777777" w:rsidR="00A73103" w:rsidRPr="00055C7D" w:rsidRDefault="00A73103" w:rsidP="00A73103">
      <w:pPr>
        <w:pStyle w:val="ManualHeading1"/>
        <w:rPr>
          <w:noProof/>
        </w:rPr>
      </w:pPr>
      <w:r w:rsidRPr="00055C7D">
        <w:rPr>
          <w:noProof/>
        </w:rPr>
        <w:t>1.</w:t>
      </w:r>
      <w:r w:rsidRPr="00055C7D">
        <w:rPr>
          <w:noProof/>
        </w:rPr>
        <w:tab/>
        <w:t>ΠΛΑΙΣΙΟ ΤΗΣ ΠΡΟΤΑΣΗΣ</w:t>
      </w:r>
    </w:p>
    <w:p w14:paraId="223AE6DD" w14:textId="77777777" w:rsidR="00A73103" w:rsidRPr="00055C7D" w:rsidRDefault="00A73103" w:rsidP="00A73103">
      <w:pPr>
        <w:pStyle w:val="ManualHeading2"/>
        <w:rPr>
          <w:rFonts w:eastAsia="Arial Unicode MS"/>
          <w:noProof/>
        </w:rPr>
      </w:pPr>
      <w:r w:rsidRPr="00055C7D">
        <w:rPr>
          <w:noProof/>
          <w:color w:val="000000"/>
          <w:bdr w:val="none" w:sz="0" w:space="0" w:color="auto" w:frame="1"/>
        </w:rPr>
        <w:t>•</w:t>
      </w:r>
      <w:r w:rsidRPr="00055C7D">
        <w:rPr>
          <w:noProof/>
        </w:rPr>
        <w:tab/>
        <w:t>Αιτιολόγηση και στόχοι της πρότασης</w:t>
      </w:r>
    </w:p>
    <w:p w14:paraId="48B78334" w14:textId="77777777" w:rsidR="008503A4" w:rsidRPr="00055C7D" w:rsidRDefault="008503A4" w:rsidP="008503A4">
      <w:pPr>
        <w:rPr>
          <w:noProof/>
        </w:rPr>
      </w:pPr>
      <w:r w:rsidRPr="00055C7D">
        <w:rPr>
          <w:noProof/>
        </w:rPr>
        <w:t>Οι ευρωπαϊκοί οργανισμοί τυποποίησης είναι ιδιωτικοί οργανισμοί, οι οποίοι διαδραματίζουν ιδιαίτερο ρόλο στο πλαίσιο του ευρωπαϊκού συστήματος τυποποίησης. Όπως ορίζεται στον κανονισμό (ΕΕ) αριθ. 1025/2012 του Ευρωπαϊκού Κοινοβουλίου και του Συμβουλίου, της 25ης Οκτωβρίου 2012</w:t>
      </w:r>
      <w:r w:rsidRPr="00055C7D">
        <w:rPr>
          <w:rStyle w:val="FootnoteReference"/>
          <w:noProof/>
        </w:rPr>
        <w:footnoteReference w:id="2"/>
      </w:r>
      <w:r w:rsidRPr="00055C7D">
        <w:rPr>
          <w:noProof/>
        </w:rPr>
        <w:t xml:space="preserve">, η ευρωπαϊκή τυποποίηση οργανώνεται από τα ενδιαφερόμενα μέρη και γι’ αυτά, με βάση την εθνική εκπροσώπηση (στην Ευρωπαϊκή Επιτροπή Τυποποίησης, CEN, και στην Ευρωπαϊκή Επιτροπή Ηλεκτροτεχνικής Τυποποίησης, CENELEC) και την άμεση συμμετοχή των μελών (στο Ευρωπαϊκό Ινστιτούτο Τηλεπικοινωνιακών Προτύπων, ETSI). Όταν υποβάλλεται αίτημα τυποποίησης από την Επιτροπή, οι ευρωπαϊκοί οργανισμοί τυποποίησης [όπως ορίζονται στον κανονισμό (ΕΕ) αριθ. 1025/2012] είναι οι μόνοι φορείς που μπορούν να εκδίδουν πρότυπα και παραδοτέα τυποποίησης. Το πράττουν σύμφωνα με τις ειδικές διαδικασίες που ορίζονται στο άρθρο 10 του κανονισμού (ΕΕ) αριθ. 1025/2012, γνωστού ως «κανονισμός για την τυποποίηση». Ο κανονισμός για την τυποποίηση προβλέπει επίσης ότι η Ευρωπαϊκή Ένωση μπορεί να στηρίζει οικονομικά τους ευρωπαϊκούς οργανισμούς τυποποίησης. </w:t>
      </w:r>
    </w:p>
    <w:p w14:paraId="43313057" w14:textId="77777777" w:rsidR="008503A4" w:rsidRPr="00055C7D" w:rsidRDefault="008503A4" w:rsidP="008503A4">
      <w:pPr>
        <w:rPr>
          <w:noProof/>
        </w:rPr>
      </w:pPr>
      <w:r w:rsidRPr="00055C7D">
        <w:rPr>
          <w:noProof/>
        </w:rPr>
        <w:t xml:space="preserve">Οι ευρωπαϊκοί οργανισμοί τυποποίησης ορίζονται στο άρθρο 2 σημείο 8 και στο παράρτημα I του κανονισμού για την τυποποίηση. Υπάρχουν τρεις ευρωπαϊκοί οργανισμοί τυποποίησης: CEN, CENELEC και ETSI. Οι οργανισμοί αυτοί κατέχουν αποκλειστικό ρόλο στην εκτέλεση των εργασιών τυποποίησης που έχει ζητήσει η Επιτροπή για τη στήριξη της νομοθεσίας και των πολιτικών της ΕΕ. </w:t>
      </w:r>
    </w:p>
    <w:p w14:paraId="51185A43" w14:textId="77777777" w:rsidR="00A73103" w:rsidRPr="00055C7D" w:rsidRDefault="00A73103" w:rsidP="00A73103">
      <w:pPr>
        <w:rPr>
          <w:noProof/>
        </w:rPr>
      </w:pPr>
      <w:r w:rsidRPr="00055C7D">
        <w:rPr>
          <w:noProof/>
        </w:rPr>
        <w:t xml:space="preserve">Αυτό οφείλεται κυρίως σε ιστορικούς λόγους. Τη δεκαετία του ’80, όταν δημιουργήθηκαν οι υφιστάμενοι ευρωπαϊκοί οργανισμοί τυποποίησης και καθιερώθηκε ο ρόλος τους στην παροχή προτύπων, το σύστημα επικεντρώθηκε κυρίως στα ενδιαφερόμενα μέρη της Ευρωπαϊκής Ένωσης. </w:t>
      </w:r>
    </w:p>
    <w:p w14:paraId="2E4BA252" w14:textId="77777777" w:rsidR="008503A4" w:rsidRPr="00055C7D" w:rsidRDefault="008503A4" w:rsidP="008503A4">
      <w:pPr>
        <w:rPr>
          <w:noProof/>
        </w:rPr>
      </w:pPr>
      <w:r w:rsidRPr="00055C7D">
        <w:rPr>
          <w:noProof/>
        </w:rPr>
        <w:t>Σήμερα, η κατάσταση είναι διαφορετική και η εσωτερική διακυβέρνηση των ευρωπαϊκών οργανισμών τυποποίησης, οι διαδικασίες λήψης αποφάσεων και η δομή των μελών τους έχουν υποστεί πολλαπλές αλλαγές. Οι ευρωπαϊκοί οργανισμοί τυποποίησης συνεργάζονται πλέον με ευρύ φάσμα ενδιαφερόμενων μερών, μεταξύ άλλων από τρίτες χώρες, και τους επιτρέπουν να συμμετέχουν όχι μόνο στις τεχνικές εργασίες αλλά και στις εσωτερικές τους διαδικασίες χάραξης πολιτικής και λήψης αποφάσεων. Η συνεργασία αυτή είναι ευπρόσδεκτη· ωστόσο, όταν οι ευρωπαϊκοί οργανισμοί τυποποίησης πρέπει να επικεντρωθούν στη στήριξη της νομοθεσίας και των πολιτικών της ΕΕ, απαιτούνται εγγυήσεις για τη διασφάλιση της ορθής διαδικασίας και της ισόρροπης εκπροσώπησης των συμφερόντων των ενδιαφερόμενων μερών, σύμφωνα με τις στρατηγικές προτεραιότητες και τις νομοθετικές ανάγκες. Ειδικότερα, αυτό ισχύει για τις εσωτερικές αποφάσεις για την εκπόνηση προτύπων και παραδοτέων τυποποίησης, όπως ζητείται από την Επιτροπή βάσει του άρθρου 10 παράγραφος 1 του κανονισμού για την τυποποίηση. Οι εν λόγω εσωτερικές αποφάσεις μπορούν να καλύπτουν θέματα όπως οι αποφάσεις σχετικά με την αποδοχή αιτημάτων τυποποίησης, την αποδοχή νέων στοιχείων εργασίας και την έγκριση, αναθεώρηση ή απόσυρση παραδοτέων ευρωπαϊκής τυποποίησης. Στις περιπτώσεις αυτές, ιδίως όταν οι ευρωπαϊκοί οργανισμοί τυποποίησης υποστηρίζουν την εφαρμογή της νομοθεσίας της ΕΕ και εκπονούν πρότυπα ζωτικής σημασίας για το ευρύ κοινό της ΕΕ και για τις επιχειρήσεις, η εσωτερική διακυβέρνηση των ευρωπαϊκών οργανισμών τυποποίησης πρέπει να λαμβάνει δεόντως υπόψη τις απόψεις όλων των ευρωπαϊκών ενδιαφερόμενων μερών (συμπεριλαμβανομένων των μικρών και μεσαίων επιχειρήσεων και των οργανώσεων της κοινωνίας των πολιτών). Αυτό είναι ακόμη πιο σημαντικό, δεδομένου ότι ορισμένοι ευρωπαϊκοί οργανισμοί τυποποίησης αποτελούνται κυρίως από οικονομικούς φορείς που έχουν δικαίωμα ψήφου και η συμμετοχή οργανώσεων της κοινωνίας των πολιτών και των δημόσιων αρχών είναι περιορισμένη σε ορισμένες περιπτώσεις.</w:t>
      </w:r>
    </w:p>
    <w:p w14:paraId="269EDF6F" w14:textId="77777777" w:rsidR="008503A4" w:rsidRPr="00055C7D" w:rsidRDefault="008503A4" w:rsidP="008503A4">
      <w:pPr>
        <w:rPr>
          <w:b/>
          <w:noProof/>
          <w:szCs w:val="20"/>
        </w:rPr>
      </w:pPr>
      <w:r w:rsidRPr="00055C7D">
        <w:rPr>
          <w:noProof/>
        </w:rPr>
        <w:t xml:space="preserve">Ως εκ τούτου, απαιτείται μεγαλύτερη αποσαφήνιση προκειμένου να διασφαλιστεί ότι το σύνολο της εσωτερικής διαδικασίας λήψης αποφάσεων για την έκδοση προτύπων και παραδοτέων τυποποίησης, που ζητήθηκε από την Επιτροπή βάσει του άρθρου 10 παράγραφος 1 του κανονισμού για την τυποποίηση, συνάδει με αυτό που αναμένουν τα θεσμικά όργανα της ΕΕ από έναν φορέα εκπόνησης προτύπων που αναγνωρίζεται επίσημα ως ευρωπαϊκός οργανισμός τυποποίησης. </w:t>
      </w:r>
    </w:p>
    <w:p w14:paraId="37EE6F47" w14:textId="77777777" w:rsidR="008503A4" w:rsidRPr="00055C7D" w:rsidRDefault="008503A4" w:rsidP="008503A4">
      <w:pPr>
        <w:spacing w:before="0" w:after="240"/>
        <w:rPr>
          <w:rFonts w:eastAsia="Arial Unicode MS"/>
          <w:noProof/>
        </w:rPr>
      </w:pPr>
      <w:r w:rsidRPr="00055C7D">
        <w:rPr>
          <w:noProof/>
        </w:rPr>
        <w:t>Η απαίτηση να διαθέτουν οι εθνικοί φορείς τυποποίησης ορισμένη εξουσία εκπροσώπησης και λήψης αποφάσεων, όσον αφορά τα πρότυπα που ζητά η Επιτροπή, θα θέσει σε εφαρμογή επαρκείς ελέγχους και ισορροπίες, ώστε να διασφαλίζεται η συνέπεια με τη νομοθεσία και τις πολιτικές της ΕΕ.</w:t>
      </w:r>
    </w:p>
    <w:p w14:paraId="512FDB59" w14:textId="77777777" w:rsidR="00A73103" w:rsidRPr="00055C7D" w:rsidRDefault="00A73103" w:rsidP="00A73103">
      <w:pPr>
        <w:pStyle w:val="ManualHeading2"/>
        <w:rPr>
          <w:noProof/>
          <w:color w:val="000000"/>
          <w:bdr w:val="none" w:sz="0" w:space="0" w:color="auto" w:frame="1"/>
        </w:rPr>
      </w:pPr>
      <w:r w:rsidRPr="00055C7D">
        <w:rPr>
          <w:noProof/>
          <w:color w:val="000000"/>
          <w:bdr w:val="none" w:sz="0" w:space="0" w:color="auto" w:frame="1"/>
        </w:rPr>
        <w:t>•</w:t>
      </w:r>
      <w:r w:rsidRPr="00055C7D">
        <w:rPr>
          <w:noProof/>
        </w:rPr>
        <w:tab/>
        <w:t>Συνέπεια με τις ισχύουσες διατάξεις στον τομέα πολιτικής</w:t>
      </w:r>
    </w:p>
    <w:p w14:paraId="33FEB608" w14:textId="77777777" w:rsidR="008503A4" w:rsidRPr="00055C7D" w:rsidRDefault="008503A4" w:rsidP="008503A4">
      <w:pPr>
        <w:rPr>
          <w:noProof/>
          <w:szCs w:val="24"/>
        </w:rPr>
      </w:pPr>
      <w:r w:rsidRPr="00055C7D">
        <w:rPr>
          <w:noProof/>
        </w:rPr>
        <w:t>Με την πρωτοβουλία «Επικαιροποίηση της νέας βιομηχανικής στρατηγικής του 2020»</w:t>
      </w:r>
      <w:r w:rsidRPr="00055C7D">
        <w:rPr>
          <w:i/>
          <w:noProof/>
          <w:szCs w:val="24"/>
        </w:rPr>
        <w:t xml:space="preserve"> </w:t>
      </w:r>
      <w:r w:rsidRPr="00055C7D">
        <w:rPr>
          <w:noProof/>
        </w:rPr>
        <w:t>[COM(2021) 350]</w:t>
      </w:r>
      <w:r w:rsidRPr="00055C7D">
        <w:rPr>
          <w:rStyle w:val="FootnoteReference"/>
          <w:noProof/>
          <w:szCs w:val="24"/>
        </w:rPr>
        <w:footnoteReference w:id="3"/>
      </w:r>
      <w:r w:rsidRPr="00055C7D">
        <w:rPr>
          <w:noProof/>
        </w:rPr>
        <w:t>, η Επιτροπή ανακοίνωσε ότι θα προτείνει τροποποίηση του κανονισμού (ΕΕ) αριθ. 1025/2012 μαζί με</w:t>
      </w:r>
      <w:r w:rsidRPr="00055C7D">
        <w:rPr>
          <w:rStyle w:val="Hyperlink"/>
          <w:noProof/>
          <w:szCs w:val="24"/>
          <w:u w:val="none"/>
        </w:rPr>
        <w:t xml:space="preserve"> </w:t>
      </w:r>
      <w:r w:rsidRPr="00055C7D">
        <w:rPr>
          <w:noProof/>
        </w:rPr>
        <w:t>μια στρατηγική τυποποίησης, η οποία υποβάλλεται μαζί με την παρούσα πρόταση.</w:t>
      </w:r>
    </w:p>
    <w:p w14:paraId="4D9A1C6F" w14:textId="77777777" w:rsidR="00A73103" w:rsidRPr="00055C7D" w:rsidRDefault="00A73103" w:rsidP="00A73103">
      <w:pPr>
        <w:pStyle w:val="ManualHeading2"/>
        <w:rPr>
          <w:rFonts w:eastAsia="Arial Unicode MS"/>
          <w:noProof/>
        </w:rPr>
      </w:pPr>
      <w:r w:rsidRPr="00055C7D">
        <w:rPr>
          <w:noProof/>
          <w:color w:val="000000"/>
          <w:bdr w:val="none" w:sz="0" w:space="0" w:color="auto" w:frame="1"/>
        </w:rPr>
        <w:t>•</w:t>
      </w:r>
      <w:r w:rsidRPr="00055C7D">
        <w:rPr>
          <w:noProof/>
        </w:rPr>
        <w:tab/>
        <w:t>Συνέπεια με άλλες πολιτικές της Ένωσης</w:t>
      </w:r>
    </w:p>
    <w:p w14:paraId="2C41ABC3" w14:textId="77777777" w:rsidR="00A73103" w:rsidRPr="00055C7D" w:rsidRDefault="00A73103" w:rsidP="00A73103">
      <w:pPr>
        <w:spacing w:before="0" w:after="240"/>
        <w:rPr>
          <w:rFonts w:eastAsia="Arial Unicode MS"/>
          <w:noProof/>
        </w:rPr>
      </w:pPr>
      <w:r w:rsidRPr="00055C7D">
        <w:rPr>
          <w:noProof/>
        </w:rPr>
        <w:t>Η προτεινόμενη νομοθετική τροποποίηση συνάδει με την πολιτική σημασία των προτύπων, όπως επισημαίνεται σε άλλες βασικές πρωτοβουλίες της Επιτροπής, όπως είναι η διαμόρφωση του ψηφιακού μέλλοντος της Ευρώπης [COM(2020) 67</w:t>
      </w:r>
      <w:r w:rsidRPr="00055C7D">
        <w:rPr>
          <w:rStyle w:val="FootnoteReference"/>
          <w:noProof/>
          <w:szCs w:val="24"/>
        </w:rPr>
        <w:footnoteReference w:id="4"/>
      </w:r>
      <w:r w:rsidRPr="00055C7D">
        <w:rPr>
          <w:noProof/>
        </w:rPr>
        <w:t>], η παγκόσμια πύλη [JOIN(2021) 30]</w:t>
      </w:r>
      <w:r w:rsidRPr="00055C7D">
        <w:rPr>
          <w:rStyle w:val="FootnoteReference"/>
          <w:noProof/>
          <w:szCs w:val="24"/>
        </w:rPr>
        <w:footnoteReference w:id="5"/>
      </w:r>
      <w:r w:rsidRPr="00055C7D">
        <w:rPr>
          <w:noProof/>
        </w:rPr>
        <w:t>, ή η δήλωση του Συμβουλίου με την οποία χαιρετίζεται «η πρόθεση της Επιτροπής να αναπτύξει στρατηγική για την τυποποίηση προκειμένου να ενισχυθούν το ευρωπαϊκό σύστημα τυποποίησης και η διακυβέρνησή του» (συμπεράσματα του Συμβουλίου της 9.6.2020</w:t>
      </w:r>
      <w:r w:rsidRPr="00055C7D">
        <w:rPr>
          <w:rStyle w:val="FootnoteReference"/>
          <w:noProof/>
          <w:szCs w:val="24"/>
        </w:rPr>
        <w:footnoteReference w:id="6"/>
      </w:r>
      <w:r w:rsidRPr="00055C7D">
        <w:rPr>
          <w:noProof/>
        </w:rPr>
        <w:t>).</w:t>
      </w:r>
    </w:p>
    <w:p w14:paraId="6E671EB8" w14:textId="77777777" w:rsidR="00A73103" w:rsidRPr="00055C7D" w:rsidRDefault="00A73103" w:rsidP="00A73103">
      <w:pPr>
        <w:pStyle w:val="ManualHeading1"/>
        <w:rPr>
          <w:noProof/>
        </w:rPr>
      </w:pPr>
      <w:r w:rsidRPr="00055C7D">
        <w:rPr>
          <w:noProof/>
        </w:rPr>
        <w:t>2.</w:t>
      </w:r>
      <w:r w:rsidRPr="00055C7D">
        <w:rPr>
          <w:noProof/>
        </w:rPr>
        <w:tab/>
        <w:t>ΝΟΜΙΚΗ ΒΑΣΗ, ΕΠΙΚΟΥΡΙΚΟΤΗΤΑ ΚΑΙ ΑΝΑΛΟΓΙΚΟΤΗΤΑ</w:t>
      </w:r>
    </w:p>
    <w:p w14:paraId="0512729B" w14:textId="77777777" w:rsidR="00A73103" w:rsidRPr="00055C7D" w:rsidRDefault="00A73103" w:rsidP="00A73103">
      <w:pPr>
        <w:pStyle w:val="ManualHeading2"/>
        <w:rPr>
          <w:noProof/>
          <w:bdr w:val="none" w:sz="0" w:space="0" w:color="auto" w:frame="1"/>
        </w:rPr>
      </w:pPr>
      <w:r w:rsidRPr="00055C7D">
        <w:rPr>
          <w:noProof/>
          <w:bdr w:val="none" w:sz="0" w:space="0" w:color="auto" w:frame="1"/>
        </w:rPr>
        <w:t>•</w:t>
      </w:r>
      <w:r w:rsidRPr="00055C7D">
        <w:rPr>
          <w:noProof/>
        </w:rPr>
        <w:tab/>
      </w:r>
      <w:r w:rsidRPr="00055C7D">
        <w:rPr>
          <w:noProof/>
          <w:bdr w:val="none" w:sz="0" w:space="0" w:color="auto" w:frame="1"/>
        </w:rPr>
        <w:t>Νομική βάση</w:t>
      </w:r>
    </w:p>
    <w:p w14:paraId="2FC35E3B" w14:textId="77777777" w:rsidR="00A73103" w:rsidRPr="00055C7D" w:rsidRDefault="00A73103" w:rsidP="00A73103">
      <w:pPr>
        <w:spacing w:before="0" w:after="240"/>
        <w:rPr>
          <w:rFonts w:eastAsia="Arial Unicode MS"/>
          <w:noProof/>
        </w:rPr>
      </w:pPr>
      <w:r w:rsidRPr="00055C7D">
        <w:rPr>
          <w:noProof/>
        </w:rPr>
        <w:t>Νομική βάση της πρωτοβουλίας είναι το άρθρο 114 της Συνθήκης για τη λειτουργία της Ευρωπαϊκής Ένωσης.</w:t>
      </w:r>
    </w:p>
    <w:p w14:paraId="7502C091" w14:textId="77777777" w:rsidR="00A73103" w:rsidRPr="00055C7D" w:rsidRDefault="00A73103" w:rsidP="00A73103">
      <w:pPr>
        <w:pStyle w:val="ManualHeading2"/>
        <w:rPr>
          <w:noProof/>
          <w:bdr w:val="none" w:sz="0" w:space="0" w:color="auto" w:frame="1"/>
        </w:rPr>
      </w:pPr>
      <w:r w:rsidRPr="00055C7D">
        <w:rPr>
          <w:noProof/>
          <w:bdr w:val="none" w:sz="0" w:space="0" w:color="auto" w:frame="1"/>
        </w:rPr>
        <w:t>•</w:t>
      </w:r>
      <w:r w:rsidRPr="00055C7D">
        <w:rPr>
          <w:noProof/>
        </w:rPr>
        <w:tab/>
      </w:r>
      <w:r w:rsidRPr="00055C7D">
        <w:rPr>
          <w:noProof/>
          <w:bdr w:val="none" w:sz="0" w:space="0" w:color="auto" w:frame="1"/>
        </w:rPr>
        <w:t xml:space="preserve">Επικουρικότητα (για δράσεις στις οποίες οι ευρωπαϊκοί οργανισμοί τυποποίησης δεν έχουν αποκλειστική αρμοδιότητα) </w:t>
      </w:r>
    </w:p>
    <w:p w14:paraId="05A2714B" w14:textId="77777777" w:rsidR="008503A4" w:rsidRPr="00055C7D" w:rsidRDefault="008503A4" w:rsidP="008503A4">
      <w:pPr>
        <w:spacing w:before="0" w:after="240"/>
        <w:rPr>
          <w:rFonts w:eastAsia="Arial Unicode MS"/>
          <w:noProof/>
        </w:rPr>
      </w:pPr>
      <w:r w:rsidRPr="00055C7D">
        <w:rPr>
          <w:noProof/>
        </w:rPr>
        <w:t>Το ζήτημα της επικουρικότητας δεν αποτελεί πρόβλημα. Η παρούσα πρωτοβουλία αποσκοπεί στην τροποποίηση κανονισμού της ΕΕ που διέπει το ευρωπαϊκό σύστημα τυποποίησης. Αποσκοπεί συγκεκριμένα στη διασφάλιση των αρχών της χρηστής διακυβέρνησης κατά την παράδοση των προτύπων που ζητά η Επιτροπή σύμφωνα με το άρθρο 10 παράγραφος 1 του κανονισμού για την τυποποίηση. Η παρούσα πρωτοβουλία θα ενισχύσει τον ρόλο των εθνικών εκπροσώπων (δηλ. των εθνικών φορέων τυποποίησης) στο σύστημα.</w:t>
      </w:r>
    </w:p>
    <w:p w14:paraId="43E0EC0A" w14:textId="77777777" w:rsidR="00DB139D" w:rsidRPr="00055C7D" w:rsidRDefault="00DB139D" w:rsidP="00825B19">
      <w:pPr>
        <w:pStyle w:val="ManualHeading2"/>
        <w:rPr>
          <w:rFonts w:eastAsia="Arial Unicode MS"/>
          <w:noProof/>
          <w:u w:color="000000"/>
          <w:bdr w:val="nil"/>
        </w:rPr>
      </w:pPr>
      <w:r w:rsidRPr="00055C7D">
        <w:rPr>
          <w:noProof/>
          <w:u w:color="000000"/>
          <w:bdr w:val="nil"/>
        </w:rPr>
        <w:t>•</w:t>
      </w:r>
      <w:r w:rsidRPr="00055C7D">
        <w:rPr>
          <w:noProof/>
        </w:rPr>
        <w:tab/>
      </w:r>
      <w:r w:rsidRPr="00055C7D">
        <w:rPr>
          <w:noProof/>
          <w:u w:color="000000"/>
          <w:bdr w:val="nil"/>
        </w:rPr>
        <w:t>Αναλογικότητα</w:t>
      </w:r>
    </w:p>
    <w:p w14:paraId="26CC1267" w14:textId="77777777" w:rsidR="001C5834" w:rsidRPr="00055C7D" w:rsidRDefault="000170F1" w:rsidP="00825B19">
      <w:pPr>
        <w:pBdr>
          <w:top w:val="nil"/>
          <w:left w:val="nil"/>
          <w:bottom w:val="nil"/>
          <w:right w:val="nil"/>
          <w:between w:val="nil"/>
          <w:bar w:val="nil"/>
        </w:pBdr>
        <w:spacing w:before="0" w:after="240"/>
        <w:rPr>
          <w:noProof/>
        </w:rPr>
      </w:pPr>
      <w:r w:rsidRPr="00055C7D">
        <w:rPr>
          <w:noProof/>
        </w:rPr>
        <w:t xml:space="preserve">Η προτεινόμενη τροποποίηση του κανονισμού (ΕΕ) αριθ. 1025/2012 είναι πολύ περιορισμένη και στοχεύει στις εργασίες των ευρωπαϊκών οργανισμών τυποποίησης κατόπιν αιτήματος της Επιτροπής. Τα αιτήματα αυτά ακολουθούν εντολή δημόσιας πολιτικής και, ως εκ τούτου, είναι σημαντικό να διασφαλιστούν οι αρχές της χρηστής διακυβέρνησης σύμφωνα με τη διαδικασία λήψης αποφάσεων της ΕΕ. Η πρόταση είναι σύμφωνη με την αρχή της αναλογικότητας, διότι δεν υπερβαίνει τα αναγκαία όρια για την επίτευξη των στόχων που συνίστανται στο να διασφαλιστεί ότι η εθνική εκπροσώπηση/συμμετοχή στην εκπόνηση ευρωπαϊκών προτύπων και παραδοτέων τυποποίησης, βάσει αιτήματος δυνάμει του άρθρου 10 του κανονισμού (ΕΕ) αριθ. 1025/2012, υφίσταται σε κάθε στάδιο της διαδικασίας. </w:t>
      </w:r>
    </w:p>
    <w:p w14:paraId="7DEAB9EE" w14:textId="77777777" w:rsidR="00DB139D" w:rsidRPr="00055C7D" w:rsidRDefault="00DB139D" w:rsidP="00825B19">
      <w:pPr>
        <w:pStyle w:val="ManualHeading2"/>
        <w:rPr>
          <w:rFonts w:eastAsia="Arial Unicode MS"/>
          <w:noProof/>
          <w:u w:color="000000"/>
          <w:bdr w:val="nil"/>
        </w:rPr>
      </w:pPr>
      <w:r w:rsidRPr="00055C7D">
        <w:rPr>
          <w:noProof/>
          <w:u w:color="000000"/>
          <w:bdr w:val="nil"/>
        </w:rPr>
        <w:t>•</w:t>
      </w:r>
      <w:r w:rsidRPr="00055C7D">
        <w:rPr>
          <w:noProof/>
        </w:rPr>
        <w:tab/>
      </w:r>
      <w:r w:rsidRPr="00055C7D">
        <w:rPr>
          <w:noProof/>
          <w:u w:color="000000"/>
          <w:bdr w:val="nil"/>
        </w:rPr>
        <w:t>Επιλογή της νομικής πράξης</w:t>
      </w:r>
    </w:p>
    <w:p w14:paraId="30EBC85D" w14:textId="77777777" w:rsidR="00DB139D" w:rsidRPr="00055C7D" w:rsidRDefault="00DB139D" w:rsidP="00825B19">
      <w:pPr>
        <w:pBdr>
          <w:top w:val="nil"/>
          <w:left w:val="nil"/>
          <w:bottom w:val="nil"/>
          <w:right w:val="nil"/>
          <w:between w:val="nil"/>
          <w:bar w:val="nil"/>
        </w:pBdr>
        <w:spacing w:before="0" w:after="240"/>
        <w:rPr>
          <w:rFonts w:eastAsia="Arial Unicode MS"/>
          <w:noProof/>
        </w:rPr>
      </w:pPr>
      <w:r w:rsidRPr="00055C7D">
        <w:rPr>
          <w:noProof/>
        </w:rPr>
        <w:t>Κανονισμός για την τροποποίηση κανονισμού.</w:t>
      </w:r>
    </w:p>
    <w:p w14:paraId="607256A6" w14:textId="77777777" w:rsidR="00DB139D" w:rsidRPr="00055C7D" w:rsidRDefault="00DB139D" w:rsidP="00F4411E">
      <w:pPr>
        <w:pStyle w:val="ManualHeading1"/>
        <w:rPr>
          <w:noProof/>
        </w:rPr>
      </w:pPr>
      <w:r w:rsidRPr="00055C7D">
        <w:rPr>
          <w:noProof/>
        </w:rPr>
        <w:t>3.</w:t>
      </w:r>
      <w:r w:rsidRPr="00055C7D">
        <w:rPr>
          <w:noProof/>
        </w:rPr>
        <w:tab/>
        <w:t>ΑΠΟΤΕΛΕΣΜΑΤΑ ΤΩΝ ΕΚ ΤΩΝ ΥΣΤΕΡΩΝ ΑΞΙΟΛΟΓΗΣΕΩΝ, ΤΩΝ ΔΙΑΒΟΥΛΕΥΣΕΩΝ ΜΕ ΤΑ ΕΝΔΙΑΦΕΡΟΜΕΝΑ ΜΕΡΗ ΚΑΙ ΤΩΝ ΕΚΤΙΜΗΣΕΩΝ ΕΠΙΠΤΩΣΕΩΝ</w:t>
      </w:r>
    </w:p>
    <w:p w14:paraId="1D73075B" w14:textId="77777777" w:rsidR="00A73103" w:rsidRPr="00055C7D" w:rsidRDefault="00A73103" w:rsidP="00A73103">
      <w:pPr>
        <w:pStyle w:val="ManualHeading2"/>
        <w:rPr>
          <w:noProof/>
          <w:bdr w:val="none" w:sz="0" w:space="0" w:color="auto" w:frame="1"/>
        </w:rPr>
      </w:pPr>
      <w:r w:rsidRPr="00055C7D">
        <w:rPr>
          <w:noProof/>
          <w:bdr w:val="none" w:sz="0" w:space="0" w:color="auto" w:frame="1"/>
        </w:rPr>
        <w:t>•</w:t>
      </w:r>
      <w:r w:rsidRPr="00055C7D">
        <w:rPr>
          <w:noProof/>
        </w:rPr>
        <w:tab/>
      </w:r>
      <w:r w:rsidRPr="00055C7D">
        <w:rPr>
          <w:noProof/>
          <w:bdr w:val="none" w:sz="0" w:space="0" w:color="auto" w:frame="1"/>
        </w:rPr>
        <w:t>Διαβουλεύσεις με τα ενδιαφερόμενα μέρη</w:t>
      </w:r>
    </w:p>
    <w:p w14:paraId="60EDFADC" w14:textId="77777777" w:rsidR="00A73103" w:rsidRPr="00055C7D" w:rsidRDefault="00A73103" w:rsidP="00A73103">
      <w:pPr>
        <w:rPr>
          <w:noProof/>
        </w:rPr>
      </w:pPr>
      <w:r w:rsidRPr="00055C7D">
        <w:rPr>
          <w:noProof/>
        </w:rPr>
        <w:t>Η Επιτροπή διεξήγαγε στοχευμένη διαβούλευση με τα ενδιαφερόμενα μέρη σχετικά με το θέμα αυτό (ιδίως με τους ευρωπαϊκούς οργανισμούς τυποποίησης, τους εθνικούς φορείς τυποποίησης, τα κράτη μέλη της ΕΕ και τους ενδιαφερόμενους φορείς της βιομηχανίας και της κοινωνίας των πολιτών). Στα εν λόγω ενδιαφερόμενα μέρη δόθηκε η ευκαιρία να εκφράσουν τις απόψεις τους και να συνεισφέρουν στις εργασίες της Επιτροπής.</w:t>
      </w:r>
    </w:p>
    <w:p w14:paraId="24BDAABB" w14:textId="77777777" w:rsidR="008503A4" w:rsidRPr="00055C7D" w:rsidRDefault="008503A4" w:rsidP="008503A4">
      <w:pPr>
        <w:rPr>
          <w:noProof/>
        </w:rPr>
      </w:pPr>
      <w:r w:rsidRPr="00055C7D">
        <w:rPr>
          <w:noProof/>
        </w:rPr>
        <w:t>Κατά τη διάρκεια της διαβούλευσης σχετικά με τον χάρτη πορείας για τη στρατηγική τυποποίησης, τα ενδιαφερόμενα μέρη παρείχαν πολύτιμες παρατηρήσεις σχετικά με τη διακυβέρνηση και τη διαφάνεια στο ευρωπαϊκό σύστημα τυποποίησης στη διαδικτυακή πύλη της Επιτροπής για τη βελτίωση της νομοθεσίας</w:t>
      </w:r>
      <w:r w:rsidRPr="00055C7D">
        <w:rPr>
          <w:rStyle w:val="FootnoteReference"/>
          <w:noProof/>
        </w:rPr>
        <w:footnoteReference w:id="7"/>
      </w:r>
      <w:r w:rsidRPr="00055C7D">
        <w:rPr>
          <w:noProof/>
        </w:rPr>
        <w:t>. Η Επιτροπή έλαβε παρόμοιες παρατηρήσεις μέσω των εκθέσεων που εξέδωσαν οι ευρωπαϊκές οργανώσεις ενδιαφερόμενων μερών σύμφωνα με το άρθρο 24 παράγραφος 2 του κανονισμού για την τυποποίηση.</w:t>
      </w:r>
    </w:p>
    <w:p w14:paraId="1B4B957D" w14:textId="77777777" w:rsidR="00DB139D" w:rsidRPr="00055C7D" w:rsidRDefault="00DB139D" w:rsidP="00825B19">
      <w:pPr>
        <w:pStyle w:val="ManualHeading2"/>
        <w:rPr>
          <w:rFonts w:eastAsia="Arial Unicode MS"/>
          <w:noProof/>
          <w:u w:color="000000"/>
          <w:bdr w:val="nil"/>
        </w:rPr>
      </w:pPr>
      <w:r w:rsidRPr="00055C7D">
        <w:rPr>
          <w:noProof/>
          <w:u w:color="000000"/>
          <w:bdr w:val="nil"/>
        </w:rPr>
        <w:t>•</w:t>
      </w:r>
      <w:r w:rsidRPr="00055C7D">
        <w:rPr>
          <w:noProof/>
        </w:rPr>
        <w:tab/>
      </w:r>
      <w:r w:rsidRPr="00055C7D">
        <w:rPr>
          <w:noProof/>
          <w:u w:color="000000"/>
          <w:bdr w:val="nil"/>
        </w:rPr>
        <w:t>Εκτίμηση επιπτώσεων</w:t>
      </w:r>
    </w:p>
    <w:p w14:paraId="3DB28FD0" w14:textId="77777777" w:rsidR="008503A4" w:rsidRPr="00055C7D" w:rsidRDefault="008503A4" w:rsidP="008503A4">
      <w:pPr>
        <w:pBdr>
          <w:top w:val="nil"/>
          <w:left w:val="nil"/>
          <w:bottom w:val="nil"/>
          <w:right w:val="nil"/>
          <w:between w:val="nil"/>
          <w:bar w:val="nil"/>
        </w:pBdr>
        <w:spacing w:before="0" w:after="240"/>
        <w:rPr>
          <w:noProof/>
        </w:rPr>
      </w:pPr>
      <w:r w:rsidRPr="00055C7D">
        <w:rPr>
          <w:noProof/>
        </w:rPr>
        <w:t>Η Επιτροπή δεν διενήργησε εκτίμηση επιπτώσεων για την εν λόγω πρωτοβουλία. Η προτεινόμενη πρωτοβουλία αφορά διοικητικές αποφάσεις στο πλαίσιο των ευρωπαϊκών οργανισμών τυποποίησης μετά από αιτήματα της Επιτροπής βάσει πολιτικής ή νομικής ανάγκης. Οι εν λόγω διοικητικές αποφάσεις καλύπτουν αποφάσεις διακυβέρνησης/διοικητικές αποφάσεις για τις πολιτικές της Ένωσης. Ο αντίκτυπος αυτών των διοικητικών αποφάσεων περιορίζεται σε συγκεκριμένα ενδιαφερόμενα μέρη. Συμπερασματικά, δεν υπήρχε ανάγκη για εκτίμηση επιπτώσεων και σχετική δημόσια διαβούλευση, καθώς η τροποποίηση θα είχε/έχει περιορισμένο πεδίο εφαρμογής, είναι στοχευμένη και παρέχει τεχνικές τροποποιήσεις στην ισχύουσα νομοθεσία σχετικά με το ζήτημα της διακυβέρνησης.</w:t>
      </w:r>
    </w:p>
    <w:p w14:paraId="0643E945" w14:textId="77777777" w:rsidR="00DB139D" w:rsidRPr="00055C7D" w:rsidRDefault="00DB139D" w:rsidP="00825B19">
      <w:pPr>
        <w:pStyle w:val="ManualHeading1"/>
        <w:rPr>
          <w:noProof/>
        </w:rPr>
      </w:pPr>
      <w:r w:rsidRPr="00055C7D">
        <w:rPr>
          <w:noProof/>
        </w:rPr>
        <w:t>4.</w:t>
      </w:r>
      <w:r w:rsidRPr="00055C7D">
        <w:rPr>
          <w:noProof/>
        </w:rPr>
        <w:tab/>
        <w:t>ΔΗΜΟΣΙΟΝΟΜΙΚΕΣ ΕΠΙΠΤΩΣΕΙΣ</w:t>
      </w:r>
    </w:p>
    <w:p w14:paraId="7658B336" w14:textId="77777777" w:rsidR="00DB139D" w:rsidRPr="00055C7D" w:rsidRDefault="00DB139D" w:rsidP="00825B19">
      <w:pPr>
        <w:pBdr>
          <w:top w:val="nil"/>
          <w:left w:val="nil"/>
          <w:bottom w:val="nil"/>
          <w:right w:val="nil"/>
          <w:between w:val="nil"/>
          <w:bar w:val="nil"/>
        </w:pBdr>
        <w:spacing w:before="0" w:after="240"/>
        <w:rPr>
          <w:rFonts w:eastAsia="Arial Unicode MS"/>
          <w:noProof/>
        </w:rPr>
      </w:pPr>
      <w:r w:rsidRPr="00055C7D">
        <w:rPr>
          <w:noProof/>
        </w:rPr>
        <w:t>Η πρόταση δεν έχει δημοσιονομικές επιπτώσεις για τα θεσμικά όργανα της ΕΕ.</w:t>
      </w:r>
    </w:p>
    <w:p w14:paraId="43E012D5" w14:textId="77777777" w:rsidR="00DB139D" w:rsidRPr="00055C7D" w:rsidRDefault="00DB139D" w:rsidP="00825B19">
      <w:pPr>
        <w:pStyle w:val="ManualHeading1"/>
        <w:rPr>
          <w:noProof/>
        </w:rPr>
      </w:pPr>
      <w:r w:rsidRPr="00055C7D">
        <w:rPr>
          <w:noProof/>
        </w:rPr>
        <w:t>5.</w:t>
      </w:r>
      <w:r w:rsidRPr="00055C7D">
        <w:rPr>
          <w:noProof/>
        </w:rPr>
        <w:tab/>
        <w:t>ΛΟΙΠΑ ΣΤΟΙΧΕΙΑ</w:t>
      </w:r>
    </w:p>
    <w:p w14:paraId="063F44BB" w14:textId="77777777" w:rsidR="00DB139D" w:rsidRPr="00055C7D" w:rsidRDefault="00DB139D" w:rsidP="00825B19">
      <w:pPr>
        <w:pStyle w:val="ManualHeading2"/>
        <w:rPr>
          <w:rFonts w:eastAsia="Arial Unicode MS"/>
          <w:noProof/>
          <w:u w:color="000000"/>
          <w:bdr w:val="nil"/>
        </w:rPr>
      </w:pPr>
      <w:r w:rsidRPr="00055C7D">
        <w:rPr>
          <w:noProof/>
          <w:u w:color="000000"/>
          <w:bdr w:val="nil"/>
        </w:rPr>
        <w:t>•</w:t>
      </w:r>
      <w:r w:rsidRPr="00055C7D">
        <w:rPr>
          <w:noProof/>
        </w:rPr>
        <w:tab/>
      </w:r>
      <w:r w:rsidRPr="00055C7D">
        <w:rPr>
          <w:noProof/>
          <w:u w:color="000000"/>
          <w:bdr w:val="nil"/>
        </w:rPr>
        <w:t>Σχέδια εφαρμογής και ρυθμίσεις παρακολούθησης, αξιολόγησης και υποβολής εκθέσεων</w:t>
      </w:r>
    </w:p>
    <w:p w14:paraId="443C7B1F" w14:textId="77777777" w:rsidR="00A73103" w:rsidRPr="00055C7D" w:rsidRDefault="00A73103" w:rsidP="00A73103">
      <w:pPr>
        <w:rPr>
          <w:noProof/>
        </w:rPr>
      </w:pPr>
      <w:r w:rsidRPr="00055C7D">
        <w:rPr>
          <w:noProof/>
        </w:rPr>
        <w:t xml:space="preserve">Η πρόταση αφορά την τροποποίηση μόνο δύο άρθρων. </w:t>
      </w:r>
    </w:p>
    <w:p w14:paraId="5F4C2F26" w14:textId="77777777" w:rsidR="00A73103" w:rsidRPr="00055C7D" w:rsidRDefault="00A73103" w:rsidP="00A73103">
      <w:pPr>
        <w:rPr>
          <w:noProof/>
        </w:rPr>
      </w:pPr>
      <w:r w:rsidRPr="00055C7D">
        <w:rPr>
          <w:noProof/>
        </w:rPr>
        <w:t>Για να δοθεί η δυνατότητα στους ευρωπαϊκούς οργανισμούς τυποποίησης —όπου απαιτείται— να προσαρμόσουν τον εσωτερικό κανονισμό τους, η τροποποίηση προβλέπει μεταβατική περίοδο έξι μηνών πριν από την έναρξη ισχύος.</w:t>
      </w:r>
    </w:p>
    <w:p w14:paraId="08B9AB4F" w14:textId="77777777" w:rsidR="00DB139D" w:rsidRPr="00055C7D" w:rsidRDefault="008503A4" w:rsidP="00477B0E">
      <w:pPr>
        <w:spacing w:before="0" w:after="240"/>
        <w:rPr>
          <w:noProof/>
        </w:rPr>
        <w:sectPr w:rsidR="00DB139D" w:rsidRPr="00055C7D" w:rsidSect="00222396">
          <w:footerReference w:type="default" r:id="rId13"/>
          <w:footerReference w:type="first" r:id="rId14"/>
          <w:pgSz w:w="11907" w:h="16839"/>
          <w:pgMar w:top="1134" w:right="1417" w:bottom="1134" w:left="1417" w:header="709" w:footer="709" w:gutter="0"/>
          <w:cols w:space="708"/>
          <w:docGrid w:linePitch="360"/>
        </w:sectPr>
      </w:pPr>
      <w:r w:rsidRPr="00055C7D">
        <w:rPr>
          <w:noProof/>
        </w:rPr>
        <w:t>Η Επιτροπή θα βοηθήσει τους ευρωπαϊκούς οργανισμούς τυποποίησης να τροποποιήσουν τους εσωτερικούς κανόνες τους για τη λήψη αποφάσεων σχετικά με τα πρότυπα και τα παραδοτέα τυποποίησης που ζητά η Επιτροπή σύμφωνα με το άρθρο 10 παράγραφος 1 του κανονισμού για την τυποποίηση.</w:t>
      </w:r>
      <w:r w:rsidRPr="00055C7D">
        <w:rPr>
          <w:noProof/>
        </w:rPr>
        <w:tab/>
      </w:r>
    </w:p>
    <w:p w14:paraId="232BDB3B" w14:textId="66F5E973" w:rsidR="00970E3E" w:rsidRPr="00055C7D" w:rsidRDefault="00F717B4" w:rsidP="00F717B4">
      <w:pPr>
        <w:pStyle w:val="Rfrenceinterinstitutionnelle"/>
        <w:rPr>
          <w:noProof/>
        </w:rPr>
      </w:pPr>
      <w:r w:rsidRPr="00F717B4">
        <w:t>2022/0021 (COD)</w:t>
      </w:r>
    </w:p>
    <w:p w14:paraId="55EDBBC2" w14:textId="6A7DC830" w:rsidR="00DB139D" w:rsidRPr="00055C7D" w:rsidRDefault="00EA374D" w:rsidP="00EA374D">
      <w:pPr>
        <w:pStyle w:val="Statut"/>
        <w:rPr>
          <w:noProof/>
        </w:rPr>
      </w:pPr>
      <w:r w:rsidRPr="00EA374D">
        <w:rPr>
          <w:noProof/>
        </w:rPr>
        <w:t>Πρόταση</w:t>
      </w:r>
    </w:p>
    <w:p w14:paraId="1C48D4F3" w14:textId="223F5959" w:rsidR="00DB139D" w:rsidRPr="00055C7D" w:rsidRDefault="00EA374D" w:rsidP="00EA374D">
      <w:pPr>
        <w:pStyle w:val="Typedudocument"/>
        <w:rPr>
          <w:noProof/>
        </w:rPr>
      </w:pPr>
      <w:r w:rsidRPr="00EA374D">
        <w:rPr>
          <w:noProof/>
        </w:rPr>
        <w:t>ΚΑΝΟΝΙΣΜΟΣ ΤΟΥ ΕΥΡΩΠΑΪΚΟΥ ΚΟΙΝΟΒΟΥΛΙΟΥ ΚΑΙ ΤΟΥ ΣΥΜΒΟΥΛΙΟΥ</w:t>
      </w:r>
    </w:p>
    <w:p w14:paraId="311E2F17" w14:textId="61C7AD17" w:rsidR="00DB139D" w:rsidRPr="00055C7D" w:rsidRDefault="00EA374D" w:rsidP="00EA374D">
      <w:pPr>
        <w:pStyle w:val="Titreobjet"/>
        <w:rPr>
          <w:noProof/>
        </w:rPr>
      </w:pPr>
      <w:r w:rsidRPr="00EA374D">
        <w:rPr>
          <w:noProof/>
        </w:rPr>
        <w:t>για την τροποποίηση του κανονισμού (ΕΕ) αριθ. 1025/2012 όσον αφορά τις αποφάσεις των ευρωπαϊκών οργανισμών τυποποίησης σχετικά με τα ευρωπαϊκά πρότυπα και τα παραδοτέα ευρωπαϊκής τυποποίησης</w:t>
      </w:r>
    </w:p>
    <w:p w14:paraId="6E0163C3" w14:textId="23DB0662" w:rsidR="00DB139D" w:rsidRPr="00055C7D" w:rsidRDefault="00EA374D" w:rsidP="00EA374D">
      <w:pPr>
        <w:pStyle w:val="IntrtEEE"/>
        <w:rPr>
          <w:noProof/>
        </w:rPr>
      </w:pPr>
      <w:r w:rsidRPr="00EA374D">
        <w:rPr>
          <w:noProof/>
        </w:rPr>
        <w:t>(Κείμενο που παρουσιάζει ενδιαφέρον για τον ΕΟΧ)</w:t>
      </w:r>
    </w:p>
    <w:p w14:paraId="465D2AF2" w14:textId="77777777" w:rsidR="00DB139D" w:rsidRPr="00055C7D" w:rsidRDefault="00DB139D" w:rsidP="00825B19">
      <w:pPr>
        <w:pStyle w:val="Institutionquiagit"/>
        <w:rPr>
          <w:noProof/>
        </w:rPr>
      </w:pPr>
      <w:r w:rsidRPr="00055C7D">
        <w:rPr>
          <w:noProof/>
        </w:rPr>
        <w:t>ΤΟ ΕΥΡΩΠΑΪΚΟ ΚΟΙΝΟΒΟΥΛΙΟ ΚΑΙ ΤΟ ΣΥΜΒΟΥΛΙΟ ΤΗΣ ΕΥΡΩΠΑΪΚΗΣ ΕΝΩΣΗΣ,</w:t>
      </w:r>
    </w:p>
    <w:p w14:paraId="7F457089" w14:textId="77777777" w:rsidR="00DB139D" w:rsidRPr="00055C7D" w:rsidRDefault="00DB139D" w:rsidP="00825B19">
      <w:pPr>
        <w:rPr>
          <w:noProof/>
        </w:rPr>
      </w:pPr>
      <w:r w:rsidRPr="00055C7D">
        <w:rPr>
          <w:noProof/>
        </w:rPr>
        <w:t>Έχοντας υπόψη τη Συνθήκη για τη λειτουργία της Ευρωπαϊκής Ένωσης, και ιδίως το άρθρο 114,</w:t>
      </w:r>
    </w:p>
    <w:p w14:paraId="25FB23D1" w14:textId="77777777" w:rsidR="00DB139D" w:rsidRPr="00055C7D" w:rsidRDefault="00DB139D" w:rsidP="00825B19">
      <w:pPr>
        <w:rPr>
          <w:noProof/>
        </w:rPr>
      </w:pPr>
      <w:r w:rsidRPr="00055C7D">
        <w:rPr>
          <w:noProof/>
        </w:rPr>
        <w:t>Έχοντας υπόψη την πρόταση της Ευρωπαϊκής Επιτροπής,</w:t>
      </w:r>
    </w:p>
    <w:p w14:paraId="2E99E012" w14:textId="77777777" w:rsidR="00DB139D" w:rsidRPr="00055C7D" w:rsidRDefault="00DB139D" w:rsidP="00825B19">
      <w:pPr>
        <w:rPr>
          <w:noProof/>
        </w:rPr>
      </w:pPr>
      <w:r w:rsidRPr="00055C7D">
        <w:rPr>
          <w:noProof/>
        </w:rPr>
        <w:t>Κατόπιν διαβίβασης του σχεδίου νομοθετικής πράξης στα εθνικά κοινοβούλια,</w:t>
      </w:r>
    </w:p>
    <w:p w14:paraId="6035CF87" w14:textId="77777777" w:rsidR="00DB139D" w:rsidRPr="00055C7D" w:rsidRDefault="00DB139D" w:rsidP="00825B19">
      <w:pPr>
        <w:rPr>
          <w:noProof/>
        </w:rPr>
      </w:pPr>
      <w:r w:rsidRPr="00055C7D">
        <w:rPr>
          <w:noProof/>
        </w:rPr>
        <w:t>Έχοντας υπόψη τη γνώμη της Ευρωπαϊκής Οικονομικής και Κοινωνικής Επιτροπής</w:t>
      </w:r>
      <w:r w:rsidRPr="00055C7D">
        <w:rPr>
          <w:rStyle w:val="FootnoteReference"/>
          <w:noProof/>
        </w:rPr>
        <w:footnoteReference w:id="8"/>
      </w:r>
      <w:r w:rsidRPr="00055C7D">
        <w:rPr>
          <w:noProof/>
        </w:rPr>
        <w:t xml:space="preserve">, </w:t>
      </w:r>
    </w:p>
    <w:p w14:paraId="0B6768B4" w14:textId="77777777" w:rsidR="00DB139D" w:rsidRPr="00055C7D" w:rsidRDefault="00DB139D" w:rsidP="00825B19">
      <w:pPr>
        <w:rPr>
          <w:noProof/>
        </w:rPr>
      </w:pPr>
      <w:r w:rsidRPr="00055C7D">
        <w:rPr>
          <w:noProof/>
        </w:rPr>
        <w:t>Αποφασίζοντας σύμφωνα με τη συνήθη νομοθετική διαδικασία,</w:t>
      </w:r>
    </w:p>
    <w:p w14:paraId="4215036E" w14:textId="6BD75C87" w:rsidR="00D34432" w:rsidRPr="00055C7D" w:rsidRDefault="00DB139D" w:rsidP="001534E5">
      <w:pPr>
        <w:rPr>
          <w:noProof/>
        </w:rPr>
      </w:pPr>
      <w:r w:rsidRPr="00055C7D">
        <w:rPr>
          <w:noProof/>
        </w:rPr>
        <w:t>Εκτιμώντας τα ακόλουθα:</w:t>
      </w:r>
    </w:p>
    <w:p w14:paraId="3B316BD4" w14:textId="7705C434" w:rsidR="00DF5A8F" w:rsidRPr="00055C7D" w:rsidRDefault="00600F7D" w:rsidP="00600F7D">
      <w:pPr>
        <w:pStyle w:val="ManualConsidrant"/>
        <w:rPr>
          <w:noProof/>
        </w:rPr>
      </w:pPr>
      <w:r w:rsidRPr="00600F7D">
        <w:t>(1)</w:t>
      </w:r>
      <w:r w:rsidRPr="00600F7D">
        <w:tab/>
      </w:r>
      <w:r w:rsidR="001C6095" w:rsidRPr="00055C7D">
        <w:rPr>
          <w:noProof/>
        </w:rPr>
        <w:t>Ο κανονισμός (ΕΕ) αριθ. 1025/2012 του Ευρωπαϊκού Κοινοβουλίου και του Συμβουλίου</w:t>
      </w:r>
      <w:r w:rsidR="001C6095" w:rsidRPr="00055C7D">
        <w:rPr>
          <w:rStyle w:val="FootnoteReference"/>
          <w:noProof/>
        </w:rPr>
        <w:footnoteReference w:id="9"/>
      </w:r>
      <w:r w:rsidR="001C6095" w:rsidRPr="00055C7D">
        <w:rPr>
          <w:noProof/>
        </w:rPr>
        <w:t xml:space="preserve"> θεσπίζει κανόνες σχετικά με τη θέσπιση ευρωπαϊκών προτύπων και παραδοτέων ευρωπαϊκής τυποποίησης για προϊόντα και υπηρεσίες προς υποστήριξη της νομοθεσίας και των πολιτικών της Ένωσης. </w:t>
      </w:r>
    </w:p>
    <w:p w14:paraId="720267D3" w14:textId="1BCF33DF" w:rsidR="00D34432" w:rsidRPr="00055C7D" w:rsidRDefault="00600F7D" w:rsidP="00600F7D">
      <w:pPr>
        <w:pStyle w:val="ManualConsidrant"/>
        <w:rPr>
          <w:noProof/>
        </w:rPr>
      </w:pPr>
      <w:r w:rsidRPr="00600F7D">
        <w:t>(2)</w:t>
      </w:r>
      <w:r w:rsidRPr="00600F7D">
        <w:tab/>
      </w:r>
      <w:r w:rsidR="00817786" w:rsidRPr="00055C7D">
        <w:rPr>
          <w:noProof/>
        </w:rPr>
        <w:t>Σύμφωνα με το άρθρο 10 του κανονισμού (ΕΕ) αριθ. 1025/2012, η Επιτροπή μπορεί να ζητήσει από έναν ή περισσότερους ευρωπαϊκούς οργανισμούς τυποποίησης να καταρτίσουν ένα ευρωπαϊκό πρότυπο ή παραδοτέο ευρωπαϊκής τυποποίησης.</w:t>
      </w:r>
    </w:p>
    <w:p w14:paraId="6155F240" w14:textId="30E6A831" w:rsidR="00694935" w:rsidRPr="00055C7D" w:rsidRDefault="00600F7D" w:rsidP="00600F7D">
      <w:pPr>
        <w:pStyle w:val="ManualConsidrant"/>
        <w:rPr>
          <w:noProof/>
        </w:rPr>
      </w:pPr>
      <w:r w:rsidRPr="00600F7D">
        <w:t>(3)</w:t>
      </w:r>
      <w:r w:rsidRPr="00600F7D">
        <w:tab/>
      </w:r>
      <w:r w:rsidR="00694935" w:rsidRPr="00055C7D">
        <w:rPr>
          <w:noProof/>
        </w:rPr>
        <w:t>Τα ευρωπαϊκά πρότυπα και τα παραδοτέα ευρωπαϊκής τυποποίησης διαδραματίζουν σημαντικό ρόλο στην εσωτερική αγορά. Για παράδειγμα, μπορούν να χρησιμοποιούνται εναρμονισμένα πρότυπα για να τεκμαίρεται ότι τα προϊόντα που πρόκειται να διατεθούν στην αγορά συμμορφώνονται με τις ουσιώδεις απαιτήσεις που ορίζονται στη σχετική ενωσιακή νομοθεσία εναρμόνισης για τα εν λόγω προϊόντα, όταν αυτά συμμορφώνονται με τα εναρμονισμένα πρότυπα.</w:t>
      </w:r>
    </w:p>
    <w:p w14:paraId="393B70F8" w14:textId="60EE4C01" w:rsidR="00694935" w:rsidRPr="00055C7D" w:rsidRDefault="00600F7D" w:rsidP="00600F7D">
      <w:pPr>
        <w:pStyle w:val="ManualConsidrant"/>
        <w:rPr>
          <w:noProof/>
        </w:rPr>
      </w:pPr>
      <w:r w:rsidRPr="00600F7D">
        <w:t>(4)</w:t>
      </w:r>
      <w:r w:rsidRPr="00600F7D">
        <w:tab/>
      </w:r>
      <w:r w:rsidR="00C61A34" w:rsidRPr="00055C7D">
        <w:rPr>
          <w:noProof/>
        </w:rPr>
        <w:t>Τα τελευταία χρόνια, οι πρακτικές των ευρωπαϊκών οργανισμών τυποποίησης όσον αφορά την εσωτερική διακυβέρνηση και τις διαδικασίες λήψης αποφάσεων έχουν αλλάξει. Ως εκ τούτου, οι ευρωπαϊκοί οργανισμοί τυποποίησης ενίσχυσαν τη συνεργασία τους με διεθνείς και ευρωπαϊκούς ενδιαφερόμενους φορείς. Η συνεργασία αυτή είναι ευπρόσδεκτη, καθώς συμβάλλει στη διαφανή, ανοικτή, αμερόληπτη και συναινετική διαδικασία τυποποίησης. Ωστόσο, όταν οι ευρωπαϊκοί οργανισμοί τυποποίησης εκτελούν αιτήματα τυποποίησης για τη στήριξη της νομοθεσίας και των πολιτικών της Ένωσης, η απεριόριστη συμμετοχή οποιουδήποτε ενδιαφερόμενου μέρους στην εσωτερική διαδικασία λήψης αποφάσεων μπορεί να οδηγήσει σε αποφάσεις που δεν λαμβάνουν πλήρως υπόψη τα συμφέροντα, τους στόχους πολιτικής και τις αξίες της Ένωσης, καθώς και τα δημόσια συμφέροντα εν γένει.</w:t>
      </w:r>
    </w:p>
    <w:p w14:paraId="3869AD44" w14:textId="684CAF4F" w:rsidR="008113CE" w:rsidRPr="00055C7D" w:rsidRDefault="00600F7D" w:rsidP="00600F7D">
      <w:pPr>
        <w:pStyle w:val="ManualConsidrant"/>
        <w:rPr>
          <w:noProof/>
        </w:rPr>
      </w:pPr>
      <w:r w:rsidRPr="00600F7D">
        <w:t>(5)</w:t>
      </w:r>
      <w:r w:rsidRPr="00600F7D">
        <w:tab/>
      </w:r>
      <w:r w:rsidR="009D3145" w:rsidRPr="00055C7D">
        <w:rPr>
          <w:noProof/>
        </w:rPr>
        <w:t>Οι εθνικοί φορείς τυποποίησης διαδραματίζουν ουσιαστικό ρόλο στο σύστημα τυποποίησης, τόσο σε επίπεδο Ένωσης, σύμφωνα με τον κανονισμό (ΕΕ) αριθ. 1025/2012, όσο και σε επίπεδο κρατών μελών. Συνεπώς, οι εθνικοί φορείς τυποποίησης είναι οι πλέον κατάλληλοι για να διασφαλίσουν ότι τα συμφέροντα, οι στόχοι πολιτικής και οι αξίες της Ένωσης, καθώς και τα δημόσια συμφέροντα εν γένει λαμβάνονται δεόντως υπόψη από τους ευρωπαϊκούς οργανισμούς τυποποίησης. Ως εκ τούτου, είναι αναγκαίο να ενισχυθεί ο ρόλος τους στα όργανα λήψης αποφάσεων των ευρωπαϊκών οργανισμών τυποποίησης, όταν οι εν λόγω φορείς λαμβάνουν αποφάσεις σχετικά με τα ευρωπαϊκά πρότυπα και τα παραδοτέα ευρωπαϊκής τυποποίησης που ζητούνται από την Επιτροπή σύμφωνα με το άρθρο 10 παράγραφος 1 του κανονισμού (ΕΕ) αριθ. 1025/2012.</w:t>
      </w:r>
    </w:p>
    <w:p w14:paraId="4928D501" w14:textId="0E36D316" w:rsidR="00834E7C" w:rsidRPr="00055C7D" w:rsidRDefault="00600F7D" w:rsidP="00600F7D">
      <w:pPr>
        <w:pStyle w:val="ManualConsidrant"/>
        <w:rPr>
          <w:noProof/>
        </w:rPr>
      </w:pPr>
      <w:r w:rsidRPr="00600F7D">
        <w:t>(6)</w:t>
      </w:r>
      <w:r w:rsidRPr="00600F7D">
        <w:tab/>
      </w:r>
      <w:r w:rsidR="008113CE" w:rsidRPr="00055C7D">
        <w:rPr>
          <w:noProof/>
        </w:rPr>
        <w:t>Τα όργανα λήψης αποφάσεων των ευρωπαϊκών οργανισμών τυποποίησης είναι ανοικτά στη συμμετοχή όχι μόνο των εθνικών φορέων τυποποίησης, αλλά και των εθνικών φορέων τυποποίησης των υπό προσχώρηση χωρών, των υποψήφιων χωρών και των εν δυνάμει υποψήφιων για προσχώρηση στην Ένωση, μεταξύ άλλων. Προκειμένου να αποφευχθεί ο αποκλεισμός των εν λόγω οργανισμών από τη συμμετοχή στις εργασίες των σχετικών οργάνων λήψης αποφάσεων, είναι αναγκαίο μόνο να προβλεφθεί ότι οι αποφάσεις που αφορούν ευρωπαϊκά πρότυπα και παραδοτέα ευρωπαϊκής τυποποίησης, τα οποία ζητούνται σύμφωνα με το άρθρο 10 παράγραφος 1 του κανονισμού (ΕΕ) αριθ. 1025/2012, λαμβάνονται στα εν λόγω όργανα αποκλειστικά από εκπροσώπους των εθνικών φορέων τυποποίησης, χωρίς να επιβάλλονται άλλες απαιτήσεις στις εργασίες των οργάνων λήψης αποφάσεων των ευρωπαϊκών οργανισμών τυποποίησης.</w:t>
      </w:r>
    </w:p>
    <w:p w14:paraId="3E807642" w14:textId="4B04B23E" w:rsidR="00A1491E" w:rsidRPr="00055C7D" w:rsidRDefault="00600F7D" w:rsidP="00600F7D">
      <w:pPr>
        <w:pStyle w:val="ManualConsidrant"/>
        <w:rPr>
          <w:noProof/>
        </w:rPr>
      </w:pPr>
      <w:r w:rsidRPr="00600F7D">
        <w:t>(7)</w:t>
      </w:r>
      <w:r w:rsidRPr="00600F7D">
        <w:tab/>
      </w:r>
      <w:r w:rsidR="009B1499" w:rsidRPr="00055C7D">
        <w:rPr>
          <w:noProof/>
        </w:rPr>
        <w:t>Προκειμένου να εφαρμοστεί η απαίτηση ότι οι αποφάσεις των οργάνων λήψης αποφάσεων των ευρωπαϊκών οργανισμών τυποποίησης σχετικά με τα ευρωπαϊκά πρότυπα και τα παραδοτέα ευρωπαϊκής τυποποίησης τα οποία ζητά η Επιτροπή, σύμφωνα με το άρθρο 10 παράγραφος 1 του κανονισμού (ΕΕ) αριθ. 1025/2012, λαμβάνονται αποκλειστικά από εκπροσώπους των εθνικών φορέων τυποποίησης, είναι αναγκαίο να προβλεφθεί ότι η Επιτροπή μπορεί να υποβάλλει τέτοια αιτήματα μόνο σε ευρωπαϊκό οργανισμό τυποποίησης που συμμορφώνεται με την εν λόγω απαίτηση.</w:t>
      </w:r>
    </w:p>
    <w:p w14:paraId="61459538" w14:textId="15B7E624" w:rsidR="002E69BD" w:rsidRPr="00055C7D" w:rsidRDefault="00600F7D" w:rsidP="00600F7D">
      <w:pPr>
        <w:pStyle w:val="ManualConsidrant"/>
        <w:rPr>
          <w:noProof/>
        </w:rPr>
      </w:pPr>
      <w:r w:rsidRPr="00600F7D">
        <w:t>(8)</w:t>
      </w:r>
      <w:r w:rsidRPr="00600F7D">
        <w:tab/>
      </w:r>
      <w:r w:rsidR="002E69BD" w:rsidRPr="00055C7D">
        <w:rPr>
          <w:noProof/>
        </w:rPr>
        <w:t>Επομένως, ο κανονισμός (ΕΕ) αριθ. 1025/2012 θα πρέπει να τροποποιηθεί αναλόγως.</w:t>
      </w:r>
    </w:p>
    <w:p w14:paraId="073FCA99" w14:textId="6886C81D" w:rsidR="00BF1DE8" w:rsidRPr="00055C7D" w:rsidRDefault="00600F7D" w:rsidP="00600F7D">
      <w:pPr>
        <w:pStyle w:val="ManualConsidrant"/>
        <w:rPr>
          <w:noProof/>
        </w:rPr>
      </w:pPr>
      <w:r w:rsidRPr="00600F7D">
        <w:t>(9)</w:t>
      </w:r>
      <w:r w:rsidRPr="00600F7D">
        <w:tab/>
      </w:r>
      <w:r w:rsidR="00C61A34" w:rsidRPr="00055C7D">
        <w:rPr>
          <w:noProof/>
        </w:rPr>
        <w:t>Για να μπορέσουν οι ευρωπαϊκοί οργανισμοί τυποποίησης να προσαρμόσουν, όπου απαιτείται, τον εσωτερικό κανονισμό τους στις απαιτήσεις του παρόντος κανονισμού, η εφαρμογή του θα πρέπει να μετατεθεί χρονικά,</w:t>
      </w:r>
    </w:p>
    <w:p w14:paraId="354BFCD7" w14:textId="77777777" w:rsidR="00DB139D" w:rsidRPr="00055C7D" w:rsidRDefault="00DB139D" w:rsidP="00825B19">
      <w:pPr>
        <w:pStyle w:val="Formuledadoption"/>
        <w:rPr>
          <w:noProof/>
        </w:rPr>
      </w:pPr>
      <w:r w:rsidRPr="00055C7D">
        <w:rPr>
          <w:noProof/>
        </w:rPr>
        <w:t>ΕΞΕΔΩΣΑΝ ΤΟΝ ΠΑΡΟΝΤΑ ΚΑΝΟΝΙΣΜΟ:</w:t>
      </w:r>
    </w:p>
    <w:p w14:paraId="3F2F92DB" w14:textId="77777777" w:rsidR="00DB139D" w:rsidRPr="00055C7D" w:rsidRDefault="00DB139D" w:rsidP="00825B19">
      <w:pPr>
        <w:pStyle w:val="Titrearticle"/>
        <w:rPr>
          <w:noProof/>
        </w:rPr>
      </w:pPr>
      <w:r w:rsidRPr="00055C7D">
        <w:rPr>
          <w:noProof/>
        </w:rPr>
        <w:t>Άρθρο 1</w:t>
      </w:r>
    </w:p>
    <w:p w14:paraId="1F21B1BA" w14:textId="77777777" w:rsidR="00834E7C" w:rsidRPr="00055C7D" w:rsidRDefault="00834E7C" w:rsidP="00834E7C">
      <w:pPr>
        <w:rPr>
          <w:noProof/>
        </w:rPr>
      </w:pPr>
      <w:r w:rsidRPr="00055C7D">
        <w:rPr>
          <w:noProof/>
        </w:rPr>
        <w:t>Το άρθρο 10 του κανονισμού (ΕΕ) αριθ. 1025/2012 τροποποιείται ως εξής:</w:t>
      </w:r>
    </w:p>
    <w:p w14:paraId="6AAC0210" w14:textId="77777777" w:rsidR="00834E7C" w:rsidRPr="00055C7D" w:rsidRDefault="00003C6A" w:rsidP="00003C6A">
      <w:pPr>
        <w:ind w:firstLine="360"/>
        <w:rPr>
          <w:noProof/>
        </w:rPr>
      </w:pPr>
      <w:r w:rsidRPr="00055C7D">
        <w:rPr>
          <w:noProof/>
        </w:rPr>
        <w:t>1) στην παράγραφο 1, η πρώτη περίοδος αντικαθίσταται από το ακόλουθο κείμενο:</w:t>
      </w:r>
    </w:p>
    <w:p w14:paraId="63D80351" w14:textId="77777777" w:rsidR="00103923" w:rsidRPr="00055C7D" w:rsidRDefault="00834E7C" w:rsidP="00FE1C7A">
      <w:pPr>
        <w:ind w:left="360"/>
        <w:rPr>
          <w:noProof/>
        </w:rPr>
      </w:pPr>
      <w:r w:rsidRPr="00055C7D">
        <w:rPr>
          <w:noProof/>
        </w:rPr>
        <w:t>«Η Επιτροπή μπορεί, στο πλαίσιο των περιορισμών των αρμοδιοτήτων που προβλέπουν οι Συνθήκες, να ζητά από έναν ή περισσότερους ευρωπαϊκούς οργανισμούς τυποποίησης να καταρτίσουν ένα ευρωπαϊκό πρότυπο ή παραδοτέο ευρωπαϊκής τυποποίησης εντός ταχθείσας προθεσμίας, υπό την προϋπόθεση ότι ο συγκεκριμένος ευρωπαϊκός οργανισμός τυποποίησης συμμορφώνεται με την παράγραφο 2α.»·</w:t>
      </w:r>
    </w:p>
    <w:p w14:paraId="71041CA7" w14:textId="77777777" w:rsidR="00834E7C" w:rsidRPr="00055C7D" w:rsidRDefault="009E2996" w:rsidP="00D633E1">
      <w:pPr>
        <w:ind w:left="360"/>
        <w:rPr>
          <w:noProof/>
        </w:rPr>
      </w:pPr>
      <w:r w:rsidRPr="00055C7D">
        <w:rPr>
          <w:noProof/>
        </w:rPr>
        <w:t>2)</w:t>
      </w:r>
      <w:r w:rsidRPr="00055C7D">
        <w:rPr>
          <w:noProof/>
        </w:rPr>
        <w:tab/>
        <w:t>παρεμβάλλεται η ακόλουθη παράγραφος 2α:</w:t>
      </w:r>
    </w:p>
    <w:p w14:paraId="45CC37E4" w14:textId="77777777" w:rsidR="00834E7C" w:rsidRPr="00055C7D" w:rsidRDefault="00834E7C" w:rsidP="00834E7C">
      <w:pPr>
        <w:ind w:left="360"/>
        <w:rPr>
          <w:noProof/>
        </w:rPr>
      </w:pPr>
      <w:r w:rsidRPr="00055C7D">
        <w:rPr>
          <w:noProof/>
        </w:rPr>
        <w:t>«2α.</w:t>
      </w:r>
      <w:r w:rsidRPr="00055C7D">
        <w:rPr>
          <w:noProof/>
        </w:rPr>
        <w:tab/>
        <w:t xml:space="preserve">Κάθε ευρωπαϊκός οργανισμός τυποποίησης εξασφαλίζει ότι οι ακόλουθες αποφάσεις σχετικά με τα ευρωπαϊκά πρότυπα και τα παραδοτέα ευρωπαϊκής τυποποίησης που αναφέρονται στην παράγραφο 1 λαμβάνονται αποκλειστικά από εκπροσώπους των εθνικών φορέων τυποποίησης στο πλαίσιο του αρμόδιου οργάνου λήψης αποφάσεων του εν λόγω οργανισμού: </w:t>
      </w:r>
    </w:p>
    <w:p w14:paraId="4688FE2B" w14:textId="77777777" w:rsidR="00834E7C" w:rsidRPr="00055C7D" w:rsidRDefault="00834E7C" w:rsidP="00834E7C">
      <w:pPr>
        <w:ind w:left="720"/>
        <w:rPr>
          <w:noProof/>
        </w:rPr>
      </w:pPr>
      <w:r w:rsidRPr="00055C7D">
        <w:rPr>
          <w:noProof/>
        </w:rPr>
        <w:t>α) αποφάσεις σχετικά με την αποδοχή, την απόρριψη και την εκτέλεση αιτήσεων τυποποίησης·</w:t>
      </w:r>
    </w:p>
    <w:p w14:paraId="108B9762" w14:textId="77777777" w:rsidR="00834E7C" w:rsidRPr="00055C7D" w:rsidRDefault="00834E7C" w:rsidP="00834E7C">
      <w:pPr>
        <w:ind w:left="720"/>
        <w:rPr>
          <w:noProof/>
        </w:rPr>
      </w:pPr>
      <w:r w:rsidRPr="00055C7D">
        <w:rPr>
          <w:noProof/>
        </w:rPr>
        <w:t xml:space="preserve">β) αποφάσεις για την αποδοχή νέων θεμάτων εργασίας· </w:t>
      </w:r>
    </w:p>
    <w:p w14:paraId="563B4352" w14:textId="77777777" w:rsidR="00DB139D" w:rsidRPr="00055C7D" w:rsidRDefault="00834E7C" w:rsidP="00F03CB0">
      <w:pPr>
        <w:ind w:left="720"/>
        <w:rPr>
          <w:noProof/>
        </w:rPr>
      </w:pPr>
      <w:r w:rsidRPr="00055C7D">
        <w:rPr>
          <w:noProof/>
        </w:rPr>
        <w:t>γ) αποφάσεις σχετικά με την έγκριση, την αναθεώρηση και την απόσυρση ευρωπαϊκών προτύπων ή παραδοτέων ευρωπαϊκής τυποποίησης.».</w:t>
      </w:r>
    </w:p>
    <w:p w14:paraId="3A928DE3" w14:textId="77777777" w:rsidR="00103923" w:rsidRPr="00055C7D" w:rsidRDefault="00103923" w:rsidP="00090DBE">
      <w:pPr>
        <w:rPr>
          <w:noProof/>
        </w:rPr>
      </w:pPr>
    </w:p>
    <w:p w14:paraId="235A02ED" w14:textId="77777777" w:rsidR="00DB139D" w:rsidRPr="00055C7D" w:rsidRDefault="00DB139D" w:rsidP="00825B19">
      <w:pPr>
        <w:pStyle w:val="Titrearticle"/>
        <w:rPr>
          <w:noProof/>
        </w:rPr>
      </w:pPr>
      <w:r w:rsidRPr="00055C7D">
        <w:rPr>
          <w:noProof/>
        </w:rPr>
        <w:t>Άρθρο 2</w:t>
      </w:r>
    </w:p>
    <w:p w14:paraId="4F2F002F" w14:textId="77777777" w:rsidR="00DB139D" w:rsidRPr="00055C7D" w:rsidRDefault="00DB139D" w:rsidP="00825B19">
      <w:pPr>
        <w:rPr>
          <w:noProof/>
        </w:rPr>
      </w:pPr>
      <w:r w:rsidRPr="00055C7D">
        <w:rPr>
          <w:noProof/>
        </w:rPr>
        <w:t xml:space="preserve">Ο παρών κανονισμός αρχίζει να ισχύει την εικοστή ημέρα από τη δημοσίευσή του στην </w:t>
      </w:r>
      <w:r w:rsidRPr="00055C7D">
        <w:rPr>
          <w:i/>
          <w:noProof/>
        </w:rPr>
        <w:t>Επίσημη Εφημερίδα της Ευρωπαϊκής Ένωσης</w:t>
      </w:r>
      <w:r w:rsidRPr="00055C7D">
        <w:rPr>
          <w:noProof/>
        </w:rPr>
        <w:t>.</w:t>
      </w:r>
    </w:p>
    <w:p w14:paraId="5926ECDB" w14:textId="77777777" w:rsidR="00D215E9" w:rsidRPr="00055C7D" w:rsidRDefault="00D215E9" w:rsidP="00D215E9">
      <w:pPr>
        <w:rPr>
          <w:noProof/>
          <w:color w:val="00B050"/>
        </w:rPr>
      </w:pPr>
      <w:r w:rsidRPr="00055C7D">
        <w:rPr>
          <w:noProof/>
        </w:rPr>
        <w:t>Εφαρμόζεται από την/τις ... [</w:t>
      </w:r>
      <w:r w:rsidRPr="00055C7D">
        <w:rPr>
          <w:i/>
          <w:noProof/>
        </w:rPr>
        <w:t>Υπηρεσία Εκδόσεων: να προστεθεί η ημερομηνία – 6 μήνες από την ημερομηνία έναρξης ισχύος του παρόντος κανονισμού</w:t>
      </w:r>
      <w:r w:rsidRPr="00055C7D">
        <w:rPr>
          <w:noProof/>
        </w:rPr>
        <w:t>].</w:t>
      </w:r>
    </w:p>
    <w:p w14:paraId="455968F9" w14:textId="77777777" w:rsidR="00DB139D" w:rsidRPr="00055C7D" w:rsidRDefault="00DB139D" w:rsidP="00825B19">
      <w:pPr>
        <w:pStyle w:val="Applicationdirecte"/>
        <w:rPr>
          <w:noProof/>
        </w:rPr>
      </w:pPr>
      <w:r w:rsidRPr="00055C7D">
        <w:rPr>
          <w:noProof/>
        </w:rPr>
        <w:t>Ο παρών κανονισμός είναι δεσμευτικός ως προς όλα τα μέρη του και ισχύει άμεσα σε κάθε κράτος μέλος.</w:t>
      </w:r>
    </w:p>
    <w:p w14:paraId="121CE304" w14:textId="24D8E217" w:rsidR="00DB139D" w:rsidRPr="00055C7D" w:rsidRDefault="00383D44" w:rsidP="008537B2">
      <w:pPr>
        <w:pStyle w:val="Fait"/>
        <w:rPr>
          <w:noProof/>
        </w:rPr>
      </w:pPr>
      <w:r w:rsidRPr="00383D44">
        <w:t>Βρυξέλλες,</w:t>
      </w:r>
    </w:p>
    <w:p w14:paraId="793DB9A9" w14:textId="77777777" w:rsidR="00DB139D" w:rsidRPr="00055C7D" w:rsidRDefault="00DB139D" w:rsidP="008537B2">
      <w:pPr>
        <w:pStyle w:val="Institutionquisigne"/>
        <w:rPr>
          <w:noProof/>
        </w:rPr>
      </w:pPr>
      <w:r w:rsidRPr="00055C7D">
        <w:rPr>
          <w:noProof/>
        </w:rPr>
        <w:t>Για το Ευρωπαϊκό Κοινοβούλιο</w:t>
      </w:r>
      <w:r w:rsidRPr="00055C7D">
        <w:rPr>
          <w:noProof/>
        </w:rPr>
        <w:tab/>
        <w:t>Για το Συμβούλιο</w:t>
      </w:r>
    </w:p>
    <w:p w14:paraId="500884DA" w14:textId="77777777" w:rsidR="00DB139D" w:rsidRPr="00055C7D" w:rsidRDefault="00DB139D" w:rsidP="00DB139D">
      <w:pPr>
        <w:pStyle w:val="Personnequisigne"/>
        <w:rPr>
          <w:noProof/>
        </w:rPr>
      </w:pPr>
      <w:r w:rsidRPr="00055C7D">
        <w:rPr>
          <w:noProof/>
        </w:rPr>
        <w:t>Η Πρόεδρος</w:t>
      </w:r>
      <w:r w:rsidRPr="00055C7D">
        <w:rPr>
          <w:noProof/>
        </w:rPr>
        <w:tab/>
        <w:t>Ο Πρόεδρος</w:t>
      </w:r>
    </w:p>
    <w:sectPr w:rsidR="00DB139D" w:rsidRPr="00055C7D" w:rsidSect="0022239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BA60" w14:textId="77777777" w:rsidR="00BC26F1" w:rsidRDefault="00BC26F1" w:rsidP="00DB139D">
      <w:pPr>
        <w:spacing w:before="0" w:after="0"/>
      </w:pPr>
      <w:r>
        <w:separator/>
      </w:r>
    </w:p>
  </w:endnote>
  <w:endnote w:type="continuationSeparator" w:id="0">
    <w:p w14:paraId="229A6D90" w14:textId="77777777" w:rsidR="00BC26F1" w:rsidRDefault="00BC26F1" w:rsidP="00DB139D">
      <w:pPr>
        <w:spacing w:before="0" w:after="0"/>
      </w:pPr>
      <w:r>
        <w:continuationSeparator/>
      </w:r>
    </w:p>
  </w:endnote>
  <w:endnote w:type="continuationNotice" w:id="1">
    <w:p w14:paraId="79CB1E98" w14:textId="77777777" w:rsidR="00B12290" w:rsidRDefault="00B122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9FAD" w14:textId="4FDB95F3" w:rsidR="00825B19" w:rsidRPr="00222396" w:rsidRDefault="00222396" w:rsidP="00222396">
    <w:pPr>
      <w:pStyle w:val="Footer"/>
      <w:rPr>
        <w:rFonts w:ascii="Arial" w:hAnsi="Arial" w:cs="Arial"/>
        <w:b/>
        <w:sz w:val="48"/>
      </w:rPr>
    </w:pPr>
    <w:r w:rsidRPr="00222396">
      <w:rPr>
        <w:rFonts w:ascii="Arial" w:hAnsi="Arial" w:cs="Arial"/>
        <w:b/>
        <w:sz w:val="48"/>
      </w:rPr>
      <w:t>EL</w:t>
    </w:r>
    <w:r w:rsidRPr="00222396">
      <w:rPr>
        <w:rFonts w:ascii="Arial" w:hAnsi="Arial" w:cs="Arial"/>
        <w:b/>
        <w:sz w:val="48"/>
      </w:rPr>
      <w:tab/>
    </w:r>
    <w:r w:rsidRPr="00222396">
      <w:rPr>
        <w:rFonts w:ascii="Arial" w:hAnsi="Arial" w:cs="Arial"/>
        <w:b/>
        <w:sz w:val="48"/>
      </w:rPr>
      <w:tab/>
    </w:r>
    <w:r w:rsidRPr="00222396">
      <w:tab/>
    </w:r>
    <w:r w:rsidRPr="00222396">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A589" w14:textId="01E86472" w:rsidR="00222396" w:rsidRPr="00222396" w:rsidRDefault="00222396" w:rsidP="00222396">
    <w:pPr>
      <w:pStyle w:val="Footer"/>
      <w:rPr>
        <w:rFonts w:ascii="Arial" w:hAnsi="Arial" w:cs="Arial"/>
        <w:b/>
        <w:sz w:val="48"/>
      </w:rPr>
    </w:pPr>
    <w:r w:rsidRPr="00222396">
      <w:rPr>
        <w:rFonts w:ascii="Arial" w:hAnsi="Arial" w:cs="Arial"/>
        <w:b/>
        <w:sz w:val="48"/>
      </w:rPr>
      <w:t>EL</w:t>
    </w:r>
    <w:r w:rsidRPr="00222396">
      <w:rPr>
        <w:rFonts w:ascii="Arial" w:hAnsi="Arial" w:cs="Arial"/>
        <w:b/>
        <w:sz w:val="48"/>
      </w:rPr>
      <w:tab/>
    </w:r>
    <w:r>
      <w:fldChar w:fldCharType="begin"/>
    </w:r>
    <w:r>
      <w:instrText xml:space="preserve"> PAGE  \* MERGEFORMAT </w:instrText>
    </w:r>
    <w:r>
      <w:fldChar w:fldCharType="separate"/>
    </w:r>
    <w:r w:rsidR="008537B2">
      <w:rPr>
        <w:noProof/>
      </w:rPr>
      <w:t>7</w:t>
    </w:r>
    <w:r>
      <w:fldChar w:fldCharType="end"/>
    </w:r>
    <w:r>
      <w:tab/>
    </w:r>
    <w:r w:rsidRPr="00222396">
      <w:tab/>
    </w:r>
    <w:r w:rsidRPr="00222396">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CBD0" w14:textId="77777777" w:rsidR="00222396" w:rsidRPr="00222396" w:rsidRDefault="00222396" w:rsidP="0022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1731" w14:textId="77777777" w:rsidR="00BC26F1" w:rsidRDefault="00BC26F1" w:rsidP="00DB139D">
      <w:pPr>
        <w:spacing w:before="0" w:after="0"/>
      </w:pPr>
      <w:r>
        <w:separator/>
      </w:r>
    </w:p>
  </w:footnote>
  <w:footnote w:type="continuationSeparator" w:id="0">
    <w:p w14:paraId="30DE6BBA" w14:textId="77777777" w:rsidR="00BC26F1" w:rsidRDefault="00BC26F1" w:rsidP="00DB139D">
      <w:pPr>
        <w:spacing w:before="0" w:after="0"/>
      </w:pPr>
      <w:r>
        <w:continuationSeparator/>
      </w:r>
    </w:p>
  </w:footnote>
  <w:footnote w:type="continuationNotice" w:id="1">
    <w:p w14:paraId="7FC44852" w14:textId="77777777" w:rsidR="00B12290" w:rsidRDefault="00B12290">
      <w:pPr>
        <w:spacing w:before="0" w:after="0"/>
      </w:pPr>
    </w:p>
  </w:footnote>
  <w:footnote w:id="2">
    <w:p w14:paraId="6827D34C" w14:textId="028AA3CA" w:rsidR="008503A4" w:rsidRDefault="008503A4" w:rsidP="008503A4">
      <w:pPr>
        <w:pStyle w:val="FootnoteText"/>
      </w:pPr>
      <w:r w:rsidRPr="00494164">
        <w:rPr>
          <w:rStyle w:val="FootnoteReference"/>
        </w:rPr>
        <w:footnoteRef/>
      </w:r>
      <w:r w:rsidR="00494164">
        <w:tab/>
      </w:r>
      <w:r>
        <w:t>Κανονισμός (ΕΕ) αριθ. 1025/2012 του Ευρωπαϊκού Κοινοβουλίου και του Συμβουλίου, της 25ης Οκτωβρίου 2012, σχετικά με την ευρωπαϊκή τυποποίηση, την τροποποίηση των οδηγιών του Συμβουλίου 89/686/ΕΟΚ και 93/15/ΕΟΚ και των οδηγιών του Ευρωπαϊκού Κοινοβουλίου και του Συμβουλίου 94/9/ΕΚ, 94/25/ΕΚ, 95/16/ΕΚ, 97/23/ΕΚ, 98/34/ΕΚ, 2004/22/ΕΚ, 2007/23/ΕΚ, 2009/23/ΕΚ και 2009/105/ΕΚ και την κατάργηση της απόφασης 87/95/ΕΟΚ του Συμβουλίου και της απόφασης αριθ. 1673/2006/ΕΚ του Ευρωπαϊκού Κοινοβουλίου και του Συμβουλίου (ΕΕ L 316 της 14.11.2012, σ. 12).</w:t>
      </w:r>
    </w:p>
  </w:footnote>
  <w:footnote w:id="3">
    <w:p w14:paraId="5AE2002C" w14:textId="44AF4DAA" w:rsidR="008503A4" w:rsidRDefault="008503A4" w:rsidP="008503A4">
      <w:pPr>
        <w:pStyle w:val="FootnoteText"/>
      </w:pPr>
      <w:r>
        <w:rPr>
          <w:rStyle w:val="FootnoteReference"/>
        </w:rPr>
        <w:footnoteRef/>
      </w:r>
      <w:r>
        <w:tab/>
        <w:t>https://eur-lex.europa.eu/legal-content/EN/TXT/?uri=COM:2021:350:FIN</w:t>
      </w:r>
    </w:p>
  </w:footnote>
  <w:footnote w:id="4">
    <w:p w14:paraId="2B2D719A" w14:textId="72D612A9" w:rsidR="00A73103" w:rsidRDefault="00A73103" w:rsidP="00A73103">
      <w:pPr>
        <w:pStyle w:val="FootnoteText"/>
      </w:pPr>
      <w:r>
        <w:rPr>
          <w:rStyle w:val="FootnoteReference"/>
        </w:rPr>
        <w:footnoteRef/>
      </w:r>
      <w:r>
        <w:tab/>
        <w:t>https://eur-lex.europa.eu/legal-content/el/TXT/?uri=CELEX:52020DC0067</w:t>
      </w:r>
    </w:p>
  </w:footnote>
  <w:footnote w:id="5">
    <w:p w14:paraId="096BDDB7" w14:textId="487B8DE3" w:rsidR="00A73103" w:rsidRDefault="00A73103" w:rsidP="00A73103">
      <w:pPr>
        <w:pStyle w:val="FootnoteText"/>
      </w:pPr>
      <w:r>
        <w:rPr>
          <w:rStyle w:val="FootnoteReference"/>
        </w:rPr>
        <w:footnoteRef/>
      </w:r>
      <w:r>
        <w:tab/>
        <w:t>https://eur-lex.europa.eu/legal-content/EL/TXT/?uri=JOIN%3A2021%3A30%3AFIN</w:t>
      </w:r>
    </w:p>
  </w:footnote>
  <w:footnote w:id="6">
    <w:p w14:paraId="0A2574E0" w14:textId="4836D46B" w:rsidR="00A73103" w:rsidRDefault="00A73103" w:rsidP="00A73103">
      <w:pPr>
        <w:pStyle w:val="FootnoteText"/>
      </w:pPr>
      <w:r>
        <w:rPr>
          <w:rStyle w:val="FootnoteReference"/>
        </w:rPr>
        <w:footnoteRef/>
      </w:r>
      <w:r>
        <w:tab/>
        <w:t>https://eur-lex.europa.eu/legal-content/EL/TXT/?uri=CELEX%3A52020XG0616%2801%29</w:t>
      </w:r>
    </w:p>
  </w:footnote>
  <w:footnote w:id="7">
    <w:p w14:paraId="5A015C1D" w14:textId="1BBA3EB2" w:rsidR="008503A4" w:rsidRDefault="008503A4" w:rsidP="008503A4">
      <w:pPr>
        <w:pStyle w:val="FootnoteText"/>
      </w:pPr>
      <w:r w:rsidRPr="00494164">
        <w:rPr>
          <w:rStyle w:val="FootnoteReference"/>
        </w:rPr>
        <w:footnoteRef/>
      </w:r>
      <w:r w:rsidR="00494164">
        <w:tab/>
      </w:r>
      <w:r>
        <w:t>https://ec.europa.eu/info/law/better-regulation/have-your-say/initiatives/13099-Standardisation-strategy_el</w:t>
      </w:r>
    </w:p>
  </w:footnote>
  <w:footnote w:id="8">
    <w:p w14:paraId="01379ADB" w14:textId="77777777" w:rsidR="00825B19" w:rsidRDefault="00825B19" w:rsidP="00825B19">
      <w:pPr>
        <w:pStyle w:val="FootnoteText"/>
      </w:pPr>
      <w:r>
        <w:rPr>
          <w:rStyle w:val="FootnoteReference"/>
        </w:rPr>
        <w:footnoteRef/>
      </w:r>
      <w:r>
        <w:tab/>
        <w:t>ΕΕ C … της …, σ. ….</w:t>
      </w:r>
    </w:p>
  </w:footnote>
  <w:footnote w:id="9">
    <w:p w14:paraId="4D3C80A0" w14:textId="77777777" w:rsidR="00825B19" w:rsidRDefault="00825B19" w:rsidP="001C6095">
      <w:pPr>
        <w:pStyle w:val="FootnoteText"/>
      </w:pPr>
      <w:r>
        <w:rPr>
          <w:rStyle w:val="FootnoteReference"/>
        </w:rPr>
        <w:footnoteRef/>
      </w:r>
      <w:r>
        <w:tab/>
        <w:t>Κανονισμός (ΕΕ) αριθ. 1025/2012 του Ευρωπαϊκού Κοινοβουλίου και του Συμβουλίου, της 25ης Οκτωβρίου 2012, σχετικά με την ευρωπαϊκή τυποποίηση, την τροποποίηση των οδηγιών του Συμβουλίου 89/686/ΕΟΚ και 93/15/ΕΟΚ και των οδηγιών του Ευρωπαϊκού Κοινοβουλίου και του Συμβουλίου 94/9/ΕΚ, 94/25/ΕΚ, 95/16/ΕΚ, 97/23/ΕΚ, 98/34/ΕΚ, 2004/22/ΕΚ, 2007/23/ΕΚ, 2009/23/ΕΚ και 2009/105/ΕΚ και την κατάργηση της απόφασης 87/95/ΕΟΚ του Συμβουλίου και της απόφασης αριθ. 1673/2006/ΕΚ του Ευρωπαϊκού Κοινοβουλίου και του Συμβουλίου (ΕΕ L 316 της 14.11.2012, σ.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001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8447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2824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1DA73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00B3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88B2A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E6D9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142D2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20"/>
  </w:num>
  <w:num w:numId="25">
    <w:abstractNumId w:val="20"/>
  </w:num>
  <w:num w:numId="26">
    <w:abstractNumId w:val="20"/>
  </w:num>
  <w:num w:numId="27">
    <w:abstractNumId w:val="14"/>
  </w:num>
  <w:num w:numId="28">
    <w:abstractNumId w:val="9"/>
  </w:num>
  <w:num w:numId="29">
    <w:abstractNumId w:val="9"/>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0 09:48: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F8E856D7-80D4-43EE-AB03-F098013BABEC"/>
    <w:docVar w:name="LW_COVERPAGE_TYPE" w:val="1"/>
    <w:docVar w:name="LW_CROSSREFERENCE" w:val="&lt;UNUSED&gt;"/>
    <w:docVar w:name="LW_DocType" w:val="COM"/>
    <w:docVar w:name="LW_EMISSION" w:val="2.2.2022"/>
    <w:docVar w:name="LW_EMISSION_ISODATE" w:val="2022-02-02"/>
    <w:docVar w:name="LW_EMISSION_LOCATION" w:val="BRX"/>
    <w:docVar w:name="LW_EMISSION_PREFIX" w:val="\u914?\u961?\u965?\u958?\u941?\u955?\u955?\u949?\u962?,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Κείμενο που παρουσιάζει ενδιαφέρον για τον ΕΟΧ)"/>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021"/>
    <w:docVar w:name="LW_REF.II.NEW.CP_YEAR" w:val="2022"/>
    <w:docVar w:name="LW_REF.INST.NEW" w:val="COM"/>
    <w:docVar w:name="LW_REF.INST.NEW_ADOPTED" w:val="final"/>
    <w:docVar w:name="LW_REF.INST.NEW_TEXT" w:val="(2022)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για την τροποποίηση του κανονισμού (ΕΕ) αριθ. 1025/2012 όσον αφορά τις αποφάσεις των ευρωπαϊκών οργανισμών τυποποίησης σχετικά με τα ευρωπαϊκά πρότυπα και τα παραδοτέα ευρωπαϊκής τυποποίησης"/>
    <w:docVar w:name="LW_TYPE.DOC.CP" w:val="ΚΑΝΟΝΙΣΜΟΣ ΤΟΥ ΕΥΡΩΠΑΪΚΟΥ ΚΟΙΝΟΒΟΥΛΙΟΥ ΚΑΙ ΤΟΥ ΣΥΜΒΟΥΛΙΟΥ"/>
    <w:docVar w:name="LwApiVersions" w:val="LW4CoDe 1.23.2.0; LW 8.0, Build 20211117"/>
  </w:docVars>
  <w:rsids>
    <w:rsidRoot w:val="00DB139D"/>
    <w:rsid w:val="00001474"/>
    <w:rsid w:val="00003C6A"/>
    <w:rsid w:val="0000669E"/>
    <w:rsid w:val="000170F1"/>
    <w:rsid w:val="00034A7E"/>
    <w:rsid w:val="0003702E"/>
    <w:rsid w:val="0005003A"/>
    <w:rsid w:val="00055C7D"/>
    <w:rsid w:val="000572A9"/>
    <w:rsid w:val="00065A6B"/>
    <w:rsid w:val="00090DBE"/>
    <w:rsid w:val="00091B05"/>
    <w:rsid w:val="000A0220"/>
    <w:rsid w:val="000A2035"/>
    <w:rsid w:val="000A49DB"/>
    <w:rsid w:val="000A516B"/>
    <w:rsid w:val="000A7517"/>
    <w:rsid w:val="000B2D59"/>
    <w:rsid w:val="000B5AD5"/>
    <w:rsid w:val="000B5F45"/>
    <w:rsid w:val="000C0DC7"/>
    <w:rsid w:val="000C2F08"/>
    <w:rsid w:val="000C4EBC"/>
    <w:rsid w:val="000E198E"/>
    <w:rsid w:val="000E32A6"/>
    <w:rsid w:val="000E40A8"/>
    <w:rsid w:val="000F2582"/>
    <w:rsid w:val="000F63C9"/>
    <w:rsid w:val="001008CD"/>
    <w:rsid w:val="00100D1B"/>
    <w:rsid w:val="00102C6D"/>
    <w:rsid w:val="00103923"/>
    <w:rsid w:val="001125AB"/>
    <w:rsid w:val="00117A36"/>
    <w:rsid w:val="00140F93"/>
    <w:rsid w:val="001534E5"/>
    <w:rsid w:val="0016022A"/>
    <w:rsid w:val="0016530A"/>
    <w:rsid w:val="00190AF9"/>
    <w:rsid w:val="001B498B"/>
    <w:rsid w:val="001C2816"/>
    <w:rsid w:val="001C5434"/>
    <w:rsid w:val="001C5834"/>
    <w:rsid w:val="001C6095"/>
    <w:rsid w:val="001E7A85"/>
    <w:rsid w:val="001F0B26"/>
    <w:rsid w:val="00210B10"/>
    <w:rsid w:val="00222396"/>
    <w:rsid w:val="00224013"/>
    <w:rsid w:val="002326A6"/>
    <w:rsid w:val="00232E98"/>
    <w:rsid w:val="00233AE4"/>
    <w:rsid w:val="002409DD"/>
    <w:rsid w:val="00241283"/>
    <w:rsid w:val="00242075"/>
    <w:rsid w:val="00256F47"/>
    <w:rsid w:val="0027515B"/>
    <w:rsid w:val="00277E9D"/>
    <w:rsid w:val="00296B8D"/>
    <w:rsid w:val="002A350D"/>
    <w:rsid w:val="002B1BD2"/>
    <w:rsid w:val="002C3E81"/>
    <w:rsid w:val="002C530A"/>
    <w:rsid w:val="002E69BD"/>
    <w:rsid w:val="002F2029"/>
    <w:rsid w:val="003106B5"/>
    <w:rsid w:val="00311649"/>
    <w:rsid w:val="0031625C"/>
    <w:rsid w:val="003235A7"/>
    <w:rsid w:val="00323E57"/>
    <w:rsid w:val="003257DE"/>
    <w:rsid w:val="00351880"/>
    <w:rsid w:val="00363011"/>
    <w:rsid w:val="00363D04"/>
    <w:rsid w:val="003659F0"/>
    <w:rsid w:val="003669D2"/>
    <w:rsid w:val="00371166"/>
    <w:rsid w:val="0037269B"/>
    <w:rsid w:val="003738F0"/>
    <w:rsid w:val="00383D44"/>
    <w:rsid w:val="0038446D"/>
    <w:rsid w:val="00396EAF"/>
    <w:rsid w:val="003A185C"/>
    <w:rsid w:val="003B1197"/>
    <w:rsid w:val="003B68A9"/>
    <w:rsid w:val="003C361A"/>
    <w:rsid w:val="003D6127"/>
    <w:rsid w:val="003E54F4"/>
    <w:rsid w:val="003F007A"/>
    <w:rsid w:val="003F6BE1"/>
    <w:rsid w:val="003F7899"/>
    <w:rsid w:val="004020D8"/>
    <w:rsid w:val="004057B6"/>
    <w:rsid w:val="00411B5C"/>
    <w:rsid w:val="0041333B"/>
    <w:rsid w:val="004139D1"/>
    <w:rsid w:val="00414D58"/>
    <w:rsid w:val="00416B70"/>
    <w:rsid w:val="004215B3"/>
    <w:rsid w:val="00433DF1"/>
    <w:rsid w:val="00435BD8"/>
    <w:rsid w:val="00442C16"/>
    <w:rsid w:val="004471D1"/>
    <w:rsid w:val="0045168A"/>
    <w:rsid w:val="00456F54"/>
    <w:rsid w:val="00470A6F"/>
    <w:rsid w:val="00474EF0"/>
    <w:rsid w:val="00477B0E"/>
    <w:rsid w:val="00494164"/>
    <w:rsid w:val="004976A1"/>
    <w:rsid w:val="004A3113"/>
    <w:rsid w:val="004A5BF0"/>
    <w:rsid w:val="004B6D4E"/>
    <w:rsid w:val="004D2CD9"/>
    <w:rsid w:val="004D3A65"/>
    <w:rsid w:val="004F02AE"/>
    <w:rsid w:val="005023CC"/>
    <w:rsid w:val="0050247D"/>
    <w:rsid w:val="00510128"/>
    <w:rsid w:val="00523548"/>
    <w:rsid w:val="00572E21"/>
    <w:rsid w:val="00574C30"/>
    <w:rsid w:val="005943A7"/>
    <w:rsid w:val="005A0BCD"/>
    <w:rsid w:val="005B6004"/>
    <w:rsid w:val="005D6DB1"/>
    <w:rsid w:val="005E27FC"/>
    <w:rsid w:val="005E5C26"/>
    <w:rsid w:val="005F1F7A"/>
    <w:rsid w:val="00600F7D"/>
    <w:rsid w:val="00610600"/>
    <w:rsid w:val="006163C2"/>
    <w:rsid w:val="006179C6"/>
    <w:rsid w:val="00630AF3"/>
    <w:rsid w:val="0065437E"/>
    <w:rsid w:val="00666036"/>
    <w:rsid w:val="00666D79"/>
    <w:rsid w:val="00694935"/>
    <w:rsid w:val="006A30E9"/>
    <w:rsid w:val="006A6622"/>
    <w:rsid w:val="006A74EF"/>
    <w:rsid w:val="006F1853"/>
    <w:rsid w:val="006F38BF"/>
    <w:rsid w:val="006F53C7"/>
    <w:rsid w:val="006F56CC"/>
    <w:rsid w:val="0070128F"/>
    <w:rsid w:val="007117EE"/>
    <w:rsid w:val="00712F31"/>
    <w:rsid w:val="0072024D"/>
    <w:rsid w:val="00730FCF"/>
    <w:rsid w:val="007319C4"/>
    <w:rsid w:val="00734681"/>
    <w:rsid w:val="00734CED"/>
    <w:rsid w:val="00740749"/>
    <w:rsid w:val="007716EB"/>
    <w:rsid w:val="007903CE"/>
    <w:rsid w:val="00793420"/>
    <w:rsid w:val="007A2FC6"/>
    <w:rsid w:val="007B4AFC"/>
    <w:rsid w:val="007B67CF"/>
    <w:rsid w:val="007C06F6"/>
    <w:rsid w:val="007C7658"/>
    <w:rsid w:val="007D1599"/>
    <w:rsid w:val="007D15E2"/>
    <w:rsid w:val="007D41EC"/>
    <w:rsid w:val="007D50EF"/>
    <w:rsid w:val="007F6F39"/>
    <w:rsid w:val="007F71DE"/>
    <w:rsid w:val="0080618C"/>
    <w:rsid w:val="008113CE"/>
    <w:rsid w:val="0081749B"/>
    <w:rsid w:val="00817786"/>
    <w:rsid w:val="00825B19"/>
    <w:rsid w:val="00834E7C"/>
    <w:rsid w:val="0083638F"/>
    <w:rsid w:val="008503A4"/>
    <w:rsid w:val="008537B2"/>
    <w:rsid w:val="00853C65"/>
    <w:rsid w:val="00866232"/>
    <w:rsid w:val="00876909"/>
    <w:rsid w:val="00892D63"/>
    <w:rsid w:val="00896BA3"/>
    <w:rsid w:val="008A65C9"/>
    <w:rsid w:val="008C1215"/>
    <w:rsid w:val="008C4125"/>
    <w:rsid w:val="008D1794"/>
    <w:rsid w:val="008E14E8"/>
    <w:rsid w:val="008E3945"/>
    <w:rsid w:val="008F41C3"/>
    <w:rsid w:val="008F66D1"/>
    <w:rsid w:val="00904BA0"/>
    <w:rsid w:val="00920255"/>
    <w:rsid w:val="00920981"/>
    <w:rsid w:val="00923035"/>
    <w:rsid w:val="00927FBA"/>
    <w:rsid w:val="00930A22"/>
    <w:rsid w:val="00942964"/>
    <w:rsid w:val="00945F65"/>
    <w:rsid w:val="00947BD1"/>
    <w:rsid w:val="00964046"/>
    <w:rsid w:val="00970E3E"/>
    <w:rsid w:val="00986B33"/>
    <w:rsid w:val="00987AD5"/>
    <w:rsid w:val="009B1499"/>
    <w:rsid w:val="009B45EC"/>
    <w:rsid w:val="009B7138"/>
    <w:rsid w:val="009B731E"/>
    <w:rsid w:val="009D3145"/>
    <w:rsid w:val="009E2996"/>
    <w:rsid w:val="009F152B"/>
    <w:rsid w:val="009F38C6"/>
    <w:rsid w:val="00A014D7"/>
    <w:rsid w:val="00A1491E"/>
    <w:rsid w:val="00A448FE"/>
    <w:rsid w:val="00A675B2"/>
    <w:rsid w:val="00A73103"/>
    <w:rsid w:val="00AB09A4"/>
    <w:rsid w:val="00AC18B6"/>
    <w:rsid w:val="00AC5F91"/>
    <w:rsid w:val="00AD4F9F"/>
    <w:rsid w:val="00AE3170"/>
    <w:rsid w:val="00AF2022"/>
    <w:rsid w:val="00AF276A"/>
    <w:rsid w:val="00AF5499"/>
    <w:rsid w:val="00AF7DDF"/>
    <w:rsid w:val="00B0185D"/>
    <w:rsid w:val="00B0551C"/>
    <w:rsid w:val="00B065B5"/>
    <w:rsid w:val="00B10495"/>
    <w:rsid w:val="00B12290"/>
    <w:rsid w:val="00B13598"/>
    <w:rsid w:val="00B16BE1"/>
    <w:rsid w:val="00B17DBA"/>
    <w:rsid w:val="00B46916"/>
    <w:rsid w:val="00B5447E"/>
    <w:rsid w:val="00B80E70"/>
    <w:rsid w:val="00BA1A25"/>
    <w:rsid w:val="00BA2746"/>
    <w:rsid w:val="00BC0E29"/>
    <w:rsid w:val="00BC26F1"/>
    <w:rsid w:val="00BC6864"/>
    <w:rsid w:val="00BC755D"/>
    <w:rsid w:val="00BD62CA"/>
    <w:rsid w:val="00BD6746"/>
    <w:rsid w:val="00BE0FD0"/>
    <w:rsid w:val="00BE246D"/>
    <w:rsid w:val="00BE73C8"/>
    <w:rsid w:val="00BF17AA"/>
    <w:rsid w:val="00BF1C19"/>
    <w:rsid w:val="00BF1DE8"/>
    <w:rsid w:val="00BF31D3"/>
    <w:rsid w:val="00BF7648"/>
    <w:rsid w:val="00C051C1"/>
    <w:rsid w:val="00C075D3"/>
    <w:rsid w:val="00C15479"/>
    <w:rsid w:val="00C203BA"/>
    <w:rsid w:val="00C24556"/>
    <w:rsid w:val="00C3184A"/>
    <w:rsid w:val="00C55758"/>
    <w:rsid w:val="00C57686"/>
    <w:rsid w:val="00C61A34"/>
    <w:rsid w:val="00C7142E"/>
    <w:rsid w:val="00C73050"/>
    <w:rsid w:val="00C76DB7"/>
    <w:rsid w:val="00C807D4"/>
    <w:rsid w:val="00C8167A"/>
    <w:rsid w:val="00C8482F"/>
    <w:rsid w:val="00CA1BEA"/>
    <w:rsid w:val="00CB7BDB"/>
    <w:rsid w:val="00CC1425"/>
    <w:rsid w:val="00CC5629"/>
    <w:rsid w:val="00CD4FB4"/>
    <w:rsid w:val="00CE05A1"/>
    <w:rsid w:val="00CE4BE8"/>
    <w:rsid w:val="00D10286"/>
    <w:rsid w:val="00D215E9"/>
    <w:rsid w:val="00D3051D"/>
    <w:rsid w:val="00D34432"/>
    <w:rsid w:val="00D3556A"/>
    <w:rsid w:val="00D44D4F"/>
    <w:rsid w:val="00D61B81"/>
    <w:rsid w:val="00D633E1"/>
    <w:rsid w:val="00D7004F"/>
    <w:rsid w:val="00D735AB"/>
    <w:rsid w:val="00D766FC"/>
    <w:rsid w:val="00D77950"/>
    <w:rsid w:val="00D83444"/>
    <w:rsid w:val="00D9461D"/>
    <w:rsid w:val="00D969D6"/>
    <w:rsid w:val="00DA0C8F"/>
    <w:rsid w:val="00DA29CF"/>
    <w:rsid w:val="00DB139D"/>
    <w:rsid w:val="00DB59D7"/>
    <w:rsid w:val="00DC2433"/>
    <w:rsid w:val="00DC47A2"/>
    <w:rsid w:val="00DD372C"/>
    <w:rsid w:val="00DD6CE2"/>
    <w:rsid w:val="00DD6DCC"/>
    <w:rsid w:val="00DF1EFC"/>
    <w:rsid w:val="00DF5A8F"/>
    <w:rsid w:val="00E16AF3"/>
    <w:rsid w:val="00E235DC"/>
    <w:rsid w:val="00E314AA"/>
    <w:rsid w:val="00E360F6"/>
    <w:rsid w:val="00E727E0"/>
    <w:rsid w:val="00E82F46"/>
    <w:rsid w:val="00E84BBC"/>
    <w:rsid w:val="00EA374D"/>
    <w:rsid w:val="00EA4ABB"/>
    <w:rsid w:val="00EC00F8"/>
    <w:rsid w:val="00EC0D20"/>
    <w:rsid w:val="00EC563B"/>
    <w:rsid w:val="00EE121A"/>
    <w:rsid w:val="00EE389E"/>
    <w:rsid w:val="00EE45A6"/>
    <w:rsid w:val="00F00B0D"/>
    <w:rsid w:val="00F00E84"/>
    <w:rsid w:val="00F029B6"/>
    <w:rsid w:val="00F03CB0"/>
    <w:rsid w:val="00F04E1E"/>
    <w:rsid w:val="00F12839"/>
    <w:rsid w:val="00F16547"/>
    <w:rsid w:val="00F20062"/>
    <w:rsid w:val="00F25B32"/>
    <w:rsid w:val="00F33A91"/>
    <w:rsid w:val="00F4411E"/>
    <w:rsid w:val="00F50B1D"/>
    <w:rsid w:val="00F65292"/>
    <w:rsid w:val="00F717B4"/>
    <w:rsid w:val="00F75921"/>
    <w:rsid w:val="00F801A0"/>
    <w:rsid w:val="00F87B34"/>
    <w:rsid w:val="00F935BF"/>
    <w:rsid w:val="00FA7535"/>
    <w:rsid w:val="00FB40A8"/>
    <w:rsid w:val="00FC36AB"/>
    <w:rsid w:val="00FD7072"/>
    <w:rsid w:val="00FD744C"/>
    <w:rsid w:val="00FE1C7A"/>
    <w:rsid w:val="00FF1CED"/>
    <w:rsid w:val="321FB8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459C81"/>
  <w15:docId w15:val="{E7378A80-DF19-41EA-8C54-A14826B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9B713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8D1794"/>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rsid w:val="008D1794"/>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rsid w:val="008D1794"/>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39D"/>
    <w:rPr>
      <w:color w:val="0000FF"/>
      <w:u w:val="single"/>
    </w:rPr>
  </w:style>
  <w:style w:type="paragraph" w:styleId="ListParagraph">
    <w:name w:val="List Paragraph"/>
    <w:basedOn w:val="Normal"/>
    <w:uiPriority w:val="99"/>
    <w:qFormat/>
    <w:rsid w:val="00834E7C"/>
    <w:pPr>
      <w:spacing w:before="0" w:after="240"/>
      <w:ind w:left="720"/>
      <w:contextualSpacing/>
    </w:pPr>
    <w:rPr>
      <w:rFonts w:eastAsia="Times New Roman"/>
      <w:szCs w:val="20"/>
      <w:lang w:eastAsia="fr-BE"/>
    </w:rPr>
  </w:style>
  <w:style w:type="paragraph" w:styleId="ListBullet">
    <w:name w:val="List Bullet"/>
    <w:basedOn w:val="Normal"/>
    <w:uiPriority w:val="99"/>
    <w:semiHidden/>
    <w:unhideWhenUsed/>
    <w:rsid w:val="001125AB"/>
    <w:pPr>
      <w:numPr>
        <w:numId w:val="1"/>
      </w:numPr>
      <w:contextualSpacing/>
    </w:pPr>
  </w:style>
  <w:style w:type="paragraph" w:styleId="ListBullet2">
    <w:name w:val="List Bullet 2"/>
    <w:basedOn w:val="Normal"/>
    <w:uiPriority w:val="99"/>
    <w:semiHidden/>
    <w:unhideWhenUsed/>
    <w:rsid w:val="001125AB"/>
    <w:pPr>
      <w:numPr>
        <w:numId w:val="2"/>
      </w:numPr>
      <w:contextualSpacing/>
    </w:pPr>
  </w:style>
  <w:style w:type="paragraph" w:styleId="ListBullet3">
    <w:name w:val="List Bullet 3"/>
    <w:basedOn w:val="Normal"/>
    <w:uiPriority w:val="99"/>
    <w:semiHidden/>
    <w:unhideWhenUsed/>
    <w:rsid w:val="001125AB"/>
    <w:pPr>
      <w:numPr>
        <w:numId w:val="3"/>
      </w:numPr>
      <w:contextualSpacing/>
    </w:pPr>
  </w:style>
  <w:style w:type="paragraph" w:styleId="ListBullet4">
    <w:name w:val="List Bullet 4"/>
    <w:basedOn w:val="Normal"/>
    <w:uiPriority w:val="99"/>
    <w:semiHidden/>
    <w:unhideWhenUsed/>
    <w:rsid w:val="001125AB"/>
    <w:pPr>
      <w:numPr>
        <w:numId w:val="4"/>
      </w:numPr>
      <w:contextualSpacing/>
    </w:pPr>
  </w:style>
  <w:style w:type="paragraph" w:styleId="BalloonText">
    <w:name w:val="Balloon Text"/>
    <w:basedOn w:val="Normal"/>
    <w:link w:val="BalloonTextChar"/>
    <w:uiPriority w:val="99"/>
    <w:semiHidden/>
    <w:unhideWhenUsed/>
    <w:rsid w:val="00D77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50"/>
    <w:rPr>
      <w:rFonts w:ascii="Segoe UI" w:hAnsi="Segoe UI" w:cs="Segoe UI"/>
      <w:sz w:val="18"/>
      <w:szCs w:val="18"/>
      <w:lang w:val="el-GR"/>
    </w:rPr>
  </w:style>
  <w:style w:type="paragraph" w:styleId="Revision">
    <w:name w:val="Revision"/>
    <w:hidden/>
    <w:uiPriority w:val="99"/>
    <w:semiHidden/>
    <w:rsid w:val="002C3E81"/>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F25B3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5B32"/>
    <w:pPr>
      <w:spacing w:after="0"/>
    </w:pPr>
  </w:style>
  <w:style w:type="paragraph" w:styleId="ListNumber">
    <w:name w:val="List Number"/>
    <w:basedOn w:val="Normal"/>
    <w:uiPriority w:val="99"/>
    <w:semiHidden/>
    <w:unhideWhenUsed/>
    <w:rsid w:val="00F25B32"/>
    <w:pPr>
      <w:numPr>
        <w:numId w:val="5"/>
      </w:numPr>
      <w:contextualSpacing/>
    </w:pPr>
  </w:style>
  <w:style w:type="paragraph" w:styleId="ListNumber2">
    <w:name w:val="List Number 2"/>
    <w:basedOn w:val="Normal"/>
    <w:uiPriority w:val="99"/>
    <w:semiHidden/>
    <w:unhideWhenUsed/>
    <w:rsid w:val="00F25B32"/>
    <w:pPr>
      <w:numPr>
        <w:numId w:val="6"/>
      </w:numPr>
      <w:contextualSpacing/>
    </w:pPr>
  </w:style>
  <w:style w:type="paragraph" w:styleId="ListNumber3">
    <w:name w:val="List Number 3"/>
    <w:basedOn w:val="Normal"/>
    <w:uiPriority w:val="99"/>
    <w:semiHidden/>
    <w:unhideWhenUsed/>
    <w:rsid w:val="00F25B32"/>
    <w:pPr>
      <w:numPr>
        <w:numId w:val="7"/>
      </w:numPr>
      <w:contextualSpacing/>
    </w:pPr>
  </w:style>
  <w:style w:type="paragraph" w:styleId="ListNumber4">
    <w:name w:val="List Number 4"/>
    <w:basedOn w:val="Normal"/>
    <w:uiPriority w:val="99"/>
    <w:semiHidden/>
    <w:unhideWhenUsed/>
    <w:rsid w:val="00F25B32"/>
    <w:pPr>
      <w:numPr>
        <w:numId w:val="8"/>
      </w:numPr>
      <w:contextualSpacing/>
    </w:pPr>
  </w:style>
  <w:style w:type="character" w:styleId="CommentReference">
    <w:name w:val="annotation reference"/>
    <w:basedOn w:val="DefaultParagraphFont"/>
    <w:uiPriority w:val="99"/>
    <w:semiHidden/>
    <w:unhideWhenUsed/>
    <w:rsid w:val="00AF276A"/>
    <w:rPr>
      <w:sz w:val="16"/>
      <w:szCs w:val="16"/>
    </w:rPr>
  </w:style>
  <w:style w:type="paragraph" w:styleId="CommentText">
    <w:name w:val="annotation text"/>
    <w:basedOn w:val="Normal"/>
    <w:link w:val="CommentTextChar"/>
    <w:uiPriority w:val="99"/>
    <w:semiHidden/>
    <w:unhideWhenUsed/>
    <w:rsid w:val="00AF276A"/>
    <w:rPr>
      <w:sz w:val="20"/>
      <w:szCs w:val="20"/>
    </w:rPr>
  </w:style>
  <w:style w:type="character" w:customStyle="1" w:styleId="CommentTextChar">
    <w:name w:val="Comment Text Char"/>
    <w:basedOn w:val="DefaultParagraphFont"/>
    <w:link w:val="CommentText"/>
    <w:uiPriority w:val="99"/>
    <w:semiHidden/>
    <w:rsid w:val="00AF276A"/>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AF276A"/>
    <w:rPr>
      <w:b/>
      <w:bCs/>
    </w:rPr>
  </w:style>
  <w:style w:type="character" w:customStyle="1" w:styleId="CommentSubjectChar">
    <w:name w:val="Comment Subject Char"/>
    <w:basedOn w:val="CommentTextChar"/>
    <w:link w:val="CommentSubject"/>
    <w:uiPriority w:val="99"/>
    <w:semiHidden/>
    <w:rsid w:val="00AF276A"/>
    <w:rPr>
      <w:rFonts w:ascii="Times New Roman" w:hAnsi="Times New Roman" w:cs="Times New Roman"/>
      <w:b/>
      <w:bCs/>
      <w:sz w:val="20"/>
      <w:szCs w:val="20"/>
      <w:lang w:val="el-GR"/>
    </w:rPr>
  </w:style>
  <w:style w:type="character" w:styleId="FollowedHyperlink">
    <w:name w:val="FollowedHyperlink"/>
    <w:basedOn w:val="DefaultParagraphFont"/>
    <w:uiPriority w:val="99"/>
    <w:semiHidden/>
    <w:unhideWhenUsed/>
    <w:rsid w:val="00AF276A"/>
    <w:rPr>
      <w:color w:val="800080" w:themeColor="followedHyperlink"/>
      <w:u w:val="single"/>
    </w:rPr>
  </w:style>
  <w:style w:type="table" w:styleId="TableGrid">
    <w:name w:val="Table Grid"/>
    <w:basedOn w:val="TableNormal"/>
    <w:uiPriority w:val="59"/>
    <w:rsid w:val="00D4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396"/>
    <w:pPr>
      <w:tabs>
        <w:tab w:val="center" w:pos="4535"/>
        <w:tab w:val="right" w:pos="9071"/>
      </w:tabs>
      <w:spacing w:before="0"/>
    </w:pPr>
  </w:style>
  <w:style w:type="character" w:customStyle="1" w:styleId="HeaderChar">
    <w:name w:val="Header Char"/>
    <w:basedOn w:val="DefaultParagraphFont"/>
    <w:link w:val="Header"/>
    <w:uiPriority w:val="99"/>
    <w:rsid w:val="00222396"/>
    <w:rPr>
      <w:rFonts w:ascii="Times New Roman" w:hAnsi="Times New Roman" w:cs="Times New Roman"/>
      <w:sz w:val="24"/>
      <w:lang w:val="el-GR"/>
    </w:rPr>
  </w:style>
  <w:style w:type="paragraph" w:styleId="Footer">
    <w:name w:val="footer"/>
    <w:basedOn w:val="Normal"/>
    <w:link w:val="FooterChar"/>
    <w:uiPriority w:val="99"/>
    <w:unhideWhenUsed/>
    <w:rsid w:val="0022239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22396"/>
    <w:rPr>
      <w:rFonts w:ascii="Times New Roman" w:hAnsi="Times New Roman" w:cs="Times New Roman"/>
      <w:sz w:val="24"/>
      <w:lang w:val="el-G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22396"/>
    <w:pPr>
      <w:tabs>
        <w:tab w:val="center" w:pos="7285"/>
        <w:tab w:val="right" w:pos="14003"/>
      </w:tabs>
      <w:spacing w:before="0"/>
    </w:pPr>
  </w:style>
  <w:style w:type="paragraph" w:customStyle="1" w:styleId="FooterLandscape">
    <w:name w:val="FooterLandscape"/>
    <w:basedOn w:val="Normal"/>
    <w:rsid w:val="0022239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2239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22396"/>
    <w:pPr>
      <w:spacing w:before="0"/>
      <w:jc w:val="right"/>
    </w:pPr>
    <w:rPr>
      <w:sz w:val="28"/>
    </w:rPr>
  </w:style>
  <w:style w:type="paragraph" w:customStyle="1" w:styleId="FooterSensitivity">
    <w:name w:val="Footer Sensitivity"/>
    <w:basedOn w:val="Normal"/>
    <w:rsid w:val="0022239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BC0E29"/>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8D1794"/>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sid w:val="008D1794"/>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sid w:val="008D1794"/>
    <w:rPr>
      <w:rFonts w:ascii="Times New Roman" w:eastAsiaTheme="majorEastAsia" w:hAnsi="Times New Roman" w:cs="Times New Roman"/>
      <w:iCs/>
      <w:sz w:val="24"/>
      <w:lang w:val="el-GR"/>
    </w:rPr>
  </w:style>
  <w:style w:type="paragraph" w:customStyle="1" w:styleId="ManualHeading5">
    <w:name w:val="Manual Heading 5"/>
    <w:basedOn w:val="Normal"/>
    <w:next w:val="Text2"/>
    <w:rsid w:val="008D1794"/>
    <w:pPr>
      <w:keepNext/>
      <w:tabs>
        <w:tab w:val="left" w:pos="1417"/>
      </w:tabs>
      <w:ind w:left="1417" w:hanging="1417"/>
      <w:outlineLvl w:val="4"/>
    </w:pPr>
  </w:style>
  <w:style w:type="paragraph" w:customStyle="1" w:styleId="ManualHeading6">
    <w:name w:val="Manual Heading 6"/>
    <w:basedOn w:val="Normal"/>
    <w:next w:val="Text2"/>
    <w:rsid w:val="008D1794"/>
    <w:pPr>
      <w:keepNext/>
      <w:tabs>
        <w:tab w:val="left" w:pos="1417"/>
      </w:tabs>
      <w:ind w:left="1417" w:hanging="1417"/>
      <w:outlineLvl w:val="5"/>
    </w:pPr>
  </w:style>
  <w:style w:type="paragraph" w:customStyle="1" w:styleId="ManualHeading7">
    <w:name w:val="Manual Heading 7"/>
    <w:basedOn w:val="Normal"/>
    <w:next w:val="Text2"/>
    <w:rsid w:val="008D1794"/>
    <w:pPr>
      <w:keepNext/>
      <w:tabs>
        <w:tab w:val="left" w:pos="1417"/>
      </w:tabs>
      <w:ind w:left="1417" w:hanging="1417"/>
      <w:outlineLvl w:val="6"/>
    </w:pPr>
  </w:style>
  <w:style w:type="paragraph" w:customStyle="1" w:styleId="Text5">
    <w:name w:val="Text 5"/>
    <w:basedOn w:val="Normal"/>
    <w:rsid w:val="008D1794"/>
    <w:pPr>
      <w:ind w:left="3118"/>
    </w:pPr>
  </w:style>
  <w:style w:type="paragraph" w:customStyle="1" w:styleId="Text6">
    <w:name w:val="Text 6"/>
    <w:basedOn w:val="Normal"/>
    <w:rsid w:val="008D1794"/>
    <w:pPr>
      <w:ind w:left="3685"/>
    </w:pPr>
  </w:style>
  <w:style w:type="paragraph" w:customStyle="1" w:styleId="Point5">
    <w:name w:val="Point 5"/>
    <w:basedOn w:val="Normal"/>
    <w:rsid w:val="008D1794"/>
    <w:pPr>
      <w:ind w:left="3685" w:hanging="567"/>
    </w:pPr>
  </w:style>
  <w:style w:type="paragraph" w:customStyle="1" w:styleId="Tiret5">
    <w:name w:val="Tiret 5"/>
    <w:basedOn w:val="Point5"/>
    <w:rsid w:val="008D1794"/>
    <w:pPr>
      <w:numPr>
        <w:numId w:val="27"/>
      </w:numPr>
    </w:pPr>
  </w:style>
  <w:style w:type="paragraph" w:customStyle="1" w:styleId="NumPar5">
    <w:name w:val="NumPar 5"/>
    <w:basedOn w:val="Normal"/>
    <w:next w:val="Text2"/>
    <w:rsid w:val="008D1794"/>
    <w:pPr>
      <w:numPr>
        <w:ilvl w:val="4"/>
        <w:numId w:val="30"/>
      </w:numPr>
    </w:pPr>
  </w:style>
  <w:style w:type="paragraph" w:customStyle="1" w:styleId="NumPar6">
    <w:name w:val="NumPar 6"/>
    <w:basedOn w:val="Normal"/>
    <w:next w:val="Text2"/>
    <w:rsid w:val="008D1794"/>
    <w:pPr>
      <w:numPr>
        <w:ilvl w:val="5"/>
        <w:numId w:val="30"/>
      </w:numPr>
    </w:pPr>
  </w:style>
  <w:style w:type="paragraph" w:customStyle="1" w:styleId="NumPar7">
    <w:name w:val="NumPar 7"/>
    <w:basedOn w:val="Normal"/>
    <w:next w:val="Text2"/>
    <w:rsid w:val="008D1794"/>
    <w:pPr>
      <w:numPr>
        <w:ilvl w:val="6"/>
        <w:numId w:val="30"/>
      </w:numPr>
    </w:pPr>
  </w:style>
  <w:style w:type="paragraph" w:customStyle="1" w:styleId="ManualNumPar5">
    <w:name w:val="Manual NumPar 5"/>
    <w:basedOn w:val="Normal"/>
    <w:next w:val="Text2"/>
    <w:rsid w:val="008D1794"/>
    <w:pPr>
      <w:ind w:left="1417" w:hanging="1417"/>
    </w:pPr>
  </w:style>
  <w:style w:type="paragraph" w:customStyle="1" w:styleId="ManualNumPar6">
    <w:name w:val="Manual NumPar 6"/>
    <w:basedOn w:val="Normal"/>
    <w:next w:val="Text2"/>
    <w:rsid w:val="008D1794"/>
    <w:pPr>
      <w:ind w:left="1417" w:hanging="1417"/>
    </w:pPr>
  </w:style>
  <w:style w:type="paragraph" w:customStyle="1" w:styleId="ManualNumPar7">
    <w:name w:val="Manual NumPar 7"/>
    <w:basedOn w:val="Normal"/>
    <w:next w:val="Text2"/>
    <w:rsid w:val="008D1794"/>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417">
      <w:bodyDiv w:val="1"/>
      <w:marLeft w:val="0"/>
      <w:marRight w:val="0"/>
      <w:marTop w:val="0"/>
      <w:marBottom w:val="0"/>
      <w:divBdr>
        <w:top w:val="none" w:sz="0" w:space="0" w:color="auto"/>
        <w:left w:val="none" w:sz="0" w:space="0" w:color="auto"/>
        <w:bottom w:val="none" w:sz="0" w:space="0" w:color="auto"/>
        <w:right w:val="none" w:sz="0" w:space="0" w:color="auto"/>
      </w:divBdr>
    </w:div>
    <w:div w:id="486672211">
      <w:bodyDiv w:val="1"/>
      <w:marLeft w:val="0"/>
      <w:marRight w:val="0"/>
      <w:marTop w:val="0"/>
      <w:marBottom w:val="0"/>
      <w:divBdr>
        <w:top w:val="none" w:sz="0" w:space="0" w:color="auto"/>
        <w:left w:val="none" w:sz="0" w:space="0" w:color="auto"/>
        <w:bottom w:val="none" w:sz="0" w:space="0" w:color="auto"/>
        <w:right w:val="none" w:sz="0" w:space="0" w:color="auto"/>
      </w:divBdr>
    </w:div>
    <w:div w:id="714306070">
      <w:bodyDiv w:val="1"/>
      <w:marLeft w:val="0"/>
      <w:marRight w:val="0"/>
      <w:marTop w:val="0"/>
      <w:marBottom w:val="0"/>
      <w:divBdr>
        <w:top w:val="none" w:sz="0" w:space="0" w:color="auto"/>
        <w:left w:val="none" w:sz="0" w:space="0" w:color="auto"/>
        <w:bottom w:val="none" w:sz="0" w:space="0" w:color="auto"/>
        <w:right w:val="none" w:sz="0" w:space="0" w:color="auto"/>
      </w:divBdr>
    </w:div>
    <w:div w:id="962274703">
      <w:bodyDiv w:val="1"/>
      <w:marLeft w:val="0"/>
      <w:marRight w:val="0"/>
      <w:marTop w:val="0"/>
      <w:marBottom w:val="0"/>
      <w:divBdr>
        <w:top w:val="none" w:sz="0" w:space="0" w:color="auto"/>
        <w:left w:val="none" w:sz="0" w:space="0" w:color="auto"/>
        <w:bottom w:val="none" w:sz="0" w:space="0" w:color="auto"/>
        <w:right w:val="none" w:sz="0" w:space="0" w:color="auto"/>
      </w:divBdr>
    </w:div>
    <w:div w:id="1118450632">
      <w:bodyDiv w:val="1"/>
      <w:marLeft w:val="0"/>
      <w:marRight w:val="0"/>
      <w:marTop w:val="0"/>
      <w:marBottom w:val="0"/>
      <w:divBdr>
        <w:top w:val="none" w:sz="0" w:space="0" w:color="auto"/>
        <w:left w:val="none" w:sz="0" w:space="0" w:color="auto"/>
        <w:bottom w:val="none" w:sz="0" w:space="0" w:color="auto"/>
        <w:right w:val="none" w:sz="0" w:space="0" w:color="auto"/>
      </w:divBdr>
    </w:div>
    <w:div w:id="1450123110">
      <w:bodyDiv w:val="1"/>
      <w:marLeft w:val="0"/>
      <w:marRight w:val="0"/>
      <w:marTop w:val="0"/>
      <w:marBottom w:val="0"/>
      <w:divBdr>
        <w:top w:val="none" w:sz="0" w:space="0" w:color="auto"/>
        <w:left w:val="none" w:sz="0" w:space="0" w:color="auto"/>
        <w:bottom w:val="none" w:sz="0" w:space="0" w:color="auto"/>
        <w:right w:val="none" w:sz="0" w:space="0" w:color="auto"/>
      </w:divBdr>
    </w:div>
    <w:div w:id="1557816139">
      <w:bodyDiv w:val="1"/>
      <w:marLeft w:val="0"/>
      <w:marRight w:val="0"/>
      <w:marTop w:val="0"/>
      <w:marBottom w:val="0"/>
      <w:divBdr>
        <w:top w:val="none" w:sz="0" w:space="0" w:color="auto"/>
        <w:left w:val="none" w:sz="0" w:space="0" w:color="auto"/>
        <w:bottom w:val="none" w:sz="0" w:space="0" w:color="auto"/>
        <w:right w:val="none" w:sz="0" w:space="0" w:color="auto"/>
      </w:divBdr>
    </w:div>
    <w:div w:id="1818036183">
      <w:bodyDiv w:val="1"/>
      <w:marLeft w:val="0"/>
      <w:marRight w:val="0"/>
      <w:marTop w:val="0"/>
      <w:marBottom w:val="0"/>
      <w:divBdr>
        <w:top w:val="none" w:sz="0" w:space="0" w:color="auto"/>
        <w:left w:val="none" w:sz="0" w:space="0" w:color="auto"/>
        <w:bottom w:val="none" w:sz="0" w:space="0" w:color="auto"/>
        <w:right w:val="none" w:sz="0" w:space="0" w:color="auto"/>
      </w:divBdr>
    </w:div>
    <w:div w:id="20904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dc8a0960-67d3-484a-bce9-86574ea0ba84">Not Started</EC_Collab_Status>
    <_Status xmlns="http://schemas.microsoft.com/sharepoint/v3/fields">Not Started</_Status>
    <EC_Collab_Reference xmlns="dc8a0960-67d3-484a-bce9-86574ea0ba84" xsi:nil="true"/>
    <EC_Collab_DocumentLanguage xmlns="dc8a0960-67d3-484a-bce9-86574ea0ba84">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FC18838DFC5594A8C4C39FB99B0A7E5" ma:contentTypeVersion="0" ma:contentTypeDescription="Create a new document in this library." ma:contentTypeScope="" ma:versionID="e1f2c132d1f8817ca6bc114585c1e621">
  <xsd:schema xmlns:xsd="http://www.w3.org/2001/XMLSchema" xmlns:xs="http://www.w3.org/2001/XMLSchema" xmlns:p="http://schemas.microsoft.com/office/2006/metadata/properties" xmlns:ns2="http://schemas.microsoft.com/sharepoint/v3/fields" xmlns:ns3="dc8a0960-67d3-484a-bce9-86574ea0ba84" targetNamespace="http://schemas.microsoft.com/office/2006/metadata/properties" ma:root="true" ma:fieldsID="dde22bff10c28eac2c2c36a2570375bf" ns2:_="" ns3:_="">
    <xsd:import namespace="http://schemas.microsoft.com/sharepoint/v3/fields"/>
    <xsd:import namespace="dc8a0960-67d3-484a-bce9-86574ea0ba8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8a0960-67d3-484a-bce9-86574ea0ba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92F9-0831-41A1-BB98-0D04476BB712}">
  <ds:schemaRefs>
    <ds:schemaRef ds:uri="http://schemas.microsoft.com/sharepoint/v3/contenttype/forms"/>
  </ds:schemaRefs>
</ds:datastoreItem>
</file>

<file path=customXml/itemProps2.xml><?xml version="1.0" encoding="utf-8"?>
<ds:datastoreItem xmlns:ds="http://schemas.openxmlformats.org/officeDocument/2006/customXml" ds:itemID="{DD8CADF8-212F-4173-B09F-81A731C59C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8a0960-67d3-484a-bce9-86574ea0ba84"/>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10FA0A5-30DB-4EDF-A320-812A18A7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8a0960-67d3-484a-bce9-86574ea0b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EA2D-5FD1-4DE1-8746-E8CC03FB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2262</Words>
  <Characters>13985</Characters>
  <Application>Microsoft Office Word</Application>
  <DocSecurity>0</DocSecurity>
  <Lines>249</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2022-02-04T07:51:00Z</dcterms:created>
  <dcterms:modified xsi:type="dcterms:W3CDTF">2022-02-10T08:48:00Z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0x010100258AA79CEB83498886A3A0868112325000AFC18838DFC5594A8C4C39FB99B0A7E5</vt:lpwstr>
  </property>
  <property fmtid="{D5CDD505-2E9C-101B-9397-08002B2CF9AE}" pid="11" name="DQCStatus">
    <vt:lpwstr>Green (DQC version 03)</vt:lpwstr>
  </property>
</Properties>
</file>