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A1DF" w14:textId="57164D8B" w:rsidR="004B3EAF" w:rsidRPr="00EC5CFB" w:rsidRDefault="00116713" w:rsidP="00116713">
      <w:pPr>
        <w:pStyle w:val="Pagedecouverture"/>
        <w:rPr>
          <w:noProof/>
        </w:rPr>
      </w:pPr>
      <w:r>
        <w:rPr>
          <w:noProof/>
        </w:rPr>
        <w:pict w14:anchorId="023C8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DC8B75-139A-4A3F-8D55-AC635942ADE1" style="width:455.25pt;height:383.25pt">
            <v:imagedata r:id="rId11" o:title=""/>
          </v:shape>
        </w:pict>
      </w:r>
    </w:p>
    <w:p w14:paraId="7B47C24C" w14:textId="77777777" w:rsidR="00424DFB" w:rsidRPr="00EC5CFB" w:rsidRDefault="00424DFB" w:rsidP="00424DFB">
      <w:pPr>
        <w:pStyle w:val="Pagedecouverture"/>
        <w:rPr>
          <w:noProof/>
        </w:rPr>
        <w:sectPr w:rsidR="00424DFB" w:rsidRPr="00EC5CFB" w:rsidSect="00116713">
          <w:footerReference w:type="default" r:id="rId12"/>
          <w:pgSz w:w="11907" w:h="16839"/>
          <w:pgMar w:top="1134" w:right="1417" w:bottom="1134" w:left="1417" w:header="709" w:footer="709" w:gutter="0"/>
          <w:pgNumType w:start="0"/>
          <w:cols w:space="720"/>
          <w:docGrid w:linePitch="360"/>
        </w:sectPr>
      </w:pPr>
    </w:p>
    <w:p w14:paraId="0AF5D918" w14:textId="77777777" w:rsidR="00C1332E" w:rsidRPr="00EC5CFB" w:rsidRDefault="00586D7D">
      <w:pPr>
        <w:pStyle w:val="Exposdesmotifstitre"/>
        <w:rPr>
          <w:noProof/>
        </w:rPr>
      </w:pPr>
      <w:bookmarkStart w:id="0" w:name="_GoBack"/>
      <w:bookmarkEnd w:id="0"/>
      <w:r w:rsidRPr="00EC5CFB">
        <w:rPr>
          <w:noProof/>
        </w:rPr>
        <w:lastRenderedPageBreak/>
        <w:t>SELETUSKIRI</w:t>
      </w:r>
    </w:p>
    <w:p w14:paraId="14962E63" w14:textId="77777777" w:rsidR="00C1332E" w:rsidRPr="00EC5CFB" w:rsidRDefault="00586D7D">
      <w:pPr>
        <w:pStyle w:val="ManualHeading1"/>
        <w:rPr>
          <w:noProof/>
        </w:rPr>
      </w:pPr>
      <w:r w:rsidRPr="00EC5CFB">
        <w:rPr>
          <w:noProof/>
        </w:rPr>
        <w:t>1.</w:t>
      </w:r>
      <w:r w:rsidRPr="00EC5CFB">
        <w:rPr>
          <w:noProof/>
        </w:rPr>
        <w:tab/>
        <w:t>ETTEPANEKU TAUST</w:t>
      </w:r>
    </w:p>
    <w:p w14:paraId="607E3613" w14:textId="77777777" w:rsidR="00C1332E" w:rsidRPr="00EC5CFB" w:rsidRDefault="00586D7D">
      <w:pPr>
        <w:pStyle w:val="ManualHeading2"/>
        <w:rPr>
          <w:rFonts w:eastAsia="Arial Unicode MS"/>
          <w:noProof/>
        </w:rPr>
      </w:pPr>
      <w:r w:rsidRPr="00EC5CFB">
        <w:rPr>
          <w:noProof/>
          <w:color w:val="000000"/>
          <w:u w:color="000000"/>
          <w:bdr w:val="nil"/>
        </w:rPr>
        <w:t>•</w:t>
      </w:r>
      <w:r w:rsidRPr="00EC5CFB">
        <w:rPr>
          <w:noProof/>
        </w:rPr>
        <w:tab/>
        <w:t>Ettepaneku põhjused ja eesmärgid</w:t>
      </w:r>
    </w:p>
    <w:p w14:paraId="64ED53E3" w14:textId="77777777" w:rsidR="00AB3B6A" w:rsidRPr="00EC5CFB" w:rsidRDefault="002F554A" w:rsidP="002F554A">
      <w:pPr>
        <w:pBdr>
          <w:top w:val="nil"/>
          <w:left w:val="nil"/>
          <w:bottom w:val="nil"/>
          <w:right w:val="nil"/>
          <w:between w:val="nil"/>
          <w:bar w:val="nil"/>
        </w:pBdr>
        <w:spacing w:before="0" w:after="240"/>
        <w:rPr>
          <w:noProof/>
        </w:rPr>
      </w:pPr>
      <w:r w:rsidRPr="00EC5CFB">
        <w:rPr>
          <w:noProof/>
        </w:rPr>
        <w:t xml:space="preserve">Venemaa agressioonisõda Ukraina vastu on tekitanud Euroopa Liidule mitmeid ootamatuid väljakutseid ajal, mil liit ja selle liikmesriigid on pärast COVID-19 pandeemiat olnud hõivatud majanduse ja ühiskonna taastamisega. </w:t>
      </w:r>
    </w:p>
    <w:p w14:paraId="7FB81543" w14:textId="3B3734B1" w:rsidR="002F554A" w:rsidRPr="00EC5CFB" w:rsidRDefault="002F554A" w:rsidP="006573D1">
      <w:pPr>
        <w:pBdr>
          <w:top w:val="nil"/>
          <w:left w:val="nil"/>
          <w:bottom w:val="nil"/>
          <w:right w:val="nil"/>
          <w:between w:val="nil"/>
          <w:bar w:val="nil"/>
        </w:pBdr>
        <w:spacing w:before="0" w:after="240"/>
        <w:rPr>
          <w:noProof/>
        </w:rPr>
      </w:pPr>
      <w:r w:rsidRPr="00EC5CFB">
        <w:rPr>
          <w:noProof/>
        </w:rPr>
        <w:t>Alates Venemaa provotseerimata sissetungist Ukrainasse 24. veebruaril on liit võtnud vastu üle 6,2 miljoni Ukraina kodaniku, kes põgenevad Venemaa agressiooni eest. EL on kiiresti reageerinud, toetades liikmesriike ja piirkondi inimeste saabumise haldamisel, võttes kasutusele kõik kättesaadavad rahalised vahendid. Kuna saabujate arv kasvab, on selge, et on vaja võtta täiendavaid meetmeid. Euroopa Ülemkogu erakorralisel kohtumisel 2022. aasta mais kutsuti komisjoni üles esitama mitmeaastase finantsraamistiku raames uusi algatusi jõupingutuste toetamiseks, et pakkuda kaitset miljonitele pagulastele, kes põgenevad sõja eest Ukrainas.</w:t>
      </w:r>
    </w:p>
    <w:p w14:paraId="54149776" w14:textId="77777777" w:rsidR="00304116" w:rsidRPr="00EC5CFB" w:rsidRDefault="002F554A" w:rsidP="002F554A">
      <w:pPr>
        <w:pBdr>
          <w:top w:val="nil"/>
          <w:left w:val="nil"/>
          <w:bottom w:val="nil"/>
          <w:right w:val="nil"/>
          <w:between w:val="nil"/>
          <w:bar w:val="nil"/>
        </w:pBdr>
        <w:spacing w:before="0" w:after="240"/>
        <w:rPr>
          <w:noProof/>
        </w:rPr>
      </w:pPr>
      <w:r w:rsidRPr="00EC5CFB">
        <w:rPr>
          <w:noProof/>
        </w:rPr>
        <w:t xml:space="preserve">Lisaks liikmesriikide toetamisele seoses põgenike sissevooluga on komisjon tähelepanelikult jälginud mõju, mida Venemaa provotseerimata sissetung Ukrainasse avaldab eelkõige ühtekuuluvuspoliitika rakendamisele. Eelkõige on täheldatud tagajärgi taristuprojektidele, seda nii seoses tooraine kättesaadavuse ja kulude kui ka tööjõu kättesaadavusega. Euroopa Parlament, nõukogu ja piirkonnad on kõik väljendanud muret seoses mõjuga, mida need probleemid võivad avaldada 2014.–2020. aasta programmide rakendamise lõpuleviimisele ja uute 2021.–2027. aasta programmide alustamisele. </w:t>
      </w:r>
    </w:p>
    <w:p w14:paraId="350367E7" w14:textId="722372E0" w:rsidR="005314BD" w:rsidRPr="00EC5CFB" w:rsidRDefault="005314BD" w:rsidP="005314BD">
      <w:pPr>
        <w:pBdr>
          <w:top w:val="nil"/>
          <w:left w:val="nil"/>
          <w:bottom w:val="nil"/>
          <w:right w:val="nil"/>
          <w:between w:val="nil"/>
          <w:bar w:val="nil"/>
        </w:pBdr>
        <w:spacing w:before="0" w:after="240"/>
        <w:rPr>
          <w:noProof/>
        </w:rPr>
      </w:pPr>
      <w:r w:rsidRPr="00EC5CFB">
        <w:rPr>
          <w:noProof/>
        </w:rPr>
        <w:t>Komisjon on alates 24. veebruarist juba esitanud Euroopas pagulaste toetamiseks mõeldud ühtekuuluvusmeetmete (CARE) raames mitu ettepanekut, et tagada 2014.–2020. aasta ühtekuuluvuspoliitika ja enim puudust kannatavate isikute jaoks loodud Euroopa abifondi programmide raames kättesaadavate rahaliste vahendite kiire kasutamine, et lahendada liikmesriikide ja eelkõige nende mitmete idapoolsete piirkondade ees seisvad probleemid, mis on seotud Venemaa agressiooni eest põgenevate inimestega.</w:t>
      </w:r>
    </w:p>
    <w:p w14:paraId="5EB5E12F" w14:textId="77777777" w:rsidR="000013B8" w:rsidRPr="00EC5CFB" w:rsidRDefault="00944661" w:rsidP="000013B8">
      <w:pPr>
        <w:pBdr>
          <w:top w:val="nil"/>
          <w:left w:val="nil"/>
          <w:bottom w:val="nil"/>
          <w:right w:val="nil"/>
          <w:between w:val="nil"/>
          <w:bar w:val="nil"/>
        </w:pBdr>
        <w:spacing w:before="0" w:after="240"/>
        <w:rPr>
          <w:noProof/>
        </w:rPr>
      </w:pPr>
      <w:r w:rsidRPr="00EC5CFB">
        <w:rPr>
          <w:noProof/>
        </w:rPr>
        <w:t>Need muudatused on taganud võimaluse kasutada olemasolevaid rahalisi vahendeid, et tulla toime Ukraina vastu suunatud Venemaa agressioonisõja otseste tagajärgedega, võimaldades samal ajal liikmesriikidel jätkata jõupingutusi, et taastada majandus COVID-19 pandeemiast tingitud kriisist rohelisel, digitaalsel ja vastupidaval viisil.</w:t>
      </w:r>
    </w:p>
    <w:p w14:paraId="028CA0DE" w14:textId="0B9FB8A9" w:rsidR="00944661" w:rsidRPr="00EC5CFB" w:rsidRDefault="00944661" w:rsidP="00944661">
      <w:pPr>
        <w:pBdr>
          <w:top w:val="nil"/>
          <w:left w:val="nil"/>
          <w:bottom w:val="nil"/>
          <w:right w:val="nil"/>
          <w:between w:val="nil"/>
          <w:bar w:val="nil"/>
        </w:pBdr>
        <w:spacing w:before="0" w:after="240"/>
        <w:rPr>
          <w:noProof/>
        </w:rPr>
      </w:pPr>
      <w:r w:rsidRPr="00EC5CFB">
        <w:rPr>
          <w:noProof/>
        </w:rPr>
        <w:t xml:space="preserve">Võimalus kasutada Euroopa Regionaalarengu Fondi (ERF) ja Euroopa Sotsiaalfondi (ESF) vahendeid Venemaa sõjalisest agressioonist tulenevaid rändeprobleeme lahendavate tegevuste toetamiseks vastavalt teist fondi käsitlevatele eeskirjadele võimaldab kasutada olemasolevaid vahendeid reaalsete vajaduste rahuldamiseks, ilma vajaduseta teha ülekanne. Peale selle muudetakse asjaomased tegevused rahastamiskõlblikuks alates sissetungi kuupäevast, et toetust oleks võimalik anda kõikide seonduvate vajaduste puhul. Lisaks on kehtestatud uus ühikuhind ning on lihtsustatud osalejate aruandluse korda, et vähendada nii toetusesaajate kui ka liikmesriikide asutuste halduskoormust rändeprobleemidega tegelemisel. Nende meetmete puhul laiendati võimalust kasutada kuni 100 % ELi kaasrahastamist ka 30. juunil 2022 lõppevale aruandeaastale, et aidata leevendada liikmesriikide rahanduse koormust, samuti andis liikmesriikidele kõige kiireloomulisemate vajaduste rahuldamiseks vajaliku likviidsuse REACT-EU vahenditest tehtavate eelmaksete märkimisväärne suurendamine. </w:t>
      </w:r>
    </w:p>
    <w:p w14:paraId="6804217D" w14:textId="3F81D5BF" w:rsidR="00944661" w:rsidRPr="00EC5CFB" w:rsidRDefault="00944661" w:rsidP="00944661">
      <w:pPr>
        <w:pBdr>
          <w:top w:val="nil"/>
          <w:left w:val="nil"/>
          <w:bottom w:val="nil"/>
          <w:right w:val="nil"/>
          <w:between w:val="nil"/>
          <w:bar w:val="nil"/>
        </w:pBdr>
        <w:spacing w:before="0" w:after="240"/>
        <w:rPr>
          <w:noProof/>
        </w:rPr>
      </w:pPr>
      <w:r w:rsidRPr="00EC5CFB">
        <w:rPr>
          <w:noProof/>
        </w:rPr>
        <w:t>Venemaa sõjalise agressiooni tagajärjed on muutunud ulatuslikumaks ja selle mõju on laienenud. Selle tulemusena seisavad liikmesriigid silmitsi Venemaa agressiooni eest põgenevate inimeste pideva märkimisväärse sissevooluga. Samal ajal kogevad mõned liikmesriigid teatavates sektorites tööjõupuudust ja sisendmaterjalide nappust. Selline olukord lisandub COVID-19 pandeemia tagajärgedele, eelkõige häiretele väärtusahelates, mis tekitab probleeme avaliku sektori eelarvetele, mille põhirõhk oli majanduse taastamisel, kuid tekitab ka ohu, et investeeringuid tuleb edasi lükata, eelkõige neid, mida tehakse taristusse.</w:t>
      </w:r>
    </w:p>
    <w:p w14:paraId="0185A523" w14:textId="5DE3621A" w:rsidR="00944661" w:rsidRPr="00EC5CFB" w:rsidRDefault="00012F1F" w:rsidP="00944661">
      <w:pPr>
        <w:pBdr>
          <w:top w:val="nil"/>
          <w:left w:val="nil"/>
          <w:bottom w:val="nil"/>
          <w:right w:val="nil"/>
          <w:between w:val="nil"/>
          <w:bar w:val="nil"/>
        </w:pBdr>
        <w:spacing w:before="0" w:after="240"/>
        <w:rPr>
          <w:noProof/>
        </w:rPr>
      </w:pPr>
      <w:r w:rsidRPr="00EC5CFB">
        <w:rPr>
          <w:noProof/>
        </w:rPr>
        <w:t xml:space="preserve">Kuigi juba vastu võetud meetmetel on olnud oluline roll liikmesriikide ja piirkondade toetamisel, et tegeleda sõja vahetute tagajärgedega, on selge, et muutuvas olukorras on vaja võtta täiendavaid meetmeid. Eelkõige aitab suurem paindlikkus optimeerida 2014.–2020. aasta järelejäänud vahendite kasutamist ning võimaldab hilinenud projektide ladusamat üleminekut 2014.–2020. aasta ja 2021.–2027. aasta programmide vahel. </w:t>
      </w:r>
    </w:p>
    <w:p w14:paraId="7F1CE955" w14:textId="77777777" w:rsidR="00944661" w:rsidRPr="00EC5CFB" w:rsidRDefault="00944661" w:rsidP="00944661">
      <w:pPr>
        <w:pBdr>
          <w:top w:val="nil"/>
          <w:left w:val="nil"/>
          <w:bottom w:val="nil"/>
          <w:right w:val="nil"/>
          <w:between w:val="nil"/>
          <w:bar w:val="nil"/>
        </w:pBdr>
        <w:spacing w:before="0" w:after="240"/>
        <w:rPr>
          <w:noProof/>
        </w:rPr>
      </w:pPr>
      <w:r w:rsidRPr="00EC5CFB">
        <w:rPr>
          <w:noProof/>
        </w:rPr>
        <w:t xml:space="preserve">Sellest tulenevalt tuleks rakendada täiendavat paindlikkust, et fondidest oleks võimalik saada kiiremat ja täielikumat toetust, et leevendada koormust liikmesriikide eelarvetele ja hõlbustada selliste meetmete rakendamist, mis on suunatud nii rändeprobleemidele kui ka peamiste majandussektorite turuhäiretele. </w:t>
      </w:r>
    </w:p>
    <w:p w14:paraId="133055DF" w14:textId="77777777" w:rsidR="00944661" w:rsidRPr="00EC5CFB" w:rsidRDefault="00D42B7B" w:rsidP="00944661">
      <w:pPr>
        <w:pBdr>
          <w:top w:val="nil"/>
          <w:left w:val="nil"/>
          <w:bottom w:val="nil"/>
          <w:right w:val="nil"/>
          <w:between w:val="nil"/>
          <w:bar w:val="nil"/>
        </w:pBdr>
        <w:spacing w:before="0" w:after="240"/>
        <w:rPr>
          <w:noProof/>
        </w:rPr>
      </w:pPr>
      <w:r w:rsidRPr="00EC5CFB">
        <w:rPr>
          <w:noProof/>
        </w:rPr>
        <w:t>Seetõttu on Venemaa Föderatsiooni sõjalisest agressioonist tulenevaid rändeprobleeme lahendavate tegevuste puhul asjakohane kõnealuse täielikuma toetuse osana ja erakorralise meetmena, ilma et see piiraks eeskirju, mida tuleks kohaldada tavapärases olukorras, teha erand nõuetest, mis on seotud tegevuse asukohaga konkreetses liikmesriigis, võttes arvesse, et sõja eest põgenevad isikud võivad oma asukohta muuta rohkem kui üks kord. Lisaks, võttes arvesse Venemaa agressiooni jätkumist, on kõigis liikmesriikides põhjendatud hiljuti kehtestatud ühikuhinna pikem kohaldamine ja suurendamine, et katta selliste isikute põhivajadused ja toetamine, kes on saanud ajutise kaitse või liikmesriigi õiguse alusel muu piisava kaitse vastavalt nõukogu rakendusotsusele (EL) 2022/382</w:t>
      </w:r>
      <w:r w:rsidRPr="00EC5CFB">
        <w:rPr>
          <w:rStyle w:val="FootnoteReference"/>
          <w:noProof/>
        </w:rPr>
        <w:footnoteReference w:id="2"/>
      </w:r>
      <w:r w:rsidRPr="00EC5CFB">
        <w:rPr>
          <w:noProof/>
        </w:rPr>
        <w:t xml:space="preserve"> ja nõukogu direktiivile 2001/55/EÜ</w:t>
      </w:r>
      <w:r w:rsidRPr="00EC5CFB">
        <w:rPr>
          <w:rStyle w:val="FootnoteReference"/>
          <w:noProof/>
        </w:rPr>
        <w:footnoteReference w:id="3"/>
      </w:r>
      <w:r w:rsidRPr="00EC5CFB">
        <w:rPr>
          <w:noProof/>
        </w:rPr>
        <w:t>.</w:t>
      </w:r>
    </w:p>
    <w:p w14:paraId="405B11EC" w14:textId="2647CC87" w:rsidR="00944661" w:rsidRPr="00EC5CFB" w:rsidRDefault="00944661" w:rsidP="00944661">
      <w:pPr>
        <w:pBdr>
          <w:top w:val="nil"/>
          <w:left w:val="nil"/>
          <w:bottom w:val="nil"/>
          <w:right w:val="nil"/>
          <w:between w:val="nil"/>
          <w:bar w:val="nil"/>
        </w:pBdr>
        <w:spacing w:before="0" w:after="240"/>
        <w:rPr>
          <w:noProof/>
        </w:rPr>
      </w:pPr>
      <w:r w:rsidRPr="00EC5CFB">
        <w:rPr>
          <w:noProof/>
        </w:rPr>
        <w:t>Peale selle tehakse ettepanek lubada 2014.–2020. aasta Ühtekuuluvusfondi järelejäänud vahenditest toetada tegevusi, mis kuuluvad kas ERFi või ESFi kohaldamisalasse, kooskõlas nende fondide suhtes kohaldatavate eeskirjadega. See tähendab Euroopa Parlamendi ja nõukogu määrusega (EL) 2022/562</w:t>
      </w:r>
      <w:r w:rsidRPr="00EC5CFB">
        <w:rPr>
          <w:rStyle w:val="FootnoteReference"/>
          <w:noProof/>
        </w:rPr>
        <w:footnoteReference w:id="4"/>
      </w:r>
      <w:r w:rsidRPr="00EC5CFB">
        <w:rPr>
          <w:noProof/>
        </w:rPr>
        <w:t xml:space="preserve"> kehtestatud ERFi ja ESFi vahendite kasutamise paindlikkuse laiendamist Ühtekuuluvusfondile. Võttes samuti arvesse, et Venemaa sõjalisest agressioonist tulenevaid rändeprobleeme lahendavate tegevuste rahastamiskõlblikkus kehtestati 24. veebruari 2022 seisuga, tuleks anda võimalus deklareerida selliste tegevuste kulusid ka siis, kui need on juba füüsiliselt lõpetatud või täielikult ellu viidud. Selliseid võimalusi tuleks kalandus- ja vesiviljelussektorile avalduvate sõja tagajärgede tõttu laiendada ka Euroopa Merendus- ja Kalandusfondile (EMKF).</w:t>
      </w:r>
    </w:p>
    <w:p w14:paraId="00CB5046" w14:textId="435ABF96" w:rsidR="00944661" w:rsidRPr="00EC5CFB" w:rsidRDefault="00944661" w:rsidP="00944661">
      <w:pPr>
        <w:pBdr>
          <w:top w:val="nil"/>
          <w:left w:val="nil"/>
          <w:bottom w:val="nil"/>
          <w:right w:val="nil"/>
          <w:between w:val="nil"/>
          <w:bar w:val="nil"/>
        </w:pBdr>
        <w:spacing w:before="0" w:after="240"/>
        <w:rPr>
          <w:noProof/>
        </w:rPr>
      </w:pPr>
      <w:r w:rsidRPr="00EC5CFB">
        <w:rPr>
          <w:noProof/>
        </w:rPr>
        <w:t>Samamoodi, soovides leevendada pidevalt muutuvate vajadustega kohanevate liikmesriikide halduskoormust, tuleks võimaldada ümberpaigutamisi valdkondlike eesmärkide vahel prioriteetse suuna raames ning fondi ja piirkonnakategooria raames, ilma et oleks vaja komisjoni otsust programmi muutmiseks. Lisaks tehakse ettepanek suurendada prioriteetsete suundade vahelise paindlikkuse ülemmäära fondidest saadava toetuse lõppmakse arvutamisel. Peale selle tuleks kolmandate riikide kodanike sotsiaal-majanduslikku integratsiooni edendavate prioriteetide, sealhulgas Venemaa Föderatsiooni sõjalisest agressioonist tulenevaid rändeprobleeme lahendavate tegevuste jaoks ette nähtud prioriteetide puhul kehtestada mõlemaks programmitöö perioodiks kuni 100 % kaasrahastamise määra võimalus, et toetada liikmesriike, kes tegelevad põgenike vajadustega nii praegu kui ka tulevikus.</w:t>
      </w:r>
    </w:p>
    <w:p w14:paraId="12D33020" w14:textId="77777777" w:rsidR="00944661" w:rsidRPr="00EC5CFB" w:rsidRDefault="00143278" w:rsidP="00944661">
      <w:pPr>
        <w:pBdr>
          <w:top w:val="nil"/>
          <w:left w:val="nil"/>
          <w:bottom w:val="nil"/>
          <w:right w:val="nil"/>
          <w:between w:val="nil"/>
          <w:bar w:val="nil"/>
        </w:pBdr>
        <w:spacing w:before="0" w:after="240"/>
        <w:rPr>
          <w:noProof/>
        </w:rPr>
      </w:pPr>
      <w:r w:rsidRPr="00EC5CFB">
        <w:rPr>
          <w:noProof/>
        </w:rPr>
        <w:t>Selleks et lihtsustada tingimusi projektide üleviimiseks programmitöö perioodide vahel, on vaja ette näha ka sihipärane paindlikkus programmitöö perioodiks 2021–2027.</w:t>
      </w:r>
    </w:p>
    <w:p w14:paraId="4AE9F2EC" w14:textId="77777777" w:rsidR="00A17F91" w:rsidRPr="00EC5CFB" w:rsidRDefault="00A17F91" w:rsidP="00944661">
      <w:pPr>
        <w:pBdr>
          <w:top w:val="nil"/>
          <w:left w:val="nil"/>
          <w:bottom w:val="nil"/>
          <w:right w:val="nil"/>
          <w:between w:val="nil"/>
          <w:bar w:val="nil"/>
        </w:pBdr>
        <w:spacing w:before="0" w:after="240"/>
        <w:rPr>
          <w:noProof/>
        </w:rPr>
      </w:pPr>
      <w:r w:rsidRPr="00EC5CFB">
        <w:rPr>
          <w:noProof/>
        </w:rPr>
        <w:t>Selleks et aidata kõigil liikmesriikidel tegeleda sõja mõjuga oma 2021.–2027. aasta programmide raames, tuleks võtta kiiresti kasutusele ERFist, ESF+ist ja Ühtekuuluvusfondist tööhõivesse ja majanduskasvu investeerimise eesmärgi raames antav toetus, suurendades eelmaksete määra.</w:t>
      </w:r>
    </w:p>
    <w:p w14:paraId="0C192F07" w14:textId="1A1F8D3B" w:rsidR="00A17F91" w:rsidRPr="00EC5CFB" w:rsidRDefault="00A17F91" w:rsidP="00A17F91">
      <w:pPr>
        <w:pBdr>
          <w:top w:val="nil"/>
          <w:left w:val="nil"/>
          <w:bottom w:val="nil"/>
          <w:right w:val="nil"/>
          <w:between w:val="nil"/>
          <w:bar w:val="nil"/>
        </w:pBdr>
        <w:spacing w:before="0" w:after="240"/>
        <w:rPr>
          <w:noProof/>
        </w:rPr>
      </w:pPr>
      <w:r w:rsidRPr="00EC5CFB">
        <w:rPr>
          <w:noProof/>
        </w:rPr>
        <w:t xml:space="preserve">Lisaks tuleks kuni 2024. aasta keskpaigani kehtestada kuni 100 % kaasrahastamise määr prioriteetide puhul, millega edendatakse 2021.–2027. aasta programmide raames kolmandate riikide kodanike sotsiaal-majanduslikku integratsiooni, ning see tuleks läbi vaadata vastavalt sellele, kuidas seda on kasutatud. </w:t>
      </w:r>
    </w:p>
    <w:p w14:paraId="3D2DCEE6" w14:textId="77777777" w:rsidR="00944661" w:rsidRPr="00EC5CFB" w:rsidRDefault="00A17F91" w:rsidP="00944661">
      <w:pPr>
        <w:pBdr>
          <w:top w:val="nil"/>
          <w:left w:val="nil"/>
          <w:bottom w:val="nil"/>
          <w:right w:val="nil"/>
          <w:between w:val="nil"/>
          <w:bar w:val="nil"/>
        </w:pBdr>
        <w:spacing w:before="0" w:after="240"/>
        <w:rPr>
          <w:noProof/>
        </w:rPr>
      </w:pPr>
      <w:r w:rsidRPr="00EC5CFB">
        <w:rPr>
          <w:noProof/>
        </w:rPr>
        <w:t>Lõpuks tuleks alandada piirmäära 2014.–2020. aasta programmide tegevuste üleviimiseks 2021.–2027. aasta programmitöö perioodile, et laiendada seda võimalust suuremale hulgale tegevustele, mille puhul esineb viivitusi. Lisaks sellele tuleks 2021.–2027. aasta programmide kohaste tegevuste teine etapp muuta rahastamiskõlblikuks vastavalt 2014.–2020. aasta eeskirjadele ning korraldusasutustele tuleks anda võimalus anda sellistele tegevustele otsetoetust tingimusel, et täidetud on piiratud arv põhitingimusi. Selline paindlikkus üleviimisel ei mõjuta liikmesriikide kohustusi täita valdkondliku keskendamise nõudeid ja kliimapanuse eesmärke.</w:t>
      </w:r>
    </w:p>
    <w:p w14:paraId="21671F9A" w14:textId="77777777" w:rsidR="00C1332E" w:rsidRPr="00EC5CFB" w:rsidRDefault="00586D7D">
      <w:pPr>
        <w:pStyle w:val="ManualHeading2"/>
        <w:rPr>
          <w:rFonts w:eastAsia="Arial Unicode MS"/>
          <w:noProof/>
          <w:color w:val="000000"/>
          <w:u w:color="000000"/>
          <w:bdr w:val="nil"/>
        </w:rPr>
      </w:pPr>
      <w:r w:rsidRPr="00EC5CFB">
        <w:rPr>
          <w:noProof/>
          <w:color w:val="000000"/>
          <w:u w:color="000000"/>
          <w:bdr w:val="nil"/>
        </w:rPr>
        <w:t>•</w:t>
      </w:r>
      <w:r w:rsidRPr="00EC5CFB">
        <w:rPr>
          <w:noProof/>
        </w:rPr>
        <w:tab/>
        <w:t>Kooskõla poliitikavaldkonnas praegu kehtivate õigusnormidega</w:t>
      </w:r>
    </w:p>
    <w:p w14:paraId="0C342CD1" w14:textId="77777777" w:rsidR="00C1332E" w:rsidRPr="00EC5CFB" w:rsidRDefault="00107C7D">
      <w:pPr>
        <w:pBdr>
          <w:top w:val="nil"/>
          <w:left w:val="nil"/>
          <w:bottom w:val="nil"/>
          <w:right w:val="nil"/>
          <w:between w:val="nil"/>
          <w:bar w:val="nil"/>
        </w:pBdr>
        <w:spacing w:before="0" w:after="240"/>
        <w:rPr>
          <w:noProof/>
        </w:rPr>
      </w:pPr>
      <w:r w:rsidRPr="00EC5CFB">
        <w:rPr>
          <w:noProof/>
        </w:rPr>
        <w:t>Ettepanek on kooskõlas üldise õigusraamistikuga, mis on kehtestatud Euroopa struktuuri- ja investeerimisfondidele ning ühtekuuluvuspoliitikale, ning piirdub määruse (EL) nr 1303/2013 ja määruse (EL) 2021/1060 sihipärase ja erakorralise muutmisega. Ettepanekuga täiendatakse ka määruse (EL) nr 1303/2013 varasemaid muudatusi, mis on tehtud 6. aprilli 2022. aasta ja 12. aprilli 2022. aasta asjaomaste määrustega, ning kõiki muid meetmeid, mille eesmärk on tegeleda praeguse enneolematu olukorraga.</w:t>
      </w:r>
    </w:p>
    <w:p w14:paraId="48A8078C" w14:textId="77777777" w:rsidR="00C1332E" w:rsidRPr="00EC5CFB" w:rsidRDefault="00586D7D">
      <w:pPr>
        <w:pStyle w:val="ManualHeading2"/>
        <w:rPr>
          <w:rFonts w:eastAsia="Arial Unicode MS"/>
          <w:noProof/>
        </w:rPr>
      </w:pPr>
      <w:r w:rsidRPr="00EC5CFB">
        <w:rPr>
          <w:noProof/>
          <w:color w:val="000000"/>
          <w:u w:color="000000"/>
          <w:bdr w:val="nil"/>
        </w:rPr>
        <w:t>•</w:t>
      </w:r>
      <w:r w:rsidRPr="00EC5CFB">
        <w:rPr>
          <w:noProof/>
        </w:rPr>
        <w:tab/>
        <w:t>Kooskõla muude liidu tegevuspõhimõtetega</w:t>
      </w:r>
    </w:p>
    <w:p w14:paraId="7136537B" w14:textId="77777777" w:rsidR="00C1332E" w:rsidRPr="00EC5CFB" w:rsidRDefault="00107C7D">
      <w:pPr>
        <w:pBdr>
          <w:top w:val="nil"/>
          <w:left w:val="nil"/>
          <w:bottom w:val="nil"/>
          <w:right w:val="nil"/>
          <w:between w:val="nil"/>
          <w:bar w:val="nil"/>
        </w:pBdr>
        <w:spacing w:before="0" w:after="240"/>
        <w:rPr>
          <w:noProof/>
        </w:rPr>
      </w:pPr>
      <w:r w:rsidRPr="00EC5CFB">
        <w:rPr>
          <w:noProof/>
        </w:rPr>
        <w:t>Ettepanekus piirdutakse määruse (EL) nr 1303/2013 ja määruse (EL) 2021/1060 sihipärase ja erakorralise muutmisega ning säilitatakse kooskõla liidu muude poliitikavaldkondadega.</w:t>
      </w:r>
    </w:p>
    <w:p w14:paraId="4C2D9CC7" w14:textId="77777777" w:rsidR="00C1332E" w:rsidRPr="00EC5CFB" w:rsidRDefault="00586D7D">
      <w:pPr>
        <w:pStyle w:val="ManualHeading1"/>
        <w:rPr>
          <w:noProof/>
        </w:rPr>
      </w:pPr>
      <w:r w:rsidRPr="00EC5CFB">
        <w:rPr>
          <w:noProof/>
        </w:rPr>
        <w:t>2.</w:t>
      </w:r>
      <w:r w:rsidRPr="00EC5CFB">
        <w:rPr>
          <w:noProof/>
        </w:rPr>
        <w:tab/>
        <w:t>ÕIGUSLIK ALUS, SUBSIDIAARSUS JA PROPORTSIONAALSUS</w:t>
      </w:r>
    </w:p>
    <w:p w14:paraId="0CE46B51"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Õiguslik alus</w:t>
      </w:r>
    </w:p>
    <w:p w14:paraId="31F5C0EB" w14:textId="77777777" w:rsidR="00C1332E" w:rsidRPr="00EC5CFB" w:rsidRDefault="00586D7D">
      <w:pPr>
        <w:pBdr>
          <w:top w:val="nil"/>
          <w:left w:val="nil"/>
          <w:bottom w:val="nil"/>
          <w:right w:val="nil"/>
          <w:between w:val="nil"/>
          <w:bar w:val="nil"/>
        </w:pBdr>
        <w:spacing w:before="0" w:after="240"/>
        <w:rPr>
          <w:noProof/>
        </w:rPr>
      </w:pPr>
      <w:r w:rsidRPr="00EC5CFB">
        <w:rPr>
          <w:noProof/>
        </w:rPr>
        <w:t xml:space="preserve">Ettepanek põhineb Euroopa Liidu toimimise lepingu artiklil 177. </w:t>
      </w:r>
    </w:p>
    <w:p w14:paraId="3BF6BD94"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 xml:space="preserve">Subsidiaarsus (ainupädevusse mittekuuluva valdkonna puhul) </w:t>
      </w:r>
    </w:p>
    <w:p w14:paraId="03D3B82D" w14:textId="2ECB1A95" w:rsidR="00E02C73" w:rsidRPr="00EC5CFB" w:rsidRDefault="00107C7D" w:rsidP="00E02C73">
      <w:pPr>
        <w:pBdr>
          <w:top w:val="nil"/>
          <w:left w:val="nil"/>
          <w:bottom w:val="nil"/>
          <w:right w:val="nil"/>
          <w:between w:val="nil"/>
          <w:bar w:val="nil"/>
        </w:pBdr>
        <w:spacing w:before="0" w:after="240"/>
        <w:rPr>
          <w:noProof/>
        </w:rPr>
      </w:pPr>
      <w:r w:rsidRPr="00EC5CFB">
        <w:rPr>
          <w:noProof/>
        </w:rPr>
        <w:t xml:space="preserve">Ettepanekuga muudetakse kehtivaid ELi õigusakte eesmärgiga hõlbustada ühtekuuluvuspoliitika vahendite kasutamist ja paindlikumat rakendamist liikmesriikides ja piirkondades nii 2014.–2020. aasta kui ka 2021.–2027. aasta programmide raames, et toetada Venemaa sõjalisest agressioonist tulenevaid rändeprobleeme lahendavaid meetmeid. Liikmesriigid ei suuda neid probleeme üksi piisavalt lahendada ning tulemusi on võimalik paremini saavutada liidu tasandil. </w:t>
      </w:r>
    </w:p>
    <w:p w14:paraId="6C4D4EEB"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Proportsionaalsus</w:t>
      </w:r>
    </w:p>
    <w:p w14:paraId="6CD96C87" w14:textId="77777777" w:rsidR="000A6742" w:rsidRPr="00EC5CFB" w:rsidRDefault="00107C7D" w:rsidP="000A6742">
      <w:pPr>
        <w:pBdr>
          <w:top w:val="nil"/>
          <w:left w:val="nil"/>
          <w:bottom w:val="nil"/>
          <w:right w:val="nil"/>
          <w:between w:val="nil"/>
          <w:bar w:val="nil"/>
        </w:pBdr>
        <w:spacing w:before="0" w:after="240"/>
        <w:rPr>
          <w:noProof/>
        </w:rPr>
      </w:pPr>
      <w:r w:rsidRPr="00EC5CFB">
        <w:rPr>
          <w:noProof/>
        </w:rPr>
        <w:t>Ettepanek piirdub sellega, mis on vajalik, ning selle eesmärk on tagada, et kõigi ühtekuuluvuspoliitika raames kättesaadavate vahenditega saaks toetada meetmeid Venemaa sõjalisest agressioonist tulenevate rändeprobleemide lahendamiseks. Kavandatud paindlikkus ei lähe kaugemale sellest, mis on vajalik Euroopa struktuuri- ja investeerimisfondide 2014.–2020. aasta programmide vahendite täielikuks kasutamiseks ja tegevuste sujuvamaks üleviimiseks 2021.–2027. aasta programmidesse.</w:t>
      </w:r>
    </w:p>
    <w:p w14:paraId="6C256B41"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Õigusakti valik</w:t>
      </w:r>
    </w:p>
    <w:p w14:paraId="72909253" w14:textId="77777777" w:rsidR="00676147" w:rsidRPr="00EC5CFB" w:rsidRDefault="00107C7D" w:rsidP="00676147">
      <w:pPr>
        <w:pBdr>
          <w:top w:val="nil"/>
          <w:left w:val="nil"/>
          <w:bottom w:val="nil"/>
          <w:right w:val="nil"/>
          <w:between w:val="nil"/>
          <w:bar w:val="nil"/>
        </w:pBdr>
        <w:spacing w:before="0" w:after="240"/>
        <w:rPr>
          <w:noProof/>
        </w:rPr>
      </w:pPr>
      <w:r w:rsidRPr="00EC5CFB">
        <w:rPr>
          <w:noProof/>
        </w:rPr>
        <w:t>Määrus, millega muudetakse olemasolevaid määrusi, on asjakohane vahend, et hõlbustada ühtekuuluvuspoliitika ja vahendite kasutamist, toetamaks meetmeid, millega lahendada Venemaa sõjalisest agressioonist tulenevaid rändeprobleeme ning laiendada väiksemate kogukuludega tegevuste üleviimise võimalust, mida on vaja nende enneolematute asjaoludega tegelemiseks.</w:t>
      </w:r>
    </w:p>
    <w:p w14:paraId="2F4A61C8" w14:textId="77777777" w:rsidR="00C1332E" w:rsidRPr="00EC5CFB" w:rsidRDefault="00586D7D">
      <w:pPr>
        <w:pStyle w:val="ManualHeading1"/>
        <w:rPr>
          <w:noProof/>
        </w:rPr>
      </w:pPr>
      <w:r w:rsidRPr="00EC5CFB">
        <w:rPr>
          <w:noProof/>
        </w:rPr>
        <w:t>3.</w:t>
      </w:r>
      <w:r w:rsidRPr="00EC5CFB">
        <w:rPr>
          <w:noProof/>
        </w:rPr>
        <w:tab/>
        <w:t>JÄRELHINDAMISE, SIDUSRÜHMADEGA KONSULTEERIMISE JA MÕJU HINDAMISE TULEMUSED</w:t>
      </w:r>
    </w:p>
    <w:p w14:paraId="5395F139"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Praegu kehtivate õigusaktide järelhindamine või toimivuse kontroll</w:t>
      </w:r>
    </w:p>
    <w:p w14:paraId="3A54010F" w14:textId="77777777" w:rsidR="00C1332E" w:rsidRPr="00EC5CFB" w:rsidRDefault="00586D7D">
      <w:pPr>
        <w:pBdr>
          <w:top w:val="nil"/>
          <w:left w:val="nil"/>
          <w:bottom w:val="nil"/>
          <w:right w:val="nil"/>
          <w:between w:val="nil"/>
          <w:bar w:val="nil"/>
        </w:pBdr>
        <w:spacing w:before="0" w:after="240"/>
        <w:rPr>
          <w:noProof/>
        </w:rPr>
      </w:pPr>
      <w:r w:rsidRPr="00EC5CFB">
        <w:rPr>
          <w:noProof/>
        </w:rPr>
        <w:t>Ei kohaldata.</w:t>
      </w:r>
    </w:p>
    <w:p w14:paraId="43B95EC3"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Konsulteerimine sidusrühmadega</w:t>
      </w:r>
    </w:p>
    <w:p w14:paraId="39752F2A" w14:textId="77777777" w:rsidR="00C1332E" w:rsidRPr="00EC5CFB" w:rsidRDefault="00107C7D">
      <w:pPr>
        <w:pBdr>
          <w:top w:val="nil"/>
          <w:left w:val="nil"/>
          <w:bottom w:val="nil"/>
          <w:right w:val="nil"/>
          <w:between w:val="nil"/>
          <w:bar w:val="nil"/>
        </w:pBdr>
        <w:spacing w:before="0" w:after="240"/>
        <w:rPr>
          <w:noProof/>
        </w:rPr>
      </w:pPr>
      <w:r w:rsidRPr="00EC5CFB">
        <w:rPr>
          <w:noProof/>
        </w:rPr>
        <w:t>Ettepanek lähtub kõrgetasemelisest teabevahetusest teiste institutsioonide ja liikmesriikidega. Avalik konsultatsioon ei ole vajalik, kuna mõju hindamine ei ole vajalik.</w:t>
      </w:r>
    </w:p>
    <w:p w14:paraId="5F9F2D4E"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Eksperdiarvamuste kogumine ja kasutamine</w:t>
      </w:r>
    </w:p>
    <w:p w14:paraId="7899FB60" w14:textId="77777777" w:rsidR="00C1332E" w:rsidRPr="00EC5CFB" w:rsidRDefault="00586D7D">
      <w:pPr>
        <w:rPr>
          <w:noProof/>
        </w:rPr>
      </w:pPr>
      <w:r w:rsidRPr="00EC5CFB">
        <w:rPr>
          <w:noProof/>
        </w:rPr>
        <w:t>Ei kohaldata.</w:t>
      </w:r>
    </w:p>
    <w:p w14:paraId="464D7D3F"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Mõjuhinnang</w:t>
      </w:r>
    </w:p>
    <w:p w14:paraId="25CABEF8" w14:textId="77777777" w:rsidR="00C1332E" w:rsidRPr="00EC5CFB" w:rsidRDefault="00107C7D">
      <w:pPr>
        <w:pBdr>
          <w:top w:val="nil"/>
          <w:left w:val="nil"/>
          <w:bottom w:val="nil"/>
          <w:right w:val="nil"/>
          <w:between w:val="nil"/>
          <w:bar w:val="nil"/>
        </w:pBdr>
        <w:spacing w:before="0" w:after="240"/>
        <w:rPr>
          <w:noProof/>
        </w:rPr>
      </w:pPr>
      <w:r w:rsidRPr="00EC5CFB">
        <w:rPr>
          <w:noProof/>
        </w:rPr>
        <w:t>Määruse (EL) nr 1303/2013 ja määruse (EL) 2021/1060 ettepaneku koostamiseks tehti mõjuhinnang. Praegune sihipärane muudatus kriitilisele olukorrale reageerimiseks ei nõua eraldi mõjuhinnangut.</w:t>
      </w:r>
    </w:p>
    <w:p w14:paraId="6E0CE4D7"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Õigusnormide toimivus ja lihtsustamine</w:t>
      </w:r>
    </w:p>
    <w:p w14:paraId="7FB40782" w14:textId="77777777" w:rsidR="00C1332E" w:rsidRPr="00EC5CFB" w:rsidRDefault="00586D7D">
      <w:pPr>
        <w:rPr>
          <w:noProof/>
        </w:rPr>
      </w:pPr>
      <w:r w:rsidRPr="00EC5CFB">
        <w:rPr>
          <w:noProof/>
        </w:rPr>
        <w:t>Ei kohaldata.</w:t>
      </w:r>
    </w:p>
    <w:p w14:paraId="38910CB9"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Põhiõigused</w:t>
      </w:r>
    </w:p>
    <w:p w14:paraId="2FA1F0D8" w14:textId="77777777" w:rsidR="00C1332E" w:rsidRPr="00EC5CFB" w:rsidRDefault="00586D7D">
      <w:pPr>
        <w:rPr>
          <w:noProof/>
        </w:rPr>
      </w:pPr>
      <w:r w:rsidRPr="00EC5CFB">
        <w:rPr>
          <w:noProof/>
        </w:rPr>
        <w:t>Ei kohaldata.</w:t>
      </w:r>
    </w:p>
    <w:p w14:paraId="72A16DED" w14:textId="77777777" w:rsidR="00C1332E" w:rsidRPr="00EC5CFB" w:rsidRDefault="00586D7D">
      <w:pPr>
        <w:pStyle w:val="ManualHeading1"/>
        <w:rPr>
          <w:noProof/>
        </w:rPr>
      </w:pPr>
      <w:r w:rsidRPr="00EC5CFB">
        <w:rPr>
          <w:noProof/>
        </w:rPr>
        <w:t>4.</w:t>
      </w:r>
      <w:r w:rsidRPr="00EC5CFB">
        <w:rPr>
          <w:noProof/>
        </w:rPr>
        <w:tab/>
        <w:t>MÕJU EELARVELE</w:t>
      </w:r>
    </w:p>
    <w:p w14:paraId="360306AC" w14:textId="77777777" w:rsidR="00431F4F" w:rsidRPr="00EC5CFB" w:rsidRDefault="00107C7D" w:rsidP="00A17F91">
      <w:pPr>
        <w:rPr>
          <w:noProof/>
        </w:rPr>
      </w:pPr>
      <w:r w:rsidRPr="00EC5CFB">
        <w:rPr>
          <w:noProof/>
        </w:rPr>
        <w:t xml:space="preserve">Ettepanek käsitleb nii 2014.–2020. kui ka 2021.–2027. aasta ühtekuuluvuspoliitika programme ning ei muuda olemasolevaid eelarvelisi kulukohustusi. </w:t>
      </w:r>
    </w:p>
    <w:p w14:paraId="2D23CBC7" w14:textId="77777777" w:rsidR="00431F4F" w:rsidRPr="00EC5CFB" w:rsidRDefault="00431F4F" w:rsidP="00A17F91">
      <w:pPr>
        <w:rPr>
          <w:noProof/>
          <w:szCs w:val="24"/>
        </w:rPr>
      </w:pPr>
      <w:r w:rsidRPr="00EC5CFB">
        <w:rPr>
          <w:noProof/>
        </w:rPr>
        <w:t xml:space="preserve">Perioodil 2021–2027 suurendatakse 2022. ja 2023. aastal ERFist, ESF+ist ja Ühtekuuluvusfondist majanduskasvu ja tööhõivesse investeerimise eesmärgi raames toetust saavate programmide eelmakseid. Selle tulemusena tuuakse maksete assigneeringud 2022. ja 2023. aastasse, mis ei mõjuta 2021.–2027. aasta eelarvet. </w:t>
      </w:r>
    </w:p>
    <w:p w14:paraId="514D5C38" w14:textId="77777777" w:rsidR="00A17F91" w:rsidRPr="00EC5CFB" w:rsidRDefault="00431F4F" w:rsidP="00A17F91">
      <w:pPr>
        <w:rPr>
          <w:noProof/>
        </w:rPr>
      </w:pPr>
      <w:r w:rsidRPr="00EC5CFB">
        <w:rPr>
          <w:noProof/>
        </w:rPr>
        <w:t>2023. aasta täiendavaid eelmakseid summas 1,74 miljardit eurot ei olnud eelarveprojektis ette nähtud. Seepärast kaalub komisjon teha ettepanek katta täiendavad maksevajadused 2023. aasta eelarveprojekti kirjaliku muutmisettepaneku alusel, võttes arvesse liikmesriikide muudetud prognoose.</w:t>
      </w:r>
    </w:p>
    <w:p w14:paraId="33577454" w14:textId="77777777" w:rsidR="008B061D" w:rsidRPr="00EC5CFB" w:rsidRDefault="008B061D" w:rsidP="008B061D">
      <w:pPr>
        <w:rPr>
          <w:noProof/>
        </w:rPr>
      </w:pPr>
      <w:r w:rsidRPr="00EC5CFB">
        <w:rPr>
          <w:noProof/>
        </w:rPr>
        <w:t xml:space="preserve">Kavandatud muudatus ei nõua muudatuste tegemist mitmeaastase finantsraamistiku kulukohustuste ja maksete iga-aastastes ülemmäärades, mis on sätestatud nõukogu määruse (EL, Euratom) 2020/2093 I lisas, ning sellega ei kaasne muutusi maksete koguvajaduses kummalgi programmitöö perioodil. </w:t>
      </w:r>
    </w:p>
    <w:p w14:paraId="3D168AEA" w14:textId="77777777" w:rsidR="00676147" w:rsidRPr="00EC5CFB" w:rsidRDefault="008B061D" w:rsidP="00EF5081">
      <w:pPr>
        <w:rPr>
          <w:noProof/>
        </w:rPr>
      </w:pPr>
      <w:r w:rsidRPr="00EC5CFB">
        <w:rPr>
          <w:noProof/>
        </w:rPr>
        <w:t xml:space="preserve">Komisjon jälgib tähelepanelikult kavandatud muudatuse mõju maksete assigneeringutele 2022. ja 2023. aastal, võttes arvesse eelarve üldist täitmist, liikmesriikide muudetud prognoose ning võimalikke tekkivaid vajadusi või prioriteete. </w:t>
      </w:r>
    </w:p>
    <w:p w14:paraId="24DC0907" w14:textId="77777777" w:rsidR="00C1332E" w:rsidRPr="00EC5CFB" w:rsidRDefault="00586D7D">
      <w:pPr>
        <w:pStyle w:val="ManualHeading1"/>
        <w:rPr>
          <w:noProof/>
        </w:rPr>
      </w:pPr>
      <w:r w:rsidRPr="00EC5CFB">
        <w:rPr>
          <w:noProof/>
        </w:rPr>
        <w:t>5.</w:t>
      </w:r>
      <w:r w:rsidRPr="00EC5CFB">
        <w:rPr>
          <w:noProof/>
        </w:rPr>
        <w:tab/>
        <w:t>MUU TEAVE</w:t>
      </w:r>
    </w:p>
    <w:p w14:paraId="2853191A"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Rakenduskavad ning järelevalve, hindamise ja aruandluse kord</w:t>
      </w:r>
    </w:p>
    <w:p w14:paraId="16F6BFD5" w14:textId="77777777" w:rsidR="00C1332E" w:rsidRPr="00EC5CFB" w:rsidRDefault="00AB6D32">
      <w:pPr>
        <w:pBdr>
          <w:top w:val="nil"/>
          <w:left w:val="nil"/>
          <w:bottom w:val="nil"/>
          <w:right w:val="nil"/>
          <w:between w:val="nil"/>
          <w:bar w:val="nil"/>
        </w:pBdr>
        <w:spacing w:before="0" w:after="240"/>
        <w:rPr>
          <w:noProof/>
        </w:rPr>
      </w:pPr>
      <w:r w:rsidRPr="00EC5CFB">
        <w:rPr>
          <w:noProof/>
        </w:rPr>
        <w:t>Meetmete rakendamise üle tehakse järelevalvet ja antakse aru määrustes (EL) nr 1303/2013 ja (EL) 2021/1060 kehtestatud üldiste aruandlusmehhanismide raames.</w:t>
      </w:r>
    </w:p>
    <w:p w14:paraId="132A0980"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Selgitavad dokumendid (direktiivide puhul)</w:t>
      </w:r>
    </w:p>
    <w:p w14:paraId="4EBB330A" w14:textId="77777777" w:rsidR="00C1332E" w:rsidRPr="00EC5CFB" w:rsidRDefault="00586D7D">
      <w:pPr>
        <w:pBdr>
          <w:top w:val="nil"/>
          <w:left w:val="nil"/>
          <w:bottom w:val="nil"/>
          <w:right w:val="nil"/>
          <w:between w:val="nil"/>
          <w:bar w:val="nil"/>
        </w:pBdr>
        <w:spacing w:before="0" w:after="240"/>
        <w:rPr>
          <w:noProof/>
        </w:rPr>
      </w:pPr>
      <w:r w:rsidRPr="00EC5CFB">
        <w:rPr>
          <w:noProof/>
        </w:rPr>
        <w:t>Ei kohaldata.</w:t>
      </w:r>
    </w:p>
    <w:p w14:paraId="7EA1E1AB" w14:textId="77777777" w:rsidR="00C1332E" w:rsidRPr="00EC5CFB" w:rsidRDefault="00586D7D">
      <w:pPr>
        <w:pStyle w:val="ManualHeading2"/>
        <w:rPr>
          <w:rFonts w:eastAsia="Arial Unicode MS"/>
          <w:noProof/>
          <w:u w:color="000000"/>
          <w:bdr w:val="nil"/>
        </w:rPr>
      </w:pPr>
      <w:r w:rsidRPr="00EC5CFB">
        <w:rPr>
          <w:noProof/>
          <w:u w:color="000000"/>
          <w:bdr w:val="nil"/>
        </w:rPr>
        <w:t>•</w:t>
      </w:r>
      <w:r w:rsidRPr="00EC5CFB">
        <w:rPr>
          <w:noProof/>
        </w:rPr>
        <w:tab/>
      </w:r>
      <w:r w:rsidRPr="00EC5CFB">
        <w:rPr>
          <w:noProof/>
          <w:u w:color="000000"/>
          <w:bdr w:val="nil"/>
        </w:rPr>
        <w:t>Ettepaneku sätete üksikasjalik selgitus</w:t>
      </w:r>
    </w:p>
    <w:p w14:paraId="235B5190" w14:textId="77777777" w:rsidR="00AB6D32" w:rsidRPr="00EC5CFB" w:rsidRDefault="00AB6D32" w:rsidP="00AB6D32">
      <w:pPr>
        <w:rPr>
          <w:noProof/>
        </w:rPr>
      </w:pPr>
      <w:r w:rsidRPr="00EC5CFB">
        <w:rPr>
          <w:noProof/>
        </w:rPr>
        <w:t>Tehakse ettepanek muuta määrust (EL) nr 1303/2013 ja määrust (EL) 2021/1060, et:</w:t>
      </w:r>
    </w:p>
    <w:p w14:paraId="0154BF48" w14:textId="2FC2622F" w:rsidR="00AB6D32" w:rsidRPr="00EC5CFB" w:rsidRDefault="00AB6D32" w:rsidP="00DD4B5E">
      <w:pPr>
        <w:pStyle w:val="Bullet1"/>
        <w:numPr>
          <w:ilvl w:val="0"/>
          <w:numId w:val="14"/>
        </w:numPr>
        <w:rPr>
          <w:noProof/>
        </w:rPr>
      </w:pPr>
      <w:r w:rsidRPr="00EC5CFB">
        <w:rPr>
          <w:noProof/>
        </w:rPr>
        <w:t>teha erand asukohanõuetest konkreetse liikmesriigi piires tegevuste puhul, millega lahendatakse Venemaa sõjalisest agressioonist tulenevaid rändeprobleeme, kuna sõja eest põgenevad inimesed võivad muuta oma asukohta rohkem kui korra (määruse (EL) nr 1303/2013 artikli 70 muutmine);</w:t>
      </w:r>
    </w:p>
    <w:p w14:paraId="2B3AE8F3" w14:textId="77777777" w:rsidR="00AB6D32" w:rsidRPr="00EC5CFB" w:rsidRDefault="00AB6D32" w:rsidP="00DD4B5E">
      <w:pPr>
        <w:pStyle w:val="Bullet1"/>
        <w:numPr>
          <w:ilvl w:val="0"/>
          <w:numId w:val="14"/>
        </w:numPr>
        <w:rPr>
          <w:noProof/>
        </w:rPr>
      </w:pPr>
      <w:r w:rsidRPr="00EC5CFB">
        <w:rPr>
          <w:noProof/>
        </w:rPr>
        <w:t>kehtestada võimalus deklareerida selliste tegevuste kulud, mis on juba füüsiliselt lõpetatud või täielikult ellu viidud (määruse (EL) nr 1303/2013 artikli 65 muutmine);</w:t>
      </w:r>
    </w:p>
    <w:p w14:paraId="0E078A2C" w14:textId="192A318C" w:rsidR="00AB6D32" w:rsidRPr="00EC5CFB" w:rsidRDefault="00AB6D32" w:rsidP="00DD4B5E">
      <w:pPr>
        <w:pStyle w:val="Bullet1"/>
        <w:numPr>
          <w:ilvl w:val="0"/>
          <w:numId w:val="14"/>
        </w:numPr>
        <w:rPr>
          <w:noProof/>
        </w:rPr>
      </w:pPr>
      <w:r w:rsidRPr="00EC5CFB">
        <w:rPr>
          <w:noProof/>
        </w:rPr>
        <w:t>võimaldada, vajadusega teavitada komisjoni seirekomisjoni poolt heaks kiidetud muudetud finantstabelitest ja ilma komisjoni otsuseta programmi muutmise kohta, kuni 100 % kaasrahastamist eraldi prioriteetse suuna puhul, mis on loodud kolmandate riikide kodanike sotsiaal-majandusliku integratsiooni edendamiseks, sealhulgas nende prioriteetsete suundade puhul, mis on ette nähtud tegevusteks, millega lahendatakse Venemaa Föderatsiooni sõjalisest agressioonist tulenevaid rändeprobleeme (määruse (EL) nr 1303/2013 artikli 120 uus lõige 9);</w:t>
      </w:r>
    </w:p>
    <w:p w14:paraId="524C7B6F" w14:textId="406C4098" w:rsidR="00875927" w:rsidRPr="00EC5CFB" w:rsidRDefault="00AB6D32" w:rsidP="00DD4B5E">
      <w:pPr>
        <w:pStyle w:val="Bullet1"/>
        <w:numPr>
          <w:ilvl w:val="0"/>
          <w:numId w:val="14"/>
        </w:numPr>
        <w:rPr>
          <w:noProof/>
        </w:rPr>
      </w:pPr>
      <w:r w:rsidRPr="00EC5CFB">
        <w:rPr>
          <w:noProof/>
        </w:rPr>
        <w:t>näha ette täiendav paindlikkus fondide vahel, võimaldades eelkõige kasutada 2014.–2020. aasta Ühtekuuluvusfondi vahendeid tegevusteks, millega lahendatakse Venemaa sõjalisest agressioonist tulenevaid rändeprobleeme, tegutsedes ERFi ja ESFi kohaldamisalas ja vastavalt fondispetsiifilistele eeskirjadele, tingimusel et vähemalt 30 % prioriteetse suuna eelarvest eraldatakse toetusesaajatele, nagu kohalikud omavalitsused ja kohalikes kogukondades tegutsevad kodanikuühiskonna organisatsioonid, tagamaks, et seda liiki toetusesaajad saavad asjakohase osa vahenditest, arvestades nende aktiivset rolli pagulaste vastuvõtmisel ja integreerimisel (määruse (EL) nr 1303/2013 artikli 98 lõike 4 muutmine);</w:t>
      </w:r>
    </w:p>
    <w:p w14:paraId="5B28316B" w14:textId="77777777" w:rsidR="00AB6D32" w:rsidRPr="00EC5CFB" w:rsidRDefault="00AB6D32" w:rsidP="00027C97">
      <w:pPr>
        <w:pStyle w:val="Bullet1"/>
        <w:numPr>
          <w:ilvl w:val="0"/>
          <w:numId w:val="14"/>
        </w:numPr>
        <w:rPr>
          <w:noProof/>
        </w:rPr>
      </w:pPr>
      <w:r w:rsidRPr="00EC5CFB">
        <w:rPr>
          <w:noProof/>
        </w:rPr>
        <w:t xml:space="preserve">võimaldada kasutada </w:t>
      </w:r>
      <w:r w:rsidRPr="00EC5CFB">
        <w:rPr>
          <w:noProof/>
          <w:color w:val="000000"/>
          <w:shd w:val="clear" w:color="auto" w:fill="FFFFFF"/>
        </w:rPr>
        <w:t>teadlikke hinnanguid, mis piirduvad toetatud isikute koguarvu ja alla 18-aastaste laste arvuga</w:t>
      </w:r>
      <w:r w:rsidRPr="00EC5CFB">
        <w:rPr>
          <w:noProof/>
        </w:rPr>
        <w:t xml:space="preserve">, kui osalejate kohta </w:t>
      </w:r>
      <w:r w:rsidRPr="00EC5CFB">
        <w:rPr>
          <w:noProof/>
          <w:color w:val="000000"/>
          <w:shd w:val="clear" w:color="auto" w:fill="FFFFFF"/>
        </w:rPr>
        <w:t>tuleb esitada andmed eraldi prioriteetse suuna raames</w:t>
      </w:r>
      <w:r w:rsidRPr="00EC5CFB">
        <w:rPr>
          <w:noProof/>
        </w:rPr>
        <w:t>, millega toetatakse Venemaa Föderatsiooni sõjalisest agressioonist tulenevaid rändeprobleeme lahendavaid tegevusi (määruse (EL) nr 1303/2013 artikli 98 lõike 4 muutmine)</w:t>
      </w:r>
      <w:r w:rsidRPr="00EC5CFB">
        <w:rPr>
          <w:noProof/>
          <w:color w:val="000000"/>
          <w:shd w:val="clear" w:color="auto" w:fill="FFFFFF"/>
        </w:rPr>
        <w:t>;</w:t>
      </w:r>
    </w:p>
    <w:p w14:paraId="2FFCC12B" w14:textId="77777777" w:rsidR="00AB6D32" w:rsidRPr="00EC5CFB" w:rsidRDefault="00AB6D32" w:rsidP="00027C97">
      <w:pPr>
        <w:pStyle w:val="Bullet1"/>
        <w:numPr>
          <w:ilvl w:val="0"/>
          <w:numId w:val="14"/>
        </w:numPr>
        <w:rPr>
          <w:noProof/>
        </w:rPr>
      </w:pPr>
      <w:r w:rsidRPr="00EC5CFB">
        <w:rPr>
          <w:noProof/>
        </w:rPr>
        <w:t>suurendada hiljuti kehtestatud ühikuhinda Venemaa Föderatsiooni sõjalisest agressioonist tulenevate rändeprobleemide lahendamiseks võetavate meetmete toetamiseks 100 euroni nädalas iga täisnädala või osalise nädala kohta, mil isik viibib asjaomases liikmesriigis, kokku maksimaalselt 26 nädala jooksul alates isiku liitu saabumise kuupäevast (määruse (EL) nr 1303/2013 artikli 68c muutmine);</w:t>
      </w:r>
    </w:p>
    <w:p w14:paraId="0E8B6CA9" w14:textId="77777777" w:rsidR="00AB6D32" w:rsidRPr="00EC5CFB" w:rsidRDefault="00AB6D32" w:rsidP="00027C97">
      <w:pPr>
        <w:pStyle w:val="Bullet1"/>
        <w:numPr>
          <w:ilvl w:val="0"/>
          <w:numId w:val="14"/>
        </w:numPr>
        <w:rPr>
          <w:noProof/>
        </w:rPr>
      </w:pPr>
      <w:r w:rsidRPr="00EC5CFB">
        <w:rPr>
          <w:noProof/>
        </w:rPr>
        <w:t>suurendada iga prioriteedi lõppmaksete tegemise paindlikkust fondi ja piirkonnakategooria kohta viimasel aruandeaastal 10 %-lt 15 %-le (määruse (EL) nr 1303/2013 artikli 130 lõike 3 muutmine);</w:t>
      </w:r>
    </w:p>
    <w:p w14:paraId="15D4414D" w14:textId="77777777" w:rsidR="00AB6D32" w:rsidRPr="00EC5CFB" w:rsidRDefault="00AB6D32" w:rsidP="00DD4B5E">
      <w:pPr>
        <w:pStyle w:val="Bullet1"/>
        <w:numPr>
          <w:ilvl w:val="0"/>
          <w:numId w:val="14"/>
        </w:numPr>
        <w:rPr>
          <w:noProof/>
        </w:rPr>
      </w:pPr>
      <w:r w:rsidRPr="00EC5CFB">
        <w:rPr>
          <w:noProof/>
        </w:rPr>
        <w:t>võimaldada programmide eraldiste ümberpaigutusi temaatiliste eesmärkide vahel sama prioriteedi ning sama fondi ja piirkonnakategooria raames ilma komisjoni otsuseta programmi muutmise kohta (määruse (EL) nr 1303/2013 artikli 30 ja artikli 96 lõike 10 muutmine);</w:t>
      </w:r>
    </w:p>
    <w:p w14:paraId="0AD9D967" w14:textId="4F4D5735" w:rsidR="00E10BE1" w:rsidRPr="00EC5CFB" w:rsidRDefault="00E10BE1" w:rsidP="00DD4B5E">
      <w:pPr>
        <w:pStyle w:val="Bullet1"/>
        <w:numPr>
          <w:ilvl w:val="0"/>
          <w:numId w:val="14"/>
        </w:numPr>
        <w:rPr>
          <w:noProof/>
        </w:rPr>
      </w:pPr>
      <w:r w:rsidRPr="00EC5CFB">
        <w:rPr>
          <w:noProof/>
        </w:rPr>
        <w:t>suurendada kõigis liikmesriikides ERFist, ESF+ist ja Ühtekuuluvusfondist tööhõivesse ja majanduskasvu investeerimise eesmärgi raames programmidele tehtavate eelmaksete määra 2022. aastal 0,5 % ja 2023. aastal 0,5 % fondidest antavast kogutoetusest, mis on sätestatud otsuses, millega programm heaks kiidetakse (määruse (EL) 2021/1060 artikli 90 lõike 2 muutmine);</w:t>
      </w:r>
    </w:p>
    <w:p w14:paraId="62760142" w14:textId="4CFF608A" w:rsidR="00AB6D32" w:rsidRPr="00EC5CFB" w:rsidRDefault="00AB6D32" w:rsidP="00DD4B5E">
      <w:pPr>
        <w:pStyle w:val="Bullet1"/>
        <w:numPr>
          <w:ilvl w:val="0"/>
          <w:numId w:val="14"/>
        </w:numPr>
        <w:rPr>
          <w:noProof/>
        </w:rPr>
      </w:pPr>
      <w:r w:rsidRPr="00EC5CFB">
        <w:rPr>
          <w:noProof/>
        </w:rPr>
        <w:t>võimaldada kuni 100 % kaasrahastamise määra kohaldamist kuni 30. juunini 2024 eraldi prioriteedi puhul, mis on kehtestatud programmi raames, et toetada tegevusi, millega edendatakse kolmandate riikide kodanike sotsiaal-majanduslikku integratsiooni. Vähemalt 30 % prioriteedi raames antavast toetusest tuleks eraldada toetusesaajatele, nagu kohalikud omavalitsused ja kohalikes kogukondades tegutsevad kodanikuühiskonna organisatsioonid, tagamaks, et seda liiki toetusesaajad saavad asjakohase osa vahenditest, arvestades nende aktiivset rolli pagulaste vastuvõtmisel ja integreerimisel. Selliste prioriteetide raames liikmesriigi programmiga hõlmatud kogusumma ei tohi ületada 5 % asjaomase liikmesriigi puhul ERFist ja ESF+ist saadavatest esialgsetest riiklikest eraldistest kokku. Kaasrahastamise määr kuni 100 % vaadatakse läbi 30. juuniks 2024 (määruse (EL) 2021/1060 artikli 112 muutmine);</w:t>
      </w:r>
    </w:p>
    <w:p w14:paraId="641B2DB2" w14:textId="3076663A" w:rsidR="00406A17" w:rsidRPr="00EC5CFB" w:rsidRDefault="00AB6D32" w:rsidP="00DD4B5E">
      <w:pPr>
        <w:pStyle w:val="Bullet1"/>
        <w:numPr>
          <w:ilvl w:val="0"/>
          <w:numId w:val="14"/>
        </w:numPr>
        <w:rPr>
          <w:noProof/>
        </w:rPr>
      </w:pPr>
      <w:r w:rsidRPr="00EC5CFB">
        <w:rPr>
          <w:noProof/>
        </w:rPr>
        <w:t xml:space="preserve">pidada rahastamiskõlblikuks ka 2021.–2027. aasta programmide raames selliseid tegevusi, mille kogukulud ületavad 1 000 000 eurot ning mis valiti toetuse saamiseks välja 2014.–2020. aasta programmide hulgast ja mida alustati enne 29. juunit 2022, ning võimaldada korraldusasutusel anda otsetoetusi tingimusel, et on täidetud piiratud arv põhitingimusi (määruse (EL) 2021/1060 uus artikkel 118a); </w:t>
      </w:r>
    </w:p>
    <w:p w14:paraId="01B4F503" w14:textId="77777777" w:rsidR="00C71348" w:rsidRPr="00EC5CFB" w:rsidRDefault="00406A17" w:rsidP="00DD4B5E">
      <w:pPr>
        <w:pStyle w:val="Bullet1"/>
        <w:numPr>
          <w:ilvl w:val="0"/>
          <w:numId w:val="14"/>
        </w:numPr>
        <w:rPr>
          <w:noProof/>
        </w:rPr>
      </w:pPr>
      <w:r w:rsidRPr="00EC5CFB">
        <w:rPr>
          <w:noProof/>
        </w:rPr>
        <w:t>lisada sihtotstarbelised sekkumise valdkonnad, et hõlmata etapipõhiseid tegevusi, mis muidu ei oleks aastatel 2021–2027 toetuskõlblikud (määruse (EL) 2021/1060 I lisa tabeli 1 muutmine).</w:t>
      </w:r>
    </w:p>
    <w:p w14:paraId="1628246C" w14:textId="77777777" w:rsidR="00C1332E" w:rsidRPr="00EC5CFB" w:rsidRDefault="00C1332E" w:rsidP="00E83480">
      <w:pPr>
        <w:rPr>
          <w:noProof/>
        </w:rPr>
        <w:sectPr w:rsidR="00C1332E" w:rsidRPr="00EC5CFB" w:rsidSect="00116713">
          <w:footerReference w:type="default" r:id="rId13"/>
          <w:footerReference w:type="first" r:id="rId14"/>
          <w:pgSz w:w="11907" w:h="16839"/>
          <w:pgMar w:top="1134" w:right="1417" w:bottom="1134" w:left="1417" w:header="709" w:footer="709" w:gutter="0"/>
          <w:cols w:space="720"/>
          <w:docGrid w:linePitch="360"/>
        </w:sectPr>
      </w:pPr>
    </w:p>
    <w:p w14:paraId="1D09FCC9" w14:textId="5700D84F" w:rsidR="003039C0" w:rsidRPr="00EC5CFB" w:rsidRDefault="00196291" w:rsidP="00196291">
      <w:pPr>
        <w:pStyle w:val="Rfrenceinterinstitutionnelle"/>
        <w:rPr>
          <w:noProof/>
        </w:rPr>
      </w:pPr>
      <w:r w:rsidRPr="00196291">
        <w:t>2022/0208 (COD)</w:t>
      </w:r>
    </w:p>
    <w:p w14:paraId="23336252" w14:textId="505694B3" w:rsidR="00C1332E" w:rsidRPr="00EC5CFB" w:rsidRDefault="00EC5CFB" w:rsidP="00EC5CFB">
      <w:pPr>
        <w:pStyle w:val="Statut"/>
        <w:rPr>
          <w:noProof/>
        </w:rPr>
      </w:pPr>
      <w:r w:rsidRPr="00EC5CFB">
        <w:rPr>
          <w:noProof/>
        </w:rPr>
        <w:t>Ettepanek:</w:t>
      </w:r>
    </w:p>
    <w:p w14:paraId="054F9938" w14:textId="7DF9288C" w:rsidR="00C1332E" w:rsidRPr="00EC5CFB" w:rsidRDefault="00EC5CFB" w:rsidP="00EC5CFB">
      <w:pPr>
        <w:pStyle w:val="Typedudocument"/>
        <w:rPr>
          <w:noProof/>
        </w:rPr>
      </w:pPr>
      <w:r w:rsidRPr="00EC5CFB">
        <w:rPr>
          <w:noProof/>
        </w:rPr>
        <w:t>EUROOPA PARLAMENDI JA NÕUKOGU MÄÄRUS,</w:t>
      </w:r>
    </w:p>
    <w:p w14:paraId="59B59A03" w14:textId="50DD2380" w:rsidR="00C1332E" w:rsidRPr="00EC5CFB" w:rsidRDefault="00EC5CFB" w:rsidP="00EC5CFB">
      <w:pPr>
        <w:pStyle w:val="Titreobjet"/>
        <w:rPr>
          <w:noProof/>
        </w:rPr>
      </w:pPr>
      <w:r w:rsidRPr="00EC5CFB">
        <w:rPr>
          <w:noProof/>
        </w:rPr>
        <w:t xml:space="preserve">millega muudetakse määrust (EL) nr 1303/2013 ja määrust (EL) 2021/1060 seoses täiendava paindlikkusega Venemaa Föderatsiooni sõjalise agressiooni tagajärgedega tegelemiseks </w:t>
      </w:r>
      <w:r w:rsidRPr="00EC5CFB">
        <w:rPr>
          <w:noProof/>
        </w:rPr>
        <w:br/>
        <w:t>FAST (paindlik abi territooriumidele) – CARE</w:t>
      </w:r>
    </w:p>
    <w:p w14:paraId="26E2466C" w14:textId="77777777" w:rsidR="00C1332E" w:rsidRPr="00EC5CFB" w:rsidRDefault="00586D7D">
      <w:pPr>
        <w:pStyle w:val="Institutionquiagit"/>
        <w:rPr>
          <w:noProof/>
        </w:rPr>
      </w:pPr>
      <w:r w:rsidRPr="00EC5CFB">
        <w:rPr>
          <w:noProof/>
        </w:rPr>
        <w:t>EUROOPA PARLAMENT JA EUROOPA LIIDU NÕUKOGU,</w:t>
      </w:r>
    </w:p>
    <w:p w14:paraId="51B47533" w14:textId="77777777" w:rsidR="00C1332E" w:rsidRPr="00EC5CFB" w:rsidRDefault="00586D7D">
      <w:pPr>
        <w:rPr>
          <w:noProof/>
        </w:rPr>
      </w:pPr>
      <w:r w:rsidRPr="00EC5CFB">
        <w:rPr>
          <w:noProof/>
        </w:rPr>
        <w:t xml:space="preserve">võttes arvesse Euroopa Liidu toimimise lepingut, eriti selle artiklit 177, </w:t>
      </w:r>
    </w:p>
    <w:p w14:paraId="130108CF" w14:textId="77777777" w:rsidR="00C1332E" w:rsidRPr="00EC5CFB" w:rsidRDefault="00586D7D">
      <w:pPr>
        <w:rPr>
          <w:noProof/>
        </w:rPr>
      </w:pPr>
      <w:r w:rsidRPr="00EC5CFB">
        <w:rPr>
          <w:noProof/>
        </w:rPr>
        <w:t>võttes arvesse Euroopa Komisjoni ettepanekut,</w:t>
      </w:r>
    </w:p>
    <w:p w14:paraId="29BBBA87" w14:textId="77777777" w:rsidR="00C1332E" w:rsidRPr="00EC5CFB" w:rsidRDefault="00586D7D">
      <w:pPr>
        <w:rPr>
          <w:noProof/>
        </w:rPr>
      </w:pPr>
      <w:r w:rsidRPr="00EC5CFB">
        <w:rPr>
          <w:noProof/>
        </w:rPr>
        <w:t>olles edastanud seadusandliku akti eelnõu liikmesriikide parlamentidele,</w:t>
      </w:r>
    </w:p>
    <w:p w14:paraId="21EF91E7" w14:textId="77777777" w:rsidR="00C1332E" w:rsidRPr="00EC5CFB" w:rsidRDefault="00586D7D">
      <w:pPr>
        <w:rPr>
          <w:noProof/>
        </w:rPr>
      </w:pPr>
      <w:r w:rsidRPr="00EC5CFB">
        <w:rPr>
          <w:noProof/>
        </w:rPr>
        <w:t>võttes arvesse Euroopa Majandus- ja Sotsiaalkomitee arvamust,</w:t>
      </w:r>
      <w:r w:rsidRPr="00EC5CFB">
        <w:rPr>
          <w:rStyle w:val="FootnoteReference"/>
          <w:noProof/>
        </w:rPr>
        <w:footnoteReference w:id="5"/>
      </w:r>
      <w:r w:rsidRPr="00EC5CFB">
        <w:rPr>
          <w:noProof/>
        </w:rPr>
        <w:t xml:space="preserve"> </w:t>
      </w:r>
    </w:p>
    <w:p w14:paraId="7EBD21FB" w14:textId="77777777" w:rsidR="00C1332E" w:rsidRPr="00EC5CFB" w:rsidRDefault="00340EA6">
      <w:pPr>
        <w:rPr>
          <w:noProof/>
        </w:rPr>
      </w:pPr>
      <w:r w:rsidRPr="00EC5CFB">
        <w:rPr>
          <w:noProof/>
        </w:rPr>
        <w:t>võttes arvesse Regioonide Komitee arvamust,</w:t>
      </w:r>
      <w:r w:rsidRPr="00EC5CFB">
        <w:rPr>
          <w:rStyle w:val="FootnoteReference"/>
          <w:noProof/>
        </w:rPr>
        <w:footnoteReference w:id="6"/>
      </w:r>
    </w:p>
    <w:p w14:paraId="38CD9CEF" w14:textId="77777777" w:rsidR="00C1332E" w:rsidRPr="00EC5CFB" w:rsidRDefault="00586D7D">
      <w:pPr>
        <w:rPr>
          <w:noProof/>
        </w:rPr>
      </w:pPr>
      <w:r w:rsidRPr="00EC5CFB">
        <w:rPr>
          <w:noProof/>
        </w:rPr>
        <w:t>toimides seadusandliku tavamenetluse kohaselt</w:t>
      </w:r>
    </w:p>
    <w:p w14:paraId="430A5551" w14:textId="77777777" w:rsidR="00C1332E" w:rsidRPr="00EC5CFB" w:rsidRDefault="00586D7D">
      <w:pPr>
        <w:rPr>
          <w:noProof/>
        </w:rPr>
      </w:pPr>
      <w:r w:rsidRPr="00EC5CFB">
        <w:rPr>
          <w:noProof/>
        </w:rPr>
        <w:t>ning arvestades järgmist:</w:t>
      </w:r>
    </w:p>
    <w:p w14:paraId="7E77CBC1" w14:textId="44E089D7" w:rsidR="00D91CF7" w:rsidRPr="00EC5CFB" w:rsidRDefault="00F15559" w:rsidP="00F15559">
      <w:pPr>
        <w:pStyle w:val="ManualConsidrant"/>
        <w:rPr>
          <w:noProof/>
        </w:rPr>
      </w:pPr>
      <w:r w:rsidRPr="00F15559">
        <w:t>(1)</w:t>
      </w:r>
      <w:r w:rsidRPr="00F15559">
        <w:tab/>
      </w:r>
      <w:r w:rsidR="002B1527" w:rsidRPr="00EC5CFB">
        <w:rPr>
          <w:noProof/>
        </w:rPr>
        <w:t>Venemaa Föderatsiooni sõjaline agressioon Ukraina vastu on mõjutanud rängalt liikmesriike ning eelkõige Euroopa Liidu kesk- ja idapiirkondi ajal, mil liikmesriikide majandus taastub veel COVID-19 pandeemia mõjust. Samaaegselt Venemaa agressiooni eest põgenevate inimeste pideva sissevooluga mõjutavad paljusid liikmesriike ka tööjõupuudus, tarneahelaga seotud raskused ning tõusvad hinnad ja energiakulud. Ühelt poolt põhjustab see probleeme avaliku sektori eelarvetele ja teiselt poolt aeglustab investeeringute rakendamist. See on tekitanud erakorralise olukorra, millega tuleb tegeleda konkreetsete ja hästi suunatud meetmetega, et ei oleks vaja teha muudatusi mitmeaastase finantsraamistiku kulukohustuste ja maksete iga-aastastes ülemmäärades, mis on sätestatud nõukogu määruse (EL, Euratom) 2020/2093</w:t>
      </w:r>
      <w:r w:rsidR="002B1527" w:rsidRPr="00EC5CFB">
        <w:rPr>
          <w:rStyle w:val="FootnoteReference"/>
          <w:noProof/>
        </w:rPr>
        <w:footnoteReference w:id="7"/>
      </w:r>
      <w:r w:rsidR="002B1527" w:rsidRPr="00EC5CFB">
        <w:rPr>
          <w:noProof/>
        </w:rPr>
        <w:t xml:space="preserve"> I lisas, ning vältida majanduse rohelisel, digitaalsel ja vastupidaval viisil taastamises tagasilööke.</w:t>
      </w:r>
    </w:p>
    <w:p w14:paraId="54D0A851" w14:textId="7EA96DA7" w:rsidR="00182F8D" w:rsidRPr="00EC5CFB" w:rsidRDefault="00F15559" w:rsidP="00F15559">
      <w:pPr>
        <w:pStyle w:val="ManualConsidrant"/>
        <w:rPr>
          <w:noProof/>
        </w:rPr>
      </w:pPr>
      <w:r w:rsidRPr="00F15559">
        <w:t>(2)</w:t>
      </w:r>
      <w:r w:rsidRPr="00F15559">
        <w:tab/>
      </w:r>
      <w:r w:rsidR="006941F3" w:rsidRPr="00EC5CFB">
        <w:rPr>
          <w:noProof/>
        </w:rPr>
        <w:t>Selleks et leevendada kasvavat koormust riikide eelarvetele, tehti Euroopa Parlamendi ja nõukogu määrusega (EL) 2022/562</w:t>
      </w:r>
      <w:r w:rsidR="006941F3" w:rsidRPr="00EC5CFB">
        <w:rPr>
          <w:rStyle w:val="FootnoteReference"/>
          <w:noProof/>
        </w:rPr>
        <w:footnoteReference w:id="8"/>
      </w:r>
      <w:r w:rsidR="006941F3" w:rsidRPr="00EC5CFB">
        <w:rPr>
          <w:noProof/>
        </w:rPr>
        <w:t xml:space="preserve"> sihipäraseid muudatusi Euroopa Parlamendi ja nõukogu määruses (EL) nr 1303/2013</w:t>
      </w:r>
      <w:r w:rsidR="006941F3" w:rsidRPr="00EC5CFB">
        <w:rPr>
          <w:rStyle w:val="FootnoteReference"/>
          <w:noProof/>
        </w:rPr>
        <w:footnoteReference w:id="9"/>
      </w:r>
      <w:r w:rsidR="006941F3" w:rsidRPr="00EC5CFB">
        <w:rPr>
          <w:noProof/>
        </w:rPr>
        <w:t xml:space="preserve"> ning Euroopa Parlamendi ja nõukogu määruses (EL) nr 223/2014</w:t>
      </w:r>
      <w:r w:rsidR="006941F3" w:rsidRPr="00EC5CFB">
        <w:rPr>
          <w:rStyle w:val="FootnoteReference"/>
          <w:noProof/>
        </w:rPr>
        <w:footnoteReference w:id="10"/>
      </w:r>
      <w:r w:rsidR="006941F3" w:rsidRPr="00EC5CFB">
        <w:rPr>
          <w:noProof/>
        </w:rPr>
        <w:t>, et liikmesriikidel oleks lihtsam kasutada Euroopa Regionaalarengu Fondi (ERF), Euroopa Sotsiaalfondi (ESF) ja enim puudust kannatavate isikute jaoks loodud Euroopa abifondi (FEAD) vahendeid, mis olid alles mitmeaastase finantsraamistiku 2014–2020 eraldistest, ning kasutada REACT-EU vahendeid, et tegeleda Venemaa Föderatsiooni sõjalisest agressioonist tulenevate rändeprobleemidega nii tõhusalt ja kiiresti kui võimalik.</w:t>
      </w:r>
    </w:p>
    <w:p w14:paraId="63D61958" w14:textId="44D6C752" w:rsidR="00D91CF7" w:rsidRPr="00EC5CFB" w:rsidRDefault="00F15559" w:rsidP="00F15559">
      <w:pPr>
        <w:pStyle w:val="ManualConsidrant"/>
        <w:rPr>
          <w:noProof/>
        </w:rPr>
      </w:pPr>
      <w:r w:rsidRPr="00F15559">
        <w:t>(3)</w:t>
      </w:r>
      <w:r w:rsidRPr="00F15559">
        <w:tab/>
      </w:r>
      <w:r w:rsidR="001E71F7" w:rsidRPr="00EC5CFB">
        <w:rPr>
          <w:noProof/>
        </w:rPr>
        <w:t>Lisaks on Euroopa Parlamendi ja nõukogu määrusega (EL) 2022/613</w:t>
      </w:r>
      <w:r w:rsidR="001E71F7" w:rsidRPr="00EC5CFB">
        <w:rPr>
          <w:rStyle w:val="FootnoteReference"/>
          <w:noProof/>
        </w:rPr>
        <w:footnoteReference w:id="11"/>
      </w:r>
      <w:r w:rsidR="001E71F7" w:rsidRPr="00EC5CFB">
        <w:rPr>
          <w:noProof/>
          <w:vertAlign w:val="superscript"/>
        </w:rPr>
        <w:t xml:space="preserve"> </w:t>
      </w:r>
      <w:r w:rsidR="001E71F7" w:rsidRPr="00EC5CFB">
        <w:rPr>
          <w:noProof/>
        </w:rPr>
        <w:t xml:space="preserve">nähtud ette täiendavad võimalused vahendite kiireks kasutuselevõtmiseks, et katta liikmesriikide otsesed eelarvekulud, ning kehtestatud ühikuhind, et hõlbustada ajutise kaitse saanud isikute põhivajaduste rahastamist ja nende toetamist. </w:t>
      </w:r>
    </w:p>
    <w:p w14:paraId="279730B8" w14:textId="1A18CF56" w:rsidR="00020FF8" w:rsidRPr="00EC5CFB" w:rsidRDefault="00F15559" w:rsidP="00F15559">
      <w:pPr>
        <w:pStyle w:val="ManualConsidrant"/>
        <w:rPr>
          <w:noProof/>
        </w:rPr>
      </w:pPr>
      <w:r w:rsidRPr="00F15559">
        <w:t>(4)</w:t>
      </w:r>
      <w:r w:rsidRPr="00F15559">
        <w:tab/>
      </w:r>
      <w:r w:rsidR="00F36932" w:rsidRPr="00EC5CFB">
        <w:rPr>
          <w:noProof/>
        </w:rPr>
        <w:t xml:space="preserve">Võttes arvesse Venemaa sissetungi laiaulatuslikku olemust, tuleks liikmesriikidele siiski näha ette täiendavad erandid, mis võimaldaksid liikmesriikidel keskenduda praeguses enneolematus sotsiaal-majanduslikus olukorras vajalike meetmete võtmisele, eelkõige seoses tegevustega, mis on suunatud Venemaa Föderatsiooni sõjalisest agressioonist tulenevatele rändeprobleemidele. </w:t>
      </w:r>
    </w:p>
    <w:p w14:paraId="6E34BDF6" w14:textId="77913E88" w:rsidR="00020FF8" w:rsidRPr="00EC5CFB" w:rsidRDefault="00F15559" w:rsidP="00F15559">
      <w:pPr>
        <w:pStyle w:val="ManualConsidrant"/>
        <w:rPr>
          <w:noProof/>
        </w:rPr>
      </w:pPr>
      <w:r w:rsidRPr="00F15559">
        <w:t>(5)</w:t>
      </w:r>
      <w:r w:rsidRPr="00F15559">
        <w:tab/>
      </w:r>
      <w:r w:rsidR="00D06C6A" w:rsidRPr="00EC5CFB">
        <w:rPr>
          <w:noProof/>
        </w:rPr>
        <w:t xml:space="preserve">Võttes arvesse Venemaa Föderatsiooni sõjalisest agressioonist tulenevat täiendavat survet avaliku sektori eelarvetele, tuleks määruse (EL) nr 1303/2013 artikli 98 lõikes 4 sätestatud paindlikkust ERFi ja ESFi kasutamisel asjaomaste tegevuste puhul laiendada ka Ühtekuuluvusfondile, nii et selle vahendeid saaks kasutada ka ERFi või ESFi kohaldamisalasse kuuluvate tegevuste toetamiseks vastavalt kõnealuste fondide suhtes kohaldatavatele eeskirjadele. Lisaks on asjakohane laiendada määruse (EL) nr 1303/2013 artikli 98 lõikes 4 sätestatud piiratud järelevalve nõudeid ESFist toetatavatele rändeprobleemidega seotud tegevustele, kui need tegevused on kavandatud prioriteetse suuna all, mis käsitleb üksnes asjaomast probleemi. Peale selle tuleks kolmandate riikide kodanike sotsiaal-majanduslikku integratsiooni edendavate prioriteetide, sealhulgas Venemaa agressioonist tulenevaid rändeprobleeme lahendavate tegevuste jaoks ette nähtud prioriteetide puhul kehtestada mõlemaks programmitöö perioodiks kuni 100 % kaasrahastamise määra võimalus, et toetada liikmesriike, kes tegelevad põgenikega nii praegu kui ka tulevikus. Samuti tuleks pagulaste põhivajaduste rahastamise ja nende toetamise hõlbustamiseks suurendada ühikuhinna summat ning pikendada selle kohaldamise aega. </w:t>
      </w:r>
    </w:p>
    <w:p w14:paraId="78686C44" w14:textId="03DAAFA7" w:rsidR="00821190" w:rsidRPr="00EC5CFB" w:rsidRDefault="00F15559" w:rsidP="00F15559">
      <w:pPr>
        <w:pStyle w:val="ManualConsidrant"/>
        <w:rPr>
          <w:noProof/>
        </w:rPr>
      </w:pPr>
      <w:r w:rsidRPr="00F15559">
        <w:t>(6)</w:t>
      </w:r>
      <w:r w:rsidRPr="00F15559">
        <w:tab/>
      </w:r>
      <w:r w:rsidR="00D06C6A" w:rsidRPr="00EC5CFB">
        <w:rPr>
          <w:noProof/>
        </w:rPr>
        <w:t>Lisaks ei ole Venemaa Föderatsiooni sõjalisest agressioonist tulenevate rändeprobleemide lahendamisele suunatud tegevuste rahastamiskõlblikkuse alguskuupäeva määramine 24. veebruarile 2022 osutunud piisavaks, et tagada kõigi asjaomaseid probleeme lahendavate tegevuste toetamine fondide abil. Seepärast on asjakohane lubada erandkorras valida selliseid tegevusi enne sellega seotud programmi muudatuse heakskiitmist ning käsitada selliste tegevuste kulusid rahastamiskõlblikuna, mis on füüsiliselt lõpetatud või täielikult ellu viidud, laiendades vastavat paindlikkust ka EMKFist toetatavatele tegevustele, mis on suunatud Venemaa agressioonist tulenevatele tagajärgedele kalandus- ja vesiviljelussektoris. Võttes arvesse rahaliste vahendite piiratust kõige enam mõjutatud piirkondades, peaks olema võimalik toetada selliseid tegevusi asjaomases liikmesriigis väljaspool programmipiirkonda, arvestades, et olukord, kus inimesed põgenevad Venemaa agressiooni eest ning liiguvad liikmesriikide sees ja vahel, kujutab endast väljakutset liidu kui terviku majanduslikule, sotsiaalsele ja territoriaalsele ühtekuuluvusele. Seetõttu peaksid sellised tegevused olema rahastamiskõlblikud olenemata sellest, kus neid asjaomases liikmesriigis rakendatakse, sest nende asukoht ei ole lõppkokkuvõttes otsustav kriteerium esmavajaduste rahuldamisel.</w:t>
      </w:r>
    </w:p>
    <w:p w14:paraId="590E6E1A" w14:textId="366961D3" w:rsidR="00E8243D" w:rsidRPr="00EC5CFB" w:rsidRDefault="00F15559" w:rsidP="00F15559">
      <w:pPr>
        <w:pStyle w:val="ManualConsidrant"/>
        <w:rPr>
          <w:noProof/>
        </w:rPr>
      </w:pPr>
      <w:r w:rsidRPr="00F15559">
        <w:t>(7)</w:t>
      </w:r>
      <w:r w:rsidRPr="00F15559">
        <w:tab/>
      </w:r>
      <w:r w:rsidR="00E8243D" w:rsidRPr="00EC5CFB">
        <w:rPr>
          <w:noProof/>
        </w:rPr>
        <w:t xml:space="preserve">Võttes arvesse Venemaa Föderatsiooni sõjalisest agressioonist tulenevate rändeprobleemide lahendamisel tekkivat suurt koormust, mis on langenud kohalikele omavalitsustele ja kohalikes kogukondades tegutsevatele kodanikuühiskonna organisatsioonidele, tuleks selliste asutuste ja organisatsioonide jaoks ette näha vähemalt 30 % suurune toetus vahenditest, mida kasutatakse ERFi või ESFi kohaldamisalasse kuuluvate tegevuste toetamiseks vastavalt määruse (EL) nr 1303/2013 artikli 98 lõike 4 esimesele ja teisele lõigule. </w:t>
      </w:r>
    </w:p>
    <w:p w14:paraId="19A2CFF6" w14:textId="0B82DD1D" w:rsidR="00F36932" w:rsidRPr="00EC5CFB" w:rsidRDefault="00F15559" w:rsidP="00F15559">
      <w:pPr>
        <w:pStyle w:val="ManualConsidrant"/>
        <w:rPr>
          <w:noProof/>
        </w:rPr>
      </w:pPr>
      <w:r w:rsidRPr="00F15559">
        <w:t>(8)</w:t>
      </w:r>
      <w:r w:rsidRPr="00F15559">
        <w:tab/>
      </w:r>
      <w:r w:rsidR="00F37942" w:rsidRPr="00EC5CFB">
        <w:rPr>
          <w:noProof/>
        </w:rPr>
        <w:t xml:space="preserve">Liikmesriikide halduskoormuse leevendamiseks, et võtta arvesse muutuvaid vajadusi ja rakenduskavaga ettenähtud rahaliste eraldiste järgimist, tuleks kehtestada üldmeede, millega kaotatakse vajadus rakenduskava ametliku muutmise järele programmitöö perioodil 2014–2020, et võimaldada ümberpaigutusi valdkondlike eesmärkide vahel sama fondi prioriteedi ja piirkonnakategooria raames. </w:t>
      </w:r>
    </w:p>
    <w:p w14:paraId="1610D527" w14:textId="3648376B" w:rsidR="00C35C28" w:rsidRPr="00EC5CFB" w:rsidRDefault="00F15559" w:rsidP="00F15559">
      <w:pPr>
        <w:pStyle w:val="ManualConsidrant"/>
        <w:rPr>
          <w:noProof/>
        </w:rPr>
      </w:pPr>
      <w:r w:rsidRPr="00F15559">
        <w:t>(9)</w:t>
      </w:r>
      <w:r w:rsidRPr="00F15559">
        <w:tab/>
      </w:r>
      <w:r w:rsidR="003C0C5B" w:rsidRPr="00EC5CFB">
        <w:rPr>
          <w:noProof/>
        </w:rPr>
        <w:t>Selleks et optimeerida 2014.–2020. aasta eraldiste kasutamist 2014.–2020. aasta programmitöö perioodi programmide lõpetamise kontekstis, tuleks fondide toetuse lõppmakse arvutamisel suurendada prioriteetide vahelise paindlikkuse ülemmäära.</w:t>
      </w:r>
    </w:p>
    <w:p w14:paraId="1ECE0945" w14:textId="6A3960EC" w:rsidR="00911BF5" w:rsidRPr="00EC5CFB" w:rsidRDefault="00F15559" w:rsidP="00F15559">
      <w:pPr>
        <w:pStyle w:val="ManualConsidrant"/>
        <w:rPr>
          <w:noProof/>
        </w:rPr>
      </w:pPr>
      <w:r w:rsidRPr="00F15559">
        <w:t>(10)</w:t>
      </w:r>
      <w:r w:rsidRPr="00F15559">
        <w:tab/>
      </w:r>
      <w:r w:rsidR="00F677CA" w:rsidRPr="00EC5CFB">
        <w:rPr>
          <w:noProof/>
        </w:rPr>
        <w:t>Enneolematu olukorraga tegelemiseks tuleks ette näha ka teatavad paindlikkusmeetmed 2021.–2027. aasta programmitöö perioodi programme reguleerivas õigusraamistikus. Liikmesriikide eelarvete koormuse vähendamiseks tuleks suurendada tööhõivesse ja majanduskasvu investeerimise eesmärgi alla kuuluvate programmide eelmakseid. Lisaks, võttes arvesse probleeme, mis tulenevad inimeste ümberasumisest ja integreeritud meetmetest, mida liikmesriigid peavad võtma, siis juhul, kui liikmesriik seab ühe oma 2021.–2027. aasta ühtekuuluvusprogrammi raames prioriteediks kolmandate riikide kodanike sotsiaal-majanduslikku integratsiooni edendavate meetmete toetamise, peaks selle prioriteedi kuni 100 % kaasrahastamise määra olema võimalik kohaldada kuni 30. juunini 2024, tingimusel et asjakohane toetuse tase on ette nähtud kohalikele omavalitsustele ja kohalikes kogukondades tegutsevatele kodanikuühiskonna organisatsioonidele ning et selliste prioriteetide raames liikmesriigi programmiga hõlmatud kogusumma ei ületa 5 % asjaomase liikmesriigi puhul ERFist ja ESF+ist saadavatest esialgsetest riiklikest eraldistest kokku. See ei piira liikmesriikide võimalust kavandada selliste prioriteetide jaoks täiendavaid summasid tavapäraste kaasrahastamise määradega. Võttes samuti arvesse Venemaa sõjalisest agressioonist tulenevaid häireid 2014.–2020. aasta programmitöö perioodi lõpus, mis lisanduvad projektide rakendamisele avalduvatele pandeemia pikaajalistele tagajärgedele ja jätkuvatele häiretele väärtusahelates, tuleks ette näha ka täiendav paindlikkus, et võimaldada otsetoetuse andmist ja selliste tegevuste lõpetamist, mille rakendamine oli alanud kooskõlas 2014.–2020. aasta õigusraamistikuga enne käesoleva seadusandliku ettepaneku kuupäeva, isegi kui sellised tegevused ei kuuluks 2021.–2027. aasta programmitöö perioodi vastava fondi kohaldamisalasse, välja arvatud juhul, kui fonde kasutati määruse (EL) nr 1303/2013 artikli 98 lõike 4 esimese või teise lõigu alusel. Tagamaks, et selliseid tegevusi saab seostada sekkumise liikidega, tuleks Euroopa Parlamendi ja nõukogu määruse (EL) 2021/1060</w:t>
      </w:r>
      <w:r w:rsidR="00F677CA" w:rsidRPr="00EC5CFB">
        <w:rPr>
          <w:rStyle w:val="FootnoteReference"/>
          <w:noProof/>
        </w:rPr>
        <w:footnoteReference w:id="12"/>
      </w:r>
      <w:r w:rsidR="00F677CA" w:rsidRPr="00EC5CFB">
        <w:rPr>
          <w:noProof/>
        </w:rPr>
        <w:t xml:space="preserve"> I lisa vastavalt kohandada. Selliste tegevuste toetamine ei peaks mõjutama liikmesriikide kohustusi täita valdkondliku keskendamise nõudeid ja kliimapanuse eesmärke.</w:t>
      </w:r>
    </w:p>
    <w:p w14:paraId="61465636" w14:textId="182BFA98" w:rsidR="00C1332E" w:rsidRPr="00EC5CFB" w:rsidRDefault="00F15559" w:rsidP="00F15559">
      <w:pPr>
        <w:pStyle w:val="ManualConsidrant"/>
        <w:rPr>
          <w:noProof/>
        </w:rPr>
      </w:pPr>
      <w:r w:rsidRPr="00F15559">
        <w:t>(11)</w:t>
      </w:r>
      <w:r w:rsidRPr="00F15559">
        <w:tab/>
      </w:r>
      <w:r w:rsidR="00586D7D" w:rsidRPr="00EC5CFB">
        <w:rPr>
          <w:noProof/>
        </w:rPr>
        <w:t>Kuna käesoleva määruse eesmärki – aidata liikmesriikidel tegeleda katsumustega, mida põhjustab erakordselt suur arv liitu saabuvaid inimesi, kes põgenevad Ukraina vastu suunatud Venemaa Föderatsiooni sõjalise agressiooni eest, ning toetada liikmesriike nende jätkuvates püüdlustes saavutada majanduse vastupidav taastumine COVID-19 pandeemiast – saab pakutud meetmete ulatuse ja mõju tõttu paremini saavutada liidu tasandil, võib liit võtta meetmeid kooskõlas Euroopa Liidu lepingu (ELi leping) artiklis 5 sätestatud subsidiaarsuse põhimõttega. Kõnealuses artiklis sätestatud proportsionaalsuse põhimõtte kohaselt ei lähe käesolev määrus nende eesmärkide saavutamiseks vajalikust kaugemale.</w:t>
      </w:r>
    </w:p>
    <w:p w14:paraId="62662DA8" w14:textId="35E7C98D" w:rsidR="00C1332E" w:rsidRPr="00EC5CFB" w:rsidRDefault="00F15559" w:rsidP="00F15559">
      <w:pPr>
        <w:pStyle w:val="ManualConsidrant"/>
        <w:rPr>
          <w:noProof/>
        </w:rPr>
      </w:pPr>
      <w:r w:rsidRPr="00F15559">
        <w:t>(12)</w:t>
      </w:r>
      <w:r w:rsidRPr="00F15559">
        <w:tab/>
      </w:r>
      <w:r w:rsidR="00586D7D" w:rsidRPr="00EC5CFB">
        <w:rPr>
          <w:noProof/>
        </w:rPr>
        <w:t>Määrusi (EL) nr 1303/2013 ja (EL) 2021/1060 tuleks seepärast vastavalt muuta.</w:t>
      </w:r>
    </w:p>
    <w:p w14:paraId="04F27049" w14:textId="575368C9" w:rsidR="00E2601F" w:rsidRPr="00EC5CFB" w:rsidRDefault="00F15559" w:rsidP="00F15559">
      <w:pPr>
        <w:pStyle w:val="ManualConsidrant"/>
        <w:rPr>
          <w:noProof/>
        </w:rPr>
      </w:pPr>
      <w:r w:rsidRPr="00F15559">
        <w:t>(13)</w:t>
      </w:r>
      <w:r w:rsidRPr="00F15559">
        <w:tab/>
      </w:r>
      <w:r w:rsidR="00E2601F" w:rsidRPr="00EC5CFB">
        <w:rPr>
          <w:noProof/>
        </w:rPr>
        <w:t>Võttes arvesse kiireloomulist vajadust leevendada kiiresti survet avaliku sektori eelarvetele, et säilitada liikmesriikide suutlikkus toetada majanduse taastumist, peetakse asjakohaseks teha erand ELi lepingule, Euroopa Liidu toimimise lepingule ja Euroopa Aatomienergiaühenduse asutamislepingule lisatud protokolli nr 1 (riikide parlamentide rolli kohta Euroopa Liidus) artiklis 4 sätestatud kaheksa nädala pikkusest tähtajast.</w:t>
      </w:r>
    </w:p>
    <w:p w14:paraId="63CA435C" w14:textId="765288B4" w:rsidR="00C1332E" w:rsidRPr="00EC5CFB" w:rsidRDefault="00F15559" w:rsidP="00F15559">
      <w:pPr>
        <w:pStyle w:val="ManualConsidrant"/>
        <w:rPr>
          <w:noProof/>
        </w:rPr>
      </w:pPr>
      <w:r w:rsidRPr="00F15559">
        <w:t>(14)</w:t>
      </w:r>
      <w:r w:rsidRPr="00F15559">
        <w:tab/>
      </w:r>
      <w:r w:rsidR="00E2601F" w:rsidRPr="00EC5CFB">
        <w:rPr>
          <w:noProof/>
        </w:rPr>
        <w:t xml:space="preserve">Pidades silmas vajadust leevendada kiiresti survet avaliku sektori eelarvetele, et säilitada liikmesriikide suutlikkus jätkata majanduse taastamise protsessi, ning võimaldada kiiret programmide tegevuste üleviimist 2021.–2027. aasta programmitöö perioodile, peaks käesolev määrus jõustuma kiireloomulisena järgmisel päeval pärast selle avaldamist </w:t>
      </w:r>
      <w:r w:rsidR="00E2601F" w:rsidRPr="00EC5CFB">
        <w:rPr>
          <w:i/>
          <w:noProof/>
        </w:rPr>
        <w:t>Euroopa Liidu Teatajas</w:t>
      </w:r>
      <w:r w:rsidR="00E2601F" w:rsidRPr="00EC5CFB">
        <w:rPr>
          <w:noProof/>
        </w:rPr>
        <w:t>,</w:t>
      </w:r>
    </w:p>
    <w:p w14:paraId="61870C04" w14:textId="77777777" w:rsidR="00C1332E" w:rsidRPr="00EC5CFB" w:rsidRDefault="00586D7D">
      <w:pPr>
        <w:pStyle w:val="Formuledadoption"/>
        <w:rPr>
          <w:noProof/>
        </w:rPr>
      </w:pPr>
      <w:r w:rsidRPr="00EC5CFB">
        <w:rPr>
          <w:noProof/>
        </w:rPr>
        <w:t>ON VASTU VÕTNUD KÄESOLEVA MÄÄRUSE:</w:t>
      </w:r>
    </w:p>
    <w:p w14:paraId="14E4EF5D" w14:textId="77777777" w:rsidR="00C1332E" w:rsidRPr="00EC5CFB" w:rsidRDefault="00586D7D">
      <w:pPr>
        <w:pStyle w:val="Titrearticle"/>
        <w:rPr>
          <w:noProof/>
        </w:rPr>
      </w:pPr>
      <w:r w:rsidRPr="00EC5CFB">
        <w:rPr>
          <w:noProof/>
        </w:rPr>
        <w:t>Artikkel 1</w:t>
      </w:r>
    </w:p>
    <w:p w14:paraId="2DBF8A91" w14:textId="77777777" w:rsidR="00C71348" w:rsidRPr="00EC5CFB" w:rsidRDefault="00C71348" w:rsidP="00C71348">
      <w:pPr>
        <w:jc w:val="center"/>
        <w:rPr>
          <w:b/>
          <w:noProof/>
        </w:rPr>
      </w:pPr>
      <w:r w:rsidRPr="00EC5CFB">
        <w:rPr>
          <w:b/>
          <w:noProof/>
        </w:rPr>
        <w:t>Määruse (EL) nr 1303/2013 muutmine</w:t>
      </w:r>
    </w:p>
    <w:p w14:paraId="2833B6F7" w14:textId="77777777" w:rsidR="00396995" w:rsidRPr="00EC5CFB" w:rsidRDefault="00396995" w:rsidP="00396995">
      <w:pPr>
        <w:jc w:val="left"/>
        <w:rPr>
          <w:noProof/>
        </w:rPr>
      </w:pPr>
      <w:r w:rsidRPr="00EC5CFB">
        <w:rPr>
          <w:noProof/>
        </w:rPr>
        <w:t>Määrust (EL) nr 1303/2013 muudetakse järgmiselt.</w:t>
      </w:r>
    </w:p>
    <w:p w14:paraId="62FEF6D9" w14:textId="77777777" w:rsidR="00E220EC" w:rsidRPr="00EC5CFB" w:rsidRDefault="00E220EC" w:rsidP="00E220EC">
      <w:pPr>
        <w:pStyle w:val="Point0"/>
        <w:rPr>
          <w:noProof/>
        </w:rPr>
      </w:pPr>
      <w:r w:rsidRPr="00EC5CFB">
        <w:rPr>
          <w:noProof/>
        </w:rPr>
        <w:t>(1)</w:t>
      </w:r>
      <w:r w:rsidRPr="00EC5CFB">
        <w:rPr>
          <w:noProof/>
        </w:rPr>
        <w:tab/>
        <w:t xml:space="preserve">Artiklisse 30 lisatakse järgmised lõiked: </w:t>
      </w:r>
    </w:p>
    <w:p w14:paraId="6A50C9DB" w14:textId="77777777" w:rsidR="00E220EC" w:rsidRPr="00EC5CFB" w:rsidRDefault="00E220EC" w:rsidP="003E0E5F">
      <w:pPr>
        <w:pStyle w:val="Text1"/>
        <w:rPr>
          <w:noProof/>
        </w:rPr>
      </w:pPr>
      <w:r w:rsidRPr="00EC5CFB">
        <w:rPr>
          <w:noProof/>
        </w:rPr>
        <w:t xml:space="preserve">„6. Erandina lõigetest 1 ja 2 võib liikmesriik ERFist, ESFist või Ühtekuuluvusfondist toetatavate programmide puhul paigutada rahalisi eraldisi ümber sama fondi sama prioriteedi eri valdkondlike eesmärkide ja sama programmi piirkonnakategooria vahel. </w:t>
      </w:r>
    </w:p>
    <w:p w14:paraId="385CCD65" w14:textId="77777777" w:rsidR="004700C1" w:rsidRPr="00EC5CFB" w:rsidRDefault="00E220EC" w:rsidP="003E0E5F">
      <w:pPr>
        <w:pStyle w:val="Text1"/>
        <w:rPr>
          <w:noProof/>
        </w:rPr>
      </w:pPr>
      <w:r w:rsidRPr="00EC5CFB">
        <w:rPr>
          <w:noProof/>
        </w:rPr>
        <w:t>Selliseid ümberpaigutusi ei käsitata olulisena ja nende tegemiseks ei ole vaja komisjoni otsust programmi muutmise kohta. Siiski peavad need vastama kõigile regulatiivsetele nõuetele ja seirekomisjon peab need eelnevalt heaks kiitma. Liikmesriik edastab muudetud finantstabelid komisjonile.</w:t>
      </w:r>
    </w:p>
    <w:p w14:paraId="5B4078AD" w14:textId="77777777" w:rsidR="00E220EC" w:rsidRPr="00EC5CFB" w:rsidRDefault="004700C1" w:rsidP="003E0E5F">
      <w:pPr>
        <w:pStyle w:val="Text1"/>
        <w:rPr>
          <w:noProof/>
        </w:rPr>
      </w:pPr>
      <w:r w:rsidRPr="00EC5CFB">
        <w:rPr>
          <w:noProof/>
        </w:rPr>
        <w:t xml:space="preserve">7. Erandina lõigetest 1 ja 2 ei ole artikli 120 lõike 9 kohaselt kuni 100 % kaasrahastamise määra kohaldamiseks programmi raames loodud prioriteetse suuna puhul, millega edendatakse kolmandate riikide kodanike sotsiaal-majanduslikku integratsiooni, sealhulgas nende prioriteetsete suundade puhul, mis on ette nähtud tegevusteks, millega lahendatakse Venemaa Föderatsiooni sõjalisest agressioonist tulenevaid rändeprobleeme, vaja komisjoni otsust programmi muutmise kohta. Seirekomisjon peab muudatuse eelnevalt heaks kiitma. Liikmesriik edastab muudetud finantstabelid komisjonile.“; </w:t>
      </w:r>
    </w:p>
    <w:p w14:paraId="53626EA5" w14:textId="77777777" w:rsidR="0000018F" w:rsidRPr="00EC5CFB" w:rsidRDefault="0000018F" w:rsidP="00E8673D">
      <w:pPr>
        <w:pStyle w:val="Point0"/>
        <w:rPr>
          <w:noProof/>
        </w:rPr>
      </w:pPr>
      <w:r w:rsidRPr="00EC5CFB">
        <w:rPr>
          <w:noProof/>
        </w:rPr>
        <w:t>(2)</w:t>
      </w:r>
      <w:r w:rsidRPr="00EC5CFB">
        <w:rPr>
          <w:noProof/>
        </w:rPr>
        <w:tab/>
        <w:t xml:space="preserve">artiklisse 65 lisatakse järgmine lõige: </w:t>
      </w:r>
    </w:p>
    <w:p w14:paraId="023B9C11" w14:textId="3BDE3308" w:rsidR="0000018F" w:rsidRPr="00EC5CFB" w:rsidRDefault="0000018F" w:rsidP="003E0E5F">
      <w:pPr>
        <w:pStyle w:val="Text1"/>
        <w:rPr>
          <w:noProof/>
        </w:rPr>
      </w:pPr>
      <w:r w:rsidRPr="00EC5CFB">
        <w:rPr>
          <w:noProof/>
        </w:rPr>
        <w:t xml:space="preserve">„10a. Lõiget 6 ei kohaldata tegevuste suhtes, millega lahendatakse Venemaa Föderatsiooni sõjalisest agressioonist tulenevaid rändeprobleeme. </w:t>
      </w:r>
    </w:p>
    <w:p w14:paraId="22BEA765" w14:textId="52CCF0CD" w:rsidR="003D2470" w:rsidRPr="00EC5CFB" w:rsidRDefault="003D2470" w:rsidP="003D2470">
      <w:pPr>
        <w:pStyle w:val="Text1"/>
        <w:rPr>
          <w:noProof/>
        </w:rPr>
      </w:pPr>
      <w:r w:rsidRPr="00EC5CFB">
        <w:rPr>
          <w:noProof/>
        </w:rPr>
        <w:t>Lõiget 6 ei kohaldata ka EMKFist toetatavate tegevuste suhtes, mis on suunatud selle agressiooni tagajärgedele kalandus- ja vesiviljelussektoris.</w:t>
      </w:r>
    </w:p>
    <w:p w14:paraId="43DEEFC6" w14:textId="4E2781FD" w:rsidR="0000018F" w:rsidRPr="00EC5CFB" w:rsidRDefault="0000018F" w:rsidP="003E0E5F">
      <w:pPr>
        <w:pStyle w:val="Text1"/>
        <w:rPr>
          <w:noProof/>
        </w:rPr>
      </w:pPr>
      <w:r w:rsidRPr="00EC5CFB">
        <w:rPr>
          <w:noProof/>
        </w:rPr>
        <w:t>Erandina artikli 125 lõike 3 punktist b võib sellised tegevused ERFist, ESFist, Ühtekuuluvusfondist või EMKFist toetuse saamiseks välja valida enne muudetud programmi heakskiitmist.“;</w:t>
      </w:r>
    </w:p>
    <w:p w14:paraId="5AA1503A" w14:textId="77777777" w:rsidR="00BB305B" w:rsidRPr="00EC5CFB" w:rsidRDefault="00BB305B" w:rsidP="00BB305B">
      <w:pPr>
        <w:pStyle w:val="Point0"/>
        <w:tabs>
          <w:tab w:val="left" w:pos="851"/>
        </w:tabs>
        <w:rPr>
          <w:noProof/>
        </w:rPr>
      </w:pPr>
      <w:r w:rsidRPr="00EC5CFB">
        <w:rPr>
          <w:noProof/>
        </w:rPr>
        <w:t>(3)</w:t>
      </w:r>
      <w:r w:rsidRPr="00EC5CFB">
        <w:rPr>
          <w:noProof/>
        </w:rPr>
        <w:tab/>
        <w:t xml:space="preserve">artikli 68c esimene lõik asendatakse järgmisega:  </w:t>
      </w:r>
    </w:p>
    <w:p w14:paraId="798FB4FB" w14:textId="30A8BC80" w:rsidR="00BB305B" w:rsidRPr="00EC5CFB" w:rsidRDefault="00BB305B" w:rsidP="003E0E5F">
      <w:pPr>
        <w:pStyle w:val="Text1"/>
        <w:rPr>
          <w:noProof/>
        </w:rPr>
      </w:pPr>
      <w:r w:rsidRPr="00EC5CFB">
        <w:rPr>
          <w:noProof/>
        </w:rPr>
        <w:t>„Venemaa Föderatsiooni sõjalisest agressioonist tulenevaid rändeprobleeme lahendavate tegevuste rakendamisel võivad liikmesriigid maksetaotlustes deklareeritud kulude hulka arvata ühikuhinna, mis on seotud nende isikute põhivajaduste ja toetamisega, kes on saanud ajutise kaitse või liikmesriigi õiguse alusel muu piisava kaitse kooskõlas nõukogu rakendusotsusega (EL) 2022/382</w:t>
      </w:r>
      <w:r w:rsidRPr="00EC5CFB">
        <w:rPr>
          <w:rStyle w:val="FootnoteReference"/>
          <w:noProof/>
        </w:rPr>
        <w:footnoteReference w:id="13"/>
      </w:r>
      <w:r w:rsidRPr="00EC5CFB">
        <w:rPr>
          <w:noProof/>
        </w:rPr>
        <w:t xml:space="preserve"> ja nõukogu direktiiviga 2001/55/EÜ</w:t>
      </w:r>
      <w:r w:rsidRPr="00EC5CFB">
        <w:rPr>
          <w:rStyle w:val="FootnoteReference"/>
          <w:noProof/>
        </w:rPr>
        <w:footnoteReference w:id="14"/>
      </w:r>
      <w:r w:rsidRPr="00EC5CFB">
        <w:rPr>
          <w:noProof/>
        </w:rPr>
        <w:t>. Ühikuhind on 100 eurot nädalas iga täisnädala või osalise nädala kohta, mil isik viibib asjaomases liikmesriigis. Ühikuhinda võib kasutada kokku kuni 26 nädalat alates isiku liitu saabumise kuupäevast.“;</w:t>
      </w:r>
    </w:p>
    <w:p w14:paraId="191F0150" w14:textId="77777777" w:rsidR="00F27244" w:rsidRPr="00EC5CFB" w:rsidRDefault="00F27244" w:rsidP="00F37942">
      <w:pPr>
        <w:pStyle w:val="Point0"/>
        <w:ind w:left="0" w:firstLine="1"/>
        <w:rPr>
          <w:noProof/>
        </w:rPr>
      </w:pPr>
      <w:r w:rsidRPr="00EC5CFB">
        <w:rPr>
          <w:noProof/>
        </w:rPr>
        <w:t>(4)</w:t>
      </w:r>
      <w:r w:rsidRPr="00EC5CFB">
        <w:rPr>
          <w:noProof/>
        </w:rPr>
        <w:tab/>
        <w:t>artikli 70 lõikesse 2 lisatakse järgmine lõik:</w:t>
      </w:r>
    </w:p>
    <w:p w14:paraId="558224EA" w14:textId="77777777" w:rsidR="00F27244" w:rsidRPr="00EC5CFB" w:rsidRDefault="00111C25" w:rsidP="00925880">
      <w:pPr>
        <w:pStyle w:val="Text1"/>
        <w:rPr>
          <w:noProof/>
        </w:rPr>
      </w:pPr>
      <w:r w:rsidRPr="00EC5CFB">
        <w:rPr>
          <w:noProof/>
        </w:rPr>
        <w:t>„Kui ERFist, ESFist või Ühtekuuluvusfondist toetust saavaid tegevusi, millega lahendatakse Venemaa Föderatsiooni sõjalisest agressioonist tulenevaid rändeprobleeme, viiakse ellu väljaspool programmipiirkonda, kuid asjaomases liikmesriigis, kohaldatakse ainult esimese lõigu punkti d.“;</w:t>
      </w:r>
    </w:p>
    <w:p w14:paraId="7CCF1074" w14:textId="77777777" w:rsidR="00C3178C" w:rsidRPr="00EC5CFB" w:rsidRDefault="00C93451" w:rsidP="0054591C">
      <w:pPr>
        <w:pStyle w:val="Point0"/>
        <w:tabs>
          <w:tab w:val="left" w:pos="851"/>
        </w:tabs>
        <w:ind w:left="0" w:firstLine="0"/>
        <w:rPr>
          <w:noProof/>
        </w:rPr>
      </w:pPr>
      <w:r w:rsidRPr="00EC5CFB">
        <w:rPr>
          <w:noProof/>
        </w:rPr>
        <w:t>(5)</w:t>
      </w:r>
      <w:r w:rsidRPr="00EC5CFB">
        <w:rPr>
          <w:noProof/>
        </w:rPr>
        <w:tab/>
        <w:t xml:space="preserve">artikli 70 lõige 4 asendatakse järgmisega: </w:t>
      </w:r>
    </w:p>
    <w:p w14:paraId="2EB71E1D" w14:textId="77777777" w:rsidR="00C3178C" w:rsidRPr="00EC5CFB" w:rsidRDefault="00C3178C" w:rsidP="00C3178C">
      <w:pPr>
        <w:pStyle w:val="Text1"/>
        <w:rPr>
          <w:noProof/>
        </w:rPr>
      </w:pPr>
      <w:r w:rsidRPr="00EC5CFB">
        <w:rPr>
          <w:noProof/>
        </w:rPr>
        <w:t>„4. Lõikeid 1, 2 ja 3 ei kohaldata Euroopa territoriaalse koostöö eesmärgi alla kuuluvate programmide suhtes. Lõikeid 2 ja 3, välja arvatud lõike 2 viimane lõik, ei kohaldata ESFist toetatavate tegevuste suhtes.“;</w:t>
      </w:r>
    </w:p>
    <w:p w14:paraId="420B0EA2" w14:textId="77777777" w:rsidR="0054591C" w:rsidRPr="00EC5CFB" w:rsidRDefault="00C3178C" w:rsidP="0054591C">
      <w:pPr>
        <w:pStyle w:val="Point0"/>
        <w:tabs>
          <w:tab w:val="left" w:pos="851"/>
        </w:tabs>
        <w:ind w:left="0" w:firstLine="0"/>
        <w:rPr>
          <w:noProof/>
        </w:rPr>
      </w:pPr>
      <w:r w:rsidRPr="00EC5CFB">
        <w:rPr>
          <w:noProof/>
        </w:rPr>
        <w:t>(6)</w:t>
      </w:r>
      <w:r w:rsidRPr="00EC5CFB">
        <w:rPr>
          <w:noProof/>
        </w:rPr>
        <w:tab/>
        <w:t xml:space="preserve">artikli 96 lõike 10 esimene lõik asendatakse järgmisega: </w:t>
      </w:r>
    </w:p>
    <w:p w14:paraId="3D3D3D5C" w14:textId="77777777" w:rsidR="0054591C" w:rsidRPr="00EC5CFB" w:rsidRDefault="0054591C" w:rsidP="003E0E5F">
      <w:pPr>
        <w:pStyle w:val="Text1"/>
        <w:rPr>
          <w:noProof/>
        </w:rPr>
      </w:pPr>
      <w:r w:rsidRPr="00EC5CFB">
        <w:rPr>
          <w:noProof/>
        </w:rPr>
        <w:t>„10. Ilma et see piiraks artikli 30 lõigete 5, 6 ja 7 kohaldamist, võtab komisjon rakendusaktiga vastu otsuse, millega kiidab heaks kõik käesoleva artikli kohased rakenduskava elemendid (sealhulgas kõik selles tulevikus tehtavad muudatused), välja arvatud lõike 2 esimese lõigu punkti b alapunkti vi, punkti c alapunkti v ja punkti e, lõigete 4 ja 5, lõike 6 punktide a ja c ning lõike 7 kohased elemendid, mille osas vastutus jääb liikmesriikidele.“;</w:t>
      </w:r>
    </w:p>
    <w:p w14:paraId="7167CA76" w14:textId="77777777" w:rsidR="00C3178C" w:rsidRPr="00EC5CFB" w:rsidRDefault="004E43DD" w:rsidP="0000018F">
      <w:pPr>
        <w:pStyle w:val="Point0"/>
        <w:rPr>
          <w:noProof/>
        </w:rPr>
      </w:pPr>
      <w:r w:rsidRPr="00EC5CFB">
        <w:rPr>
          <w:noProof/>
        </w:rPr>
        <w:t>(7)</w:t>
      </w:r>
      <w:r w:rsidRPr="00EC5CFB">
        <w:rPr>
          <w:noProof/>
        </w:rPr>
        <w:tab/>
        <w:t>artikli 98 lõiget 4 muudetakse järgmiselt:</w:t>
      </w:r>
    </w:p>
    <w:p w14:paraId="35CEFB1E" w14:textId="77777777" w:rsidR="00E45329" w:rsidRPr="00EC5CFB" w:rsidRDefault="00C3178C" w:rsidP="00C3178C">
      <w:pPr>
        <w:pStyle w:val="Text1"/>
        <w:rPr>
          <w:noProof/>
        </w:rPr>
      </w:pPr>
      <w:r w:rsidRPr="00EC5CFB">
        <w:rPr>
          <w:noProof/>
        </w:rPr>
        <w:t xml:space="preserve">a) esimese lõigu järele lisatakse järgmine lõik: </w:t>
      </w:r>
    </w:p>
    <w:p w14:paraId="60847740" w14:textId="77777777" w:rsidR="00601839" w:rsidRPr="00EC5CFB" w:rsidRDefault="00E45329" w:rsidP="00654E80">
      <w:pPr>
        <w:pStyle w:val="Text1"/>
        <w:rPr>
          <w:noProof/>
        </w:rPr>
      </w:pPr>
      <w:r w:rsidRPr="00EC5CFB">
        <w:rPr>
          <w:noProof/>
        </w:rPr>
        <w:t>„Lisaks võib selliseid tegevusi rahastada ka Ühtekuuluvusfondist eeskirjade alusel, mida kohaldatakse kas ERFi või ESFi suhtes.“;</w:t>
      </w:r>
    </w:p>
    <w:p w14:paraId="54DFCBC8" w14:textId="77777777" w:rsidR="00215403" w:rsidRPr="00EC5CFB" w:rsidRDefault="00C3178C" w:rsidP="00C3178C">
      <w:pPr>
        <w:pStyle w:val="Text1"/>
        <w:rPr>
          <w:noProof/>
        </w:rPr>
      </w:pPr>
      <w:r w:rsidRPr="00EC5CFB">
        <w:rPr>
          <w:noProof/>
        </w:rPr>
        <w:t>b) teise lõigu järele lisatakse järgmine lõik:</w:t>
      </w:r>
    </w:p>
    <w:p w14:paraId="2899A953" w14:textId="5CB2A0BF" w:rsidR="00215403" w:rsidRPr="00EC5CFB" w:rsidRDefault="00215403" w:rsidP="00654E80">
      <w:pPr>
        <w:pStyle w:val="Text1"/>
        <w:rPr>
          <w:noProof/>
        </w:rPr>
      </w:pPr>
      <w:r w:rsidRPr="00EC5CFB">
        <w:rPr>
          <w:noProof/>
        </w:rPr>
        <w:t>„Kui sihtotstarbelise prioriteetse suuna raames kasutatakse esimeses või teises lõigus sätestatud võimalust, eraldatakse vähemalt 30 % selle prioriteetse suuna rahalisest eraldisest tegevustele, mille puhul toetusesaajad on kohalikud ametiasutused ja kohalikes kogukondades tegutsevad kodanikuühiskonna organisatsioonid. Liikmesriigid annavad selle tingimuse täitmisest aru artikli 50 lõike 1 ja artikli 111 kohaselt nõutavas rakendamise lõpparuandes. Kui see tingimus ei ole täidetud, vähendab komisjon asjaomase prioriteetse suuna raames tehtavaid tagasimakseid proportsionaalselt, et tagada selle tingimuse täitmine programmile makstava lõppmakse arvutamisel.“;</w:t>
      </w:r>
    </w:p>
    <w:p w14:paraId="2A019DAF" w14:textId="77777777" w:rsidR="00EB007E" w:rsidRPr="00EC5CFB" w:rsidRDefault="00C636B9" w:rsidP="002967E3">
      <w:pPr>
        <w:pStyle w:val="Text1"/>
        <w:rPr>
          <w:noProof/>
        </w:rPr>
      </w:pPr>
      <w:r w:rsidRPr="00EC5CFB">
        <w:rPr>
          <w:noProof/>
        </w:rPr>
        <w:t>c) kolmas lõik asendatakse järgmise lõiguga:</w:t>
      </w:r>
    </w:p>
    <w:p w14:paraId="1B0B15D2" w14:textId="77777777" w:rsidR="00EB007E" w:rsidRPr="00EC5CFB" w:rsidRDefault="0008111C" w:rsidP="002812B3">
      <w:pPr>
        <w:pStyle w:val="Text1"/>
        <w:rPr>
          <w:noProof/>
        </w:rPr>
      </w:pPr>
      <w:r w:rsidRPr="00EC5CFB">
        <w:rPr>
          <w:noProof/>
          <w:color w:val="000000"/>
          <w:shd w:val="clear" w:color="auto" w:fill="FFFFFF"/>
        </w:rPr>
        <w:t>„Kui kolmandas lõigus osutatud prioriteetse suuna alla kuuluvate tegevuste puhul tuleb esitada andmed osalejate kohta, põhinevad need teadlikel hinnangutel ning piirduvad toetatud isikute koguarvu ja alla 18-aastaste laste arvuga. Samad aruandluse nõuded kehtivad ka muude ESFist toetatavate prioriteetsete suundade suhtes, millega toetatakse ainult Venemaa Föderatsiooni sõjalisest agressioonist tulenevaid rändeprobleeme lahendavaid tegevusi.“;</w:t>
      </w:r>
    </w:p>
    <w:p w14:paraId="1350EB90" w14:textId="77777777" w:rsidR="00395481" w:rsidRPr="00EC5CFB" w:rsidRDefault="00395481" w:rsidP="003E0E5F">
      <w:pPr>
        <w:pStyle w:val="Point0"/>
        <w:rPr>
          <w:noProof/>
        </w:rPr>
      </w:pPr>
      <w:r w:rsidRPr="00EC5CFB">
        <w:rPr>
          <w:noProof/>
        </w:rPr>
        <w:t>(8)</w:t>
      </w:r>
      <w:r w:rsidRPr="00EC5CFB">
        <w:rPr>
          <w:noProof/>
        </w:rPr>
        <w:tab/>
        <w:t>artiklisse 120 lisatakse järgmine lõige:</w:t>
      </w:r>
    </w:p>
    <w:p w14:paraId="2269B7B9" w14:textId="77777777" w:rsidR="00395481" w:rsidRPr="00EC5CFB" w:rsidRDefault="00395481" w:rsidP="002812B3">
      <w:pPr>
        <w:pStyle w:val="Text1"/>
        <w:rPr>
          <w:noProof/>
        </w:rPr>
      </w:pPr>
      <w:r w:rsidRPr="00EC5CFB">
        <w:rPr>
          <w:noProof/>
        </w:rPr>
        <w:t>„9. Rakenduskava raames võib luua eraldi prioriteetse suuna, mille kaasrahastamise määr on kuni 100 %, et edendada kolmandate riikide kodanike sotsiaal-majanduslikku integratsiooni. Selline prioriteetne suund võib olla täielikult ette nähtud tegevusteks, millega lahendatakse Venemaa Föderatsiooni sõjalisest agressioonist tulenevaid rändeprobleeme, sealhulgas artikli 98 lõike 4 kolmandas lõigus osutatud sihtotstarbeline prioriteetne suund.“;</w:t>
      </w:r>
    </w:p>
    <w:p w14:paraId="4CBA07D4" w14:textId="77777777" w:rsidR="00D226DB" w:rsidRPr="00EC5CFB" w:rsidRDefault="00F37942" w:rsidP="00035429">
      <w:pPr>
        <w:pStyle w:val="Point0"/>
        <w:rPr>
          <w:noProof/>
        </w:rPr>
      </w:pPr>
      <w:r w:rsidRPr="00EC5CFB">
        <w:rPr>
          <w:noProof/>
        </w:rPr>
        <w:t>(9)</w:t>
      </w:r>
      <w:r w:rsidRPr="00EC5CFB">
        <w:rPr>
          <w:noProof/>
        </w:rPr>
        <w:tab/>
        <w:t>artikli 130 lõike 3 esimene lõik asendatakse järgmisega:</w:t>
      </w:r>
    </w:p>
    <w:p w14:paraId="17CB1EC5" w14:textId="77777777" w:rsidR="00182F8D" w:rsidRPr="00EC5CFB" w:rsidRDefault="00CA5FF3" w:rsidP="00035429">
      <w:pPr>
        <w:pStyle w:val="Text1"/>
        <w:rPr>
          <w:noProof/>
        </w:rPr>
      </w:pPr>
      <w:r w:rsidRPr="00EC5CFB">
        <w:rPr>
          <w:noProof/>
        </w:rPr>
        <w:t>„Erandina lõikest 2 ei tohi fondide ega EMKFi toetus iga prioriteedi lõppmaksena fondi ja piirkonnakategooria kohta viimasel aruandeaastal ületada rohkem kui 15 % võrra fondide või EMKFi toetust igale prioriteedile fondi ja piirkonnakategooria kohta, nagu on sätestatud komisjoni otsuses, millega rakenduskava heaks kiidetakse.“</w:t>
      </w:r>
    </w:p>
    <w:p w14:paraId="66681B5E" w14:textId="77777777" w:rsidR="00C71348" w:rsidRPr="00EC5CFB" w:rsidRDefault="00C71348" w:rsidP="00C71348">
      <w:pPr>
        <w:pStyle w:val="Titrearticle"/>
        <w:rPr>
          <w:noProof/>
        </w:rPr>
      </w:pPr>
      <w:r w:rsidRPr="00EC5CFB">
        <w:rPr>
          <w:noProof/>
        </w:rPr>
        <w:t>Artikkel 2</w:t>
      </w:r>
    </w:p>
    <w:p w14:paraId="42EEE101" w14:textId="77777777" w:rsidR="00C71348" w:rsidRPr="00EC5CFB" w:rsidRDefault="00C71348" w:rsidP="00C71348">
      <w:pPr>
        <w:jc w:val="center"/>
        <w:rPr>
          <w:b/>
          <w:noProof/>
        </w:rPr>
      </w:pPr>
      <w:r w:rsidRPr="00EC5CFB">
        <w:rPr>
          <w:b/>
          <w:noProof/>
        </w:rPr>
        <w:t>Määruse (EL) 2021/1060 muutmine</w:t>
      </w:r>
    </w:p>
    <w:p w14:paraId="613AC6DE" w14:textId="77777777" w:rsidR="006C2F62" w:rsidRPr="00EC5CFB" w:rsidRDefault="006C2F62" w:rsidP="006C2F62">
      <w:pPr>
        <w:jc w:val="left"/>
        <w:rPr>
          <w:noProof/>
        </w:rPr>
      </w:pPr>
      <w:r w:rsidRPr="00EC5CFB">
        <w:rPr>
          <w:noProof/>
        </w:rPr>
        <w:t>Määrust (EL) 2021/1060 muudetakse järgmiselt.</w:t>
      </w:r>
    </w:p>
    <w:p w14:paraId="26EC14E2" w14:textId="77777777" w:rsidR="00DA3892" w:rsidRPr="00EC5CFB" w:rsidRDefault="00DA3892" w:rsidP="00DA3892">
      <w:pPr>
        <w:pStyle w:val="Text1"/>
        <w:ind w:left="851" w:hanging="851"/>
        <w:rPr>
          <w:noProof/>
        </w:rPr>
      </w:pPr>
      <w:r w:rsidRPr="00EC5CFB">
        <w:rPr>
          <w:noProof/>
        </w:rPr>
        <w:t>(1)</w:t>
      </w:r>
      <w:r w:rsidRPr="00EC5CFB">
        <w:rPr>
          <w:noProof/>
        </w:rPr>
        <w:tab/>
        <w:t>Artikli 90 lõikesse 2 lisatakse järgmine lõik:</w:t>
      </w:r>
    </w:p>
    <w:p w14:paraId="49E9DA99" w14:textId="77777777" w:rsidR="00DA3892" w:rsidRPr="00EC5CFB" w:rsidRDefault="00DA3892" w:rsidP="00DA3892">
      <w:pPr>
        <w:pStyle w:val="Text1"/>
        <w:ind w:left="851" w:hanging="131"/>
        <w:rPr>
          <w:noProof/>
        </w:rPr>
      </w:pPr>
      <w:r w:rsidRPr="00EC5CFB">
        <w:rPr>
          <w:noProof/>
        </w:rPr>
        <w:t>„Täiendav 0,5 % eelmakse tehakse 2022. aastal kohe pärast käesoleva määruse jõustumist ning täiendavad 0,5 % eelmaksed tehakse 2023. aastal ERFist, ESF+ist või Ühtekuuluvusfondist tööhõivesse ja majanduskasvu investeerimise eesmärgi raames toetatavatele programmidele. Kui programm võetakse vastu pärast 31. detsembrit 2022, tasutakse 2022. aasta osamaksed vastuvõtmise aastal.“;</w:t>
      </w:r>
    </w:p>
    <w:p w14:paraId="2B73F7C6" w14:textId="77777777" w:rsidR="00B832CB" w:rsidRPr="00EC5CFB" w:rsidRDefault="004700C1" w:rsidP="00DA3892">
      <w:pPr>
        <w:pStyle w:val="Point0"/>
        <w:rPr>
          <w:noProof/>
        </w:rPr>
      </w:pPr>
      <w:r w:rsidRPr="00EC5CFB">
        <w:rPr>
          <w:noProof/>
        </w:rPr>
        <w:t>(2)</w:t>
      </w:r>
      <w:r w:rsidRPr="00EC5CFB">
        <w:rPr>
          <w:noProof/>
        </w:rPr>
        <w:tab/>
        <w:t xml:space="preserve">artikli 90 lõike 5 esimene lõik asendatakse järgmisega: </w:t>
      </w:r>
    </w:p>
    <w:p w14:paraId="1AF538C1" w14:textId="77777777" w:rsidR="00B832CB" w:rsidRPr="00EC5CFB" w:rsidRDefault="00B832CB" w:rsidP="00301AC6">
      <w:pPr>
        <w:pStyle w:val="Text1"/>
        <w:ind w:left="851"/>
        <w:rPr>
          <w:noProof/>
        </w:rPr>
      </w:pPr>
      <w:r w:rsidRPr="00EC5CFB">
        <w:rPr>
          <w:noProof/>
        </w:rPr>
        <w:t>„5. 2021. ja 2022. aastaks eelmaksetena makstud summa, välja arvatud lõike 2 viimases lõigus osutatud täiendavad eelmaksed, kantakse komisjoni raamatupidamisarvestusest välja igal aastal. Kõik muud eelmaksetena makstud summad kantakse komisjoni raamatupidamisarvestusest välja hiljemalt viimase aruandeaasta jooksul vastavalt artiklile 100.“;</w:t>
      </w:r>
    </w:p>
    <w:p w14:paraId="4C8F0513" w14:textId="77777777" w:rsidR="00215403" w:rsidRPr="00EC5CFB" w:rsidRDefault="00B832CB" w:rsidP="00DA3892">
      <w:pPr>
        <w:pStyle w:val="Point0"/>
        <w:rPr>
          <w:noProof/>
        </w:rPr>
      </w:pPr>
      <w:r w:rsidRPr="00EC5CFB">
        <w:rPr>
          <w:noProof/>
        </w:rPr>
        <w:t>(3)</w:t>
      </w:r>
      <w:r w:rsidRPr="00EC5CFB">
        <w:rPr>
          <w:noProof/>
        </w:rPr>
        <w:tab/>
        <w:t xml:space="preserve">artiklisse 112 lisatakse järgmine lõige: </w:t>
      </w:r>
    </w:p>
    <w:p w14:paraId="25C29640" w14:textId="624FEABB" w:rsidR="00DA3892" w:rsidRPr="00EC5CFB" w:rsidRDefault="00215403" w:rsidP="00215403">
      <w:pPr>
        <w:pStyle w:val="Text1"/>
        <w:ind w:left="851"/>
        <w:rPr>
          <w:noProof/>
        </w:rPr>
      </w:pPr>
      <w:r w:rsidRPr="00EC5CFB">
        <w:rPr>
          <w:noProof/>
        </w:rPr>
        <w:t xml:space="preserve">„7. Kui programmi raames kehtestatakse eraldi prioriteet kolmandate riikide kodanike sotsiaal-majanduslikku integratsiooni edendavate tegevuste toetamiseks, kohaldatakse maksetaotlustes deklareeritud kulude suhtes kuni 100 % kaasrahastamise määra kuni 30. juunil 2024 lõppeva aruandeaasta lõpuni. Pärast seda kuupäeva kohaldatakse programmis sätestatud kaasrahastamise määra vastavalt lõigetes 3 ja 4 sätestatud maksimaalsetele kaasrahastamise määradele. </w:t>
      </w:r>
    </w:p>
    <w:p w14:paraId="350AE1C1" w14:textId="77777777" w:rsidR="003535D8" w:rsidRPr="00EC5CFB" w:rsidRDefault="003535D8" w:rsidP="003535D8">
      <w:pPr>
        <w:pStyle w:val="Text1"/>
        <w:ind w:left="851"/>
        <w:rPr>
          <w:noProof/>
        </w:rPr>
      </w:pPr>
      <w:r w:rsidRPr="00EC5CFB">
        <w:rPr>
          <w:noProof/>
        </w:rPr>
        <w:t xml:space="preserve">Selliste prioriteetide raames liikmesriigi programmiga hõlmatud kogusumma ei tohi ületada 5 % ERFist ja ESF+ist saadavatest esialgsetest riiklikest eraldistest kokku. </w:t>
      </w:r>
    </w:p>
    <w:p w14:paraId="7D836E0B" w14:textId="77777777" w:rsidR="00DA3892" w:rsidRPr="00EC5CFB" w:rsidRDefault="00DA3892" w:rsidP="00151187">
      <w:pPr>
        <w:pStyle w:val="Text1"/>
        <w:ind w:left="851"/>
        <w:rPr>
          <w:noProof/>
        </w:rPr>
      </w:pPr>
      <w:r w:rsidRPr="00EC5CFB">
        <w:rPr>
          <w:noProof/>
        </w:rPr>
        <w:t>Komisjon vaatab kaasrahastamise määra läbi 30. juuniks 2024.</w:t>
      </w:r>
    </w:p>
    <w:p w14:paraId="3621A065" w14:textId="4BCDB76C" w:rsidR="00DA3892" w:rsidRPr="00EC5CFB" w:rsidRDefault="001B084D" w:rsidP="00DA3892">
      <w:pPr>
        <w:pStyle w:val="Text1"/>
        <w:ind w:left="851"/>
        <w:rPr>
          <w:noProof/>
        </w:rPr>
      </w:pPr>
      <w:r w:rsidRPr="00EC5CFB">
        <w:rPr>
          <w:noProof/>
        </w:rPr>
        <w:t>Vähemalt 30 % sellise eraldi prioriteedi rahalisest eraldisest suunatakse tegevustele, mille puhul toetusesaajad on kohalikud ametiasutused ja kohalikes kogukondades tegutsevad kodanikuühiskonna organisatsioonid. Liikmesriigid annavad selle tingimuse täitmisest aru artikli 43 kohaselt nõutavas lõplikus tulemusaruandes. Kui see tingimus ei ole täidetud, vähendab komisjon asjaomase prioriteedi raames tehtavaid tagasimakseid proportsionaalselt, et tagada selle tingimuse täitmine programmile makstava lõppmakse arvutamisel.“;</w:t>
      </w:r>
    </w:p>
    <w:p w14:paraId="43131B08" w14:textId="77777777" w:rsidR="00C520AE" w:rsidRPr="00EC5CFB" w:rsidRDefault="00215403" w:rsidP="003E0E5F">
      <w:pPr>
        <w:pStyle w:val="Point0"/>
        <w:rPr>
          <w:noProof/>
        </w:rPr>
      </w:pPr>
      <w:r w:rsidRPr="00EC5CFB">
        <w:rPr>
          <w:noProof/>
        </w:rPr>
        <w:t>(4)</w:t>
      </w:r>
      <w:r w:rsidRPr="00EC5CFB">
        <w:rPr>
          <w:noProof/>
        </w:rPr>
        <w:tab/>
        <w:t xml:space="preserve">lisatakse järgmine artikkel 118a: </w:t>
      </w:r>
    </w:p>
    <w:p w14:paraId="4F00E1AA" w14:textId="77777777" w:rsidR="00C520AE" w:rsidRPr="00EC5CFB" w:rsidRDefault="00C520AE" w:rsidP="003E0E5F">
      <w:pPr>
        <w:pStyle w:val="Text1"/>
        <w:jc w:val="center"/>
        <w:rPr>
          <w:noProof/>
        </w:rPr>
      </w:pPr>
      <w:r w:rsidRPr="00EC5CFB">
        <w:rPr>
          <w:noProof/>
        </w:rPr>
        <w:t>„</w:t>
      </w:r>
      <w:r w:rsidRPr="00EC5CFB">
        <w:rPr>
          <w:i/>
          <w:noProof/>
        </w:rPr>
        <w:t>Artikkel 118a</w:t>
      </w:r>
    </w:p>
    <w:p w14:paraId="6FDE15D7" w14:textId="77777777" w:rsidR="00C520AE" w:rsidRPr="00EC5CFB" w:rsidRDefault="00C520AE" w:rsidP="00136CB4">
      <w:pPr>
        <w:pStyle w:val="Text1"/>
        <w:rPr>
          <w:b/>
          <w:noProof/>
        </w:rPr>
      </w:pPr>
      <w:r w:rsidRPr="00EC5CFB">
        <w:rPr>
          <w:b/>
          <w:noProof/>
        </w:rPr>
        <w:t>Määruse (EL) nr 1303/2013 alusel enne 29. juunit 2022 toetuse saamiseks välja valitud etapipõhiste tegevuste tingimused</w:t>
      </w:r>
    </w:p>
    <w:p w14:paraId="35F8C634" w14:textId="77777777" w:rsidR="00104D2B" w:rsidRPr="00EC5CFB" w:rsidRDefault="00A822E1" w:rsidP="00136CB4">
      <w:pPr>
        <w:pStyle w:val="Text1"/>
        <w:rPr>
          <w:noProof/>
        </w:rPr>
      </w:pPr>
      <w:r w:rsidRPr="00EC5CFB">
        <w:rPr>
          <w:noProof/>
        </w:rPr>
        <w:t>1. Olenemata artiklist 118 peetakse tegevust, mille kogukulud ületavad 1 000 000 eurot ning mis valiti toetuse saamiseks välja ja mida alustati enne 29. juunit 2022 vastavalt määrusele (EL) nr 1303/2013 ja fondispetsiifilistele määrustele, nagu Euroopa Parlamendi ja nõukogu määrus (EL) nr 1301/2013,</w:t>
      </w:r>
      <w:r w:rsidRPr="00EC5CFB">
        <w:rPr>
          <w:rStyle w:val="FootnoteReference"/>
          <w:noProof/>
        </w:rPr>
        <w:footnoteReference w:id="15"/>
      </w:r>
      <w:r w:rsidRPr="00EC5CFB">
        <w:rPr>
          <w:noProof/>
        </w:rPr>
        <w:t xml:space="preserve"> Euroopa Parlamendi ja nõukogu määrus (EL) nr 1304/2013,</w:t>
      </w:r>
      <w:r w:rsidRPr="00EC5CFB">
        <w:rPr>
          <w:rStyle w:val="FootnoteReference"/>
          <w:noProof/>
        </w:rPr>
        <w:footnoteReference w:id="16"/>
      </w:r>
      <w:r w:rsidRPr="00EC5CFB">
        <w:rPr>
          <w:noProof/>
        </w:rPr>
        <w:t xml:space="preserve"> Euroopa Parlamendi ja nõukogu määrus (EL) nr 1300/2013,</w:t>
      </w:r>
      <w:r w:rsidRPr="00EC5CFB">
        <w:rPr>
          <w:rStyle w:val="FootnoteReference"/>
          <w:noProof/>
        </w:rPr>
        <w:footnoteReference w:id="17"/>
      </w:r>
      <w:r w:rsidRPr="00EC5CFB">
        <w:rPr>
          <w:noProof/>
        </w:rPr>
        <w:t xml:space="preserve"> Euroopa Parlamendi ja nõukogu määrus (EL) nr 1299/2013</w:t>
      </w:r>
      <w:r w:rsidRPr="00EC5CFB">
        <w:rPr>
          <w:rStyle w:val="FootnoteReference"/>
          <w:noProof/>
        </w:rPr>
        <w:footnoteReference w:id="18"/>
      </w:r>
      <w:r w:rsidRPr="00EC5CFB">
        <w:rPr>
          <w:noProof/>
        </w:rPr>
        <w:t xml:space="preserve"> ning Euroopa Parlamendi ja nõukogu määrus (EL) nr 2014/508,</w:t>
      </w:r>
      <w:r w:rsidRPr="00EC5CFB">
        <w:rPr>
          <w:rStyle w:val="FootnoteReference"/>
          <w:noProof/>
        </w:rPr>
        <w:footnoteReference w:id="19"/>
      </w:r>
      <w:r w:rsidRPr="00EC5CFB">
        <w:rPr>
          <w:noProof/>
        </w:rPr>
        <w:t xml:space="preserve"> toetuse saamiseks kõlblikuks vastavalt käesolevale määrusele ja vastavatele fondispetsiifilistele määrustele 2021.–2027. aasta programmitöö perioodil. </w:t>
      </w:r>
    </w:p>
    <w:p w14:paraId="23D87E5A" w14:textId="77777777" w:rsidR="004C6D45" w:rsidRPr="00EC5CFB" w:rsidRDefault="009A7051" w:rsidP="00136CB4">
      <w:pPr>
        <w:pStyle w:val="Text1"/>
        <w:rPr>
          <w:noProof/>
        </w:rPr>
      </w:pPr>
      <w:r w:rsidRPr="00EC5CFB">
        <w:rPr>
          <w:noProof/>
        </w:rPr>
        <w:t xml:space="preserve">Erandina artikli 73 lõigetest 1 ja 2 võib korraldusasutus otsustada anda sellisele tegevusele toetust otse käesoleva määruse alusel, kui on täidetud järgmised tingimused: </w:t>
      </w:r>
    </w:p>
    <w:p w14:paraId="437404C8" w14:textId="77777777" w:rsidR="00616AEC" w:rsidRPr="00EC5CFB" w:rsidRDefault="00136CB4" w:rsidP="00136CB4">
      <w:pPr>
        <w:pStyle w:val="Point1"/>
        <w:rPr>
          <w:noProof/>
        </w:rPr>
      </w:pPr>
      <w:r w:rsidRPr="00EC5CFB">
        <w:rPr>
          <w:noProof/>
        </w:rPr>
        <w:t>a)</w:t>
      </w:r>
      <w:r w:rsidRPr="00EC5CFB">
        <w:rPr>
          <w:noProof/>
        </w:rPr>
        <w:tab/>
        <w:t>tegevusel on rahastamise seisukohast kaks eristatavat etappi, millest kummalgi on eraldi kontrolljälg;</w:t>
      </w:r>
    </w:p>
    <w:p w14:paraId="54E84E70" w14:textId="77777777" w:rsidR="004C6D45" w:rsidRPr="00EC5CFB" w:rsidRDefault="00136CB4" w:rsidP="00136CB4">
      <w:pPr>
        <w:pStyle w:val="Point1"/>
        <w:rPr>
          <w:noProof/>
        </w:rPr>
      </w:pPr>
      <w:r w:rsidRPr="00EC5CFB">
        <w:rPr>
          <w:noProof/>
        </w:rPr>
        <w:t>b)</w:t>
      </w:r>
      <w:r w:rsidRPr="00EC5CFB">
        <w:rPr>
          <w:noProof/>
        </w:rPr>
        <w:tab/>
        <w:t xml:space="preserve">tegevus kuulub asjaomase erieesmärgi raames kavandatud meetmete alla ja on omistatud ühele sekkumise liigile vastavalt I lisale; </w:t>
      </w:r>
    </w:p>
    <w:p w14:paraId="6F15FA19" w14:textId="77777777" w:rsidR="00C520AE" w:rsidRPr="00EC5CFB" w:rsidRDefault="00136CB4" w:rsidP="00136CB4">
      <w:pPr>
        <w:pStyle w:val="Point1"/>
        <w:rPr>
          <w:noProof/>
        </w:rPr>
      </w:pPr>
      <w:r w:rsidRPr="00EC5CFB">
        <w:rPr>
          <w:noProof/>
        </w:rPr>
        <w:t>c)</w:t>
      </w:r>
      <w:r w:rsidRPr="00EC5CFB">
        <w:rPr>
          <w:noProof/>
        </w:rPr>
        <w:tab/>
        <w:t xml:space="preserve">esimest etappi käsitlevas maksetaotluses esitatud kulud ei ole esitatud üheski teist etappi käsitlevas maksetaotluses; </w:t>
      </w:r>
    </w:p>
    <w:p w14:paraId="39288200" w14:textId="77777777" w:rsidR="004C19FB" w:rsidRPr="00EC5CFB" w:rsidRDefault="00136CB4" w:rsidP="00136CB4">
      <w:pPr>
        <w:pStyle w:val="Point1"/>
        <w:rPr>
          <w:noProof/>
        </w:rPr>
      </w:pPr>
      <w:r w:rsidRPr="00EC5CFB">
        <w:rPr>
          <w:noProof/>
        </w:rPr>
        <w:t>d)</w:t>
      </w:r>
      <w:r w:rsidRPr="00EC5CFB">
        <w:rPr>
          <w:noProof/>
        </w:rPr>
        <w:tab/>
        <w:t>liikmesriik kohustub määruse (EL) nr 1303/2013 artikli 141 kohaselt esitatavas rakendamise lõpparuandes või Euroopa Merendus- ja Kalandusfondi puhul viimases rakendamise aastaaruandes viima programmitöö perioodil lõpule teise ja viimase etapi ning muutma selle toimivaks.</w:t>
      </w:r>
    </w:p>
    <w:p w14:paraId="621009A6" w14:textId="77777777" w:rsidR="00A822E1" w:rsidRPr="00EC5CFB" w:rsidRDefault="00A822E1" w:rsidP="00A822E1">
      <w:pPr>
        <w:pStyle w:val="Text1"/>
        <w:rPr>
          <w:noProof/>
        </w:rPr>
      </w:pPr>
      <w:r w:rsidRPr="00EC5CFB">
        <w:rPr>
          <w:noProof/>
        </w:rPr>
        <w:t>2. Käesolevat artiklit ei kohaldata tegevuste suhtes, millega lahendatakse Venemaa Föderatsiooni sõjalisest agressioonist tulenevaid rändeprobleeme ning mida toetatakse kasutades määruse (EL) nr 1303/2013 artikli 98 lõike 4 esimeses ja teises lõigus sätestatud võimalust.“;</w:t>
      </w:r>
    </w:p>
    <w:p w14:paraId="1C4F025E" w14:textId="77777777" w:rsidR="003261E3" w:rsidRPr="00EC5CFB" w:rsidRDefault="00215403" w:rsidP="003E0E5F">
      <w:pPr>
        <w:pStyle w:val="Point0"/>
        <w:rPr>
          <w:noProof/>
        </w:rPr>
      </w:pPr>
      <w:r w:rsidRPr="00EC5CFB">
        <w:rPr>
          <w:noProof/>
        </w:rPr>
        <w:t>(5)</w:t>
      </w:r>
      <w:r w:rsidRPr="00EC5CFB">
        <w:rPr>
          <w:noProof/>
        </w:rPr>
        <w:tab/>
        <w:t>I lisa tabeli 1 lõppu lisatakse järgmised read:</w:t>
      </w:r>
    </w:p>
    <w:p w14:paraId="1E1A9A8E" w14:textId="77777777" w:rsidR="002463FA" w:rsidRPr="00EC5CFB" w:rsidRDefault="0011607E" w:rsidP="00F37942">
      <w:pPr>
        <w:shd w:val="clear" w:color="auto" w:fill="FFFFFF"/>
        <w:spacing w:after="0" w:line="312" w:lineRule="atLeast"/>
        <w:rPr>
          <w:noProof/>
        </w:rPr>
      </w:pPr>
      <w:r w:rsidRPr="00EC5CFB">
        <w:rPr>
          <w:noProof/>
        </w:rPr>
        <w:t>„</w:t>
      </w:r>
    </w:p>
    <w:tbl>
      <w:tblPr>
        <w:tblW w:w="0" w:type="auto"/>
        <w:tblCellMar>
          <w:left w:w="0" w:type="dxa"/>
          <w:right w:w="0" w:type="dxa"/>
        </w:tblCellMar>
        <w:tblLook w:val="04A0" w:firstRow="1" w:lastRow="0" w:firstColumn="1" w:lastColumn="0" w:noHBand="0" w:noVBand="1"/>
      </w:tblPr>
      <w:tblGrid>
        <w:gridCol w:w="576"/>
        <w:gridCol w:w="5100"/>
        <w:gridCol w:w="1824"/>
        <w:gridCol w:w="1789"/>
      </w:tblGrid>
      <w:tr w:rsidR="002463FA" w:rsidRPr="00EC5CFB" w14:paraId="0F33731C" w14:textId="77777777" w:rsidTr="00B11792">
        <w:tc>
          <w:tcPr>
            <w:tcW w:w="577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A7FB38" w14:textId="77777777" w:rsidR="002463FA" w:rsidRPr="00EC5CFB" w:rsidRDefault="002463FA" w:rsidP="002463FA">
            <w:pPr>
              <w:shd w:val="clear" w:color="auto" w:fill="FFFFFF"/>
              <w:spacing w:before="0" w:after="0"/>
              <w:jc w:val="center"/>
              <w:rPr>
                <w:noProof/>
              </w:rPr>
            </w:pPr>
            <w:r w:rsidRPr="00EC5CFB">
              <w:rPr>
                <w:noProof/>
              </w:rPr>
              <w:t>SEKKUMISVALDKOND</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5D980B" w14:textId="77777777" w:rsidR="002463FA" w:rsidRPr="00EC5CFB" w:rsidRDefault="002463FA" w:rsidP="002463FA">
            <w:pPr>
              <w:shd w:val="clear" w:color="auto" w:fill="FFFFFF"/>
              <w:spacing w:before="0" w:after="0"/>
              <w:jc w:val="center"/>
              <w:rPr>
                <w:noProof/>
              </w:rPr>
            </w:pPr>
            <w:r w:rsidRPr="00EC5CFB">
              <w:rPr>
                <w:noProof/>
              </w:rPr>
              <w:t>Koefitsient kliimamuutuste alaste eesmärkide saavutamiseks antava toetuse arvutamiseks</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9EABDA" w14:textId="77777777" w:rsidR="002463FA" w:rsidRPr="00EC5CFB" w:rsidRDefault="002463FA" w:rsidP="002463FA">
            <w:pPr>
              <w:shd w:val="clear" w:color="auto" w:fill="FFFFFF"/>
              <w:spacing w:before="0" w:after="0"/>
              <w:jc w:val="center"/>
              <w:rPr>
                <w:noProof/>
              </w:rPr>
            </w:pPr>
            <w:r w:rsidRPr="00EC5CFB">
              <w:rPr>
                <w:noProof/>
              </w:rPr>
              <w:t>Koefitsient keskkonnaalaste eesmärkide saavutamiseks antava toetuse arvutamiseks</w:t>
            </w:r>
          </w:p>
        </w:tc>
      </w:tr>
      <w:tr w:rsidR="002463FA" w:rsidRPr="00EC5CFB" w14:paraId="2B95E257" w14:textId="77777777" w:rsidTr="002463FA">
        <w:tc>
          <w:tcPr>
            <w:tcW w:w="928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3B364" w14:textId="77777777" w:rsidR="002463FA" w:rsidRPr="00EC5CFB" w:rsidRDefault="002463FA" w:rsidP="002463FA">
            <w:pPr>
              <w:shd w:val="clear" w:color="auto" w:fill="FFFFFF"/>
              <w:spacing w:before="0" w:after="0"/>
              <w:rPr>
                <w:noProof/>
              </w:rPr>
            </w:pPr>
            <w:r w:rsidRPr="00EC5CFB">
              <w:rPr>
                <w:noProof/>
              </w:rPr>
              <w:t>Muud koodid, mis on seotud tegevustega, mida viiakse ellu etapipõhiselt vastavalt artiklile 118a</w:t>
            </w:r>
          </w:p>
        </w:tc>
      </w:tr>
      <w:tr w:rsidR="002463FA" w:rsidRPr="00EC5CFB" w14:paraId="074F525D"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8E35F" w14:textId="77777777" w:rsidR="002463FA" w:rsidRPr="00EC5CFB" w:rsidRDefault="002463FA" w:rsidP="002463FA">
            <w:pPr>
              <w:shd w:val="clear" w:color="auto" w:fill="FFFFFF"/>
              <w:spacing w:before="0" w:after="0"/>
              <w:rPr>
                <w:noProof/>
              </w:rPr>
            </w:pPr>
            <w:r w:rsidRPr="00EC5CFB">
              <w:rPr>
                <w:noProof/>
              </w:rPr>
              <w:t>183</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45D77D17" w14:textId="77777777" w:rsidR="002463FA" w:rsidRPr="00EC5CFB" w:rsidRDefault="002463FA" w:rsidP="002463FA">
            <w:pPr>
              <w:shd w:val="clear" w:color="auto" w:fill="FFFFFF"/>
              <w:spacing w:before="0" w:after="0"/>
              <w:rPr>
                <w:noProof/>
              </w:rPr>
            </w:pPr>
            <w:r w:rsidRPr="00EC5CFB">
              <w:rPr>
                <w:noProof/>
              </w:rPr>
              <w:t>Kodumajapidamisjäätmete käitlus: prügilad</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76E6C36E" w14:textId="77777777" w:rsidR="002463FA" w:rsidRPr="00EC5CFB" w:rsidRDefault="002463FA" w:rsidP="002463FA">
            <w:pPr>
              <w:shd w:val="clear" w:color="auto" w:fill="FFFFFF"/>
              <w:spacing w:before="0" w:after="0"/>
              <w:rPr>
                <w:noProof/>
              </w:rPr>
            </w:pPr>
            <w:r w:rsidRPr="00EC5CFB">
              <w:rPr>
                <w:noProof/>
              </w:rPr>
              <w:t>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DE43844" w14:textId="77777777" w:rsidR="002463FA" w:rsidRPr="00EC5CFB" w:rsidRDefault="002463FA" w:rsidP="002463FA">
            <w:pPr>
              <w:shd w:val="clear" w:color="auto" w:fill="FFFFFF"/>
              <w:spacing w:before="0" w:after="0"/>
              <w:rPr>
                <w:noProof/>
              </w:rPr>
            </w:pPr>
            <w:r w:rsidRPr="00EC5CFB">
              <w:rPr>
                <w:noProof/>
              </w:rPr>
              <w:t>100 %</w:t>
            </w:r>
          </w:p>
        </w:tc>
      </w:tr>
      <w:tr w:rsidR="002463FA" w:rsidRPr="00EC5CFB" w14:paraId="1D69CFF9"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75C1B" w14:textId="77777777" w:rsidR="002463FA" w:rsidRPr="00EC5CFB" w:rsidRDefault="002463FA" w:rsidP="002463FA">
            <w:pPr>
              <w:shd w:val="clear" w:color="auto" w:fill="FFFFFF"/>
              <w:spacing w:before="0" w:after="0"/>
              <w:rPr>
                <w:noProof/>
              </w:rPr>
            </w:pPr>
            <w:r w:rsidRPr="00EC5CFB">
              <w:rPr>
                <w:noProof/>
              </w:rPr>
              <w:t>184</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603532A0" w14:textId="77777777" w:rsidR="002463FA" w:rsidRPr="00EC5CFB" w:rsidRDefault="002463FA" w:rsidP="002463FA">
            <w:pPr>
              <w:shd w:val="clear" w:color="auto" w:fill="FFFFFF"/>
              <w:spacing w:before="0" w:after="0"/>
              <w:rPr>
                <w:noProof/>
              </w:rPr>
            </w:pPr>
            <w:r w:rsidRPr="00EC5CFB">
              <w:rPr>
                <w:noProof/>
              </w:rPr>
              <w:t>Elektrienergia salvestamine ja ülekanne</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E41484" w14:textId="77777777" w:rsidR="002463FA" w:rsidRPr="00EC5CFB" w:rsidRDefault="002463FA" w:rsidP="002463FA">
            <w:pPr>
              <w:shd w:val="clear" w:color="auto" w:fill="FFFFFF"/>
              <w:spacing w:before="0" w:after="0"/>
              <w:rPr>
                <w:noProof/>
              </w:rPr>
            </w:pPr>
            <w:r w:rsidRPr="00EC5CFB">
              <w:rPr>
                <w:noProof/>
              </w:rPr>
              <w:t>100 %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FF3F77A" w14:textId="77777777" w:rsidR="002463FA" w:rsidRPr="00EC5CFB" w:rsidRDefault="002463FA" w:rsidP="002463FA">
            <w:pPr>
              <w:shd w:val="clear" w:color="auto" w:fill="FFFFFF"/>
              <w:spacing w:before="0" w:after="0"/>
              <w:rPr>
                <w:noProof/>
              </w:rPr>
            </w:pPr>
            <w:r w:rsidRPr="00EC5CFB">
              <w:rPr>
                <w:noProof/>
              </w:rPr>
              <w:t>40 %</w:t>
            </w:r>
          </w:p>
        </w:tc>
      </w:tr>
      <w:tr w:rsidR="002463FA" w:rsidRPr="00EC5CFB" w14:paraId="399E3A52"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5653" w14:textId="77777777" w:rsidR="002463FA" w:rsidRPr="00EC5CFB" w:rsidRDefault="002463FA" w:rsidP="002463FA">
            <w:pPr>
              <w:shd w:val="clear" w:color="auto" w:fill="FFFFFF"/>
              <w:spacing w:before="0" w:after="0"/>
              <w:rPr>
                <w:noProof/>
              </w:rPr>
            </w:pPr>
            <w:r w:rsidRPr="00EC5CFB">
              <w:rPr>
                <w:noProof/>
              </w:rPr>
              <w:t>185</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1468AA50" w14:textId="77777777" w:rsidR="002463FA" w:rsidRPr="00EC5CFB" w:rsidRDefault="002463FA" w:rsidP="002463FA">
            <w:pPr>
              <w:shd w:val="clear" w:color="auto" w:fill="FFFFFF"/>
              <w:spacing w:before="0" w:after="0"/>
              <w:rPr>
                <w:noProof/>
              </w:rPr>
            </w:pPr>
            <w:r w:rsidRPr="00EC5CFB">
              <w:rPr>
                <w:noProof/>
              </w:rPr>
              <w:t>Maagaas: säilitamine, ülekandmine ja jaotamine</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0E5A71CB" w14:textId="77777777" w:rsidR="002463FA" w:rsidRPr="00EC5CFB" w:rsidRDefault="002463FA" w:rsidP="002463FA">
            <w:pPr>
              <w:shd w:val="clear" w:color="auto" w:fill="FFFFFF"/>
              <w:spacing w:before="0" w:after="0"/>
              <w:rPr>
                <w:noProof/>
              </w:rPr>
            </w:pPr>
            <w:r w:rsidRPr="00EC5CFB">
              <w:rPr>
                <w:noProof/>
              </w:rPr>
              <w:t>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3ECC2B19" w14:textId="77777777" w:rsidR="002463FA" w:rsidRPr="00EC5CFB" w:rsidRDefault="002463FA" w:rsidP="002463FA">
            <w:pPr>
              <w:shd w:val="clear" w:color="auto" w:fill="FFFFFF"/>
              <w:spacing w:before="0" w:after="0"/>
              <w:rPr>
                <w:noProof/>
              </w:rPr>
            </w:pPr>
            <w:r w:rsidRPr="00EC5CFB">
              <w:rPr>
                <w:noProof/>
              </w:rPr>
              <w:t>0 %</w:t>
            </w:r>
          </w:p>
        </w:tc>
      </w:tr>
      <w:tr w:rsidR="002463FA" w:rsidRPr="00EC5CFB" w14:paraId="611775E1" w14:textId="77777777" w:rsidTr="008872C1">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302646" w14:textId="77777777" w:rsidR="002463FA" w:rsidRPr="00EC5CFB" w:rsidRDefault="002463FA" w:rsidP="002463FA">
            <w:pPr>
              <w:shd w:val="clear" w:color="auto" w:fill="FFFFFF"/>
              <w:spacing w:before="0" w:after="0"/>
              <w:rPr>
                <w:noProof/>
              </w:rPr>
            </w:pPr>
            <w:r w:rsidRPr="00EC5CFB">
              <w:rPr>
                <w:noProof/>
              </w:rPr>
              <w:t>186</w:t>
            </w:r>
          </w:p>
        </w:tc>
        <w:tc>
          <w:tcPr>
            <w:tcW w:w="5196" w:type="dxa"/>
            <w:tcBorders>
              <w:top w:val="nil"/>
              <w:left w:val="nil"/>
              <w:bottom w:val="single" w:sz="4" w:space="0" w:color="auto"/>
              <w:right w:val="single" w:sz="8" w:space="0" w:color="auto"/>
            </w:tcBorders>
            <w:tcMar>
              <w:top w:w="0" w:type="dxa"/>
              <w:left w:w="108" w:type="dxa"/>
              <w:bottom w:w="0" w:type="dxa"/>
              <w:right w:w="108" w:type="dxa"/>
            </w:tcMar>
            <w:hideMark/>
          </w:tcPr>
          <w:p w14:paraId="0038EDAD" w14:textId="77777777" w:rsidR="002463FA" w:rsidRPr="00EC5CFB" w:rsidRDefault="002463FA" w:rsidP="002463FA">
            <w:pPr>
              <w:shd w:val="clear" w:color="auto" w:fill="FFFFFF"/>
              <w:spacing w:before="0" w:after="0"/>
              <w:rPr>
                <w:noProof/>
              </w:rPr>
            </w:pPr>
            <w:r w:rsidRPr="00EC5CFB">
              <w:rPr>
                <w:noProof/>
              </w:rPr>
              <w:t>Lennujaamad</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2302B9B3" w14:textId="77777777" w:rsidR="002463FA" w:rsidRPr="00EC5CFB" w:rsidRDefault="002463FA" w:rsidP="002463FA">
            <w:pPr>
              <w:shd w:val="clear" w:color="auto" w:fill="FFFFFF"/>
              <w:spacing w:before="0" w:after="0"/>
              <w:rPr>
                <w:noProof/>
              </w:rPr>
            </w:pPr>
            <w:r w:rsidRPr="00EC5CFB">
              <w:rPr>
                <w:noProof/>
              </w:rPr>
              <w:t>0 %</w:t>
            </w:r>
          </w:p>
        </w:tc>
        <w:tc>
          <w:tcPr>
            <w:tcW w:w="1688" w:type="dxa"/>
            <w:tcBorders>
              <w:top w:val="nil"/>
              <w:left w:val="nil"/>
              <w:bottom w:val="single" w:sz="4" w:space="0" w:color="auto"/>
              <w:right w:val="single" w:sz="8" w:space="0" w:color="auto"/>
            </w:tcBorders>
            <w:tcMar>
              <w:top w:w="0" w:type="dxa"/>
              <w:left w:w="108" w:type="dxa"/>
              <w:bottom w:w="0" w:type="dxa"/>
              <w:right w:w="108" w:type="dxa"/>
            </w:tcMar>
            <w:hideMark/>
          </w:tcPr>
          <w:p w14:paraId="3A9AD62E" w14:textId="77777777" w:rsidR="002463FA" w:rsidRPr="00EC5CFB" w:rsidRDefault="002463FA" w:rsidP="002463FA">
            <w:pPr>
              <w:shd w:val="clear" w:color="auto" w:fill="FFFFFF"/>
              <w:spacing w:before="0" w:after="0"/>
              <w:rPr>
                <w:noProof/>
              </w:rPr>
            </w:pPr>
            <w:r w:rsidRPr="00EC5CFB">
              <w:rPr>
                <w:noProof/>
              </w:rPr>
              <w:t>0 %</w:t>
            </w:r>
          </w:p>
        </w:tc>
      </w:tr>
      <w:tr w:rsidR="008872C1" w:rsidRPr="00EC5CFB" w14:paraId="48DA8CDE" w14:textId="77777777" w:rsidTr="008872C1">
        <w:tc>
          <w:tcPr>
            <w:tcW w:w="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122A67" w14:textId="77777777" w:rsidR="008872C1" w:rsidRPr="00EC5CFB" w:rsidRDefault="008872C1" w:rsidP="002463FA">
            <w:pPr>
              <w:shd w:val="clear" w:color="auto" w:fill="FFFFFF"/>
              <w:spacing w:before="0" w:after="0"/>
              <w:rPr>
                <w:noProof/>
              </w:rPr>
            </w:pPr>
            <w:r w:rsidRPr="00EC5CFB">
              <w:rPr>
                <w:noProof/>
              </w:rPr>
              <w:t>187</w:t>
            </w:r>
          </w:p>
        </w:tc>
        <w:tc>
          <w:tcPr>
            <w:tcW w:w="51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F1A050" w14:textId="77777777" w:rsidR="008872C1" w:rsidRPr="00EC5CFB" w:rsidRDefault="008872C1" w:rsidP="002463FA">
            <w:pPr>
              <w:shd w:val="clear" w:color="auto" w:fill="FFFFFF"/>
              <w:spacing w:before="0" w:after="0"/>
              <w:rPr>
                <w:noProof/>
              </w:rPr>
            </w:pPr>
            <w:r w:rsidRPr="00EC5CFB">
              <w:rPr>
                <w:noProof/>
              </w:rPr>
              <w:t>Tootlik investeering suurettevõtetesse seoses vähese CO</w:t>
            </w:r>
            <w:r w:rsidRPr="00EC5CFB">
              <w:rPr>
                <w:noProof/>
                <w:vertAlign w:val="subscript"/>
              </w:rPr>
              <w:t>2</w:t>
            </w:r>
            <w:r w:rsidRPr="00EC5CFB">
              <w:rPr>
                <w:noProof/>
              </w:rPr>
              <w:t>-heitega majanduse edendamisega</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9FF04F" w14:textId="77777777" w:rsidR="008872C1" w:rsidRPr="00EC5CFB" w:rsidRDefault="00F36813" w:rsidP="002463FA">
            <w:pPr>
              <w:shd w:val="clear" w:color="auto" w:fill="FFFFFF"/>
              <w:spacing w:before="0" w:after="0"/>
              <w:rPr>
                <w:noProof/>
              </w:rPr>
            </w:pPr>
            <w:r w:rsidRPr="00EC5CFB">
              <w:rPr>
                <w:noProof/>
              </w:rPr>
              <w:t>40 %</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2D8F9" w14:textId="77777777" w:rsidR="008872C1" w:rsidRPr="00EC5CFB" w:rsidRDefault="008872C1" w:rsidP="002463FA">
            <w:pPr>
              <w:shd w:val="clear" w:color="auto" w:fill="FFFFFF"/>
              <w:spacing w:before="0" w:after="0"/>
              <w:rPr>
                <w:noProof/>
              </w:rPr>
            </w:pPr>
            <w:r w:rsidRPr="00EC5CFB">
              <w:rPr>
                <w:noProof/>
              </w:rPr>
              <w:t>0 %</w:t>
            </w:r>
          </w:p>
        </w:tc>
      </w:tr>
    </w:tbl>
    <w:p w14:paraId="035AF446" w14:textId="77777777" w:rsidR="002463FA" w:rsidRPr="00EC5CFB" w:rsidRDefault="0011607E" w:rsidP="00F37942">
      <w:pPr>
        <w:shd w:val="clear" w:color="auto" w:fill="FFFFFF"/>
        <w:spacing w:after="0" w:line="312" w:lineRule="atLeast"/>
        <w:rPr>
          <w:noProof/>
        </w:rPr>
      </w:pPr>
      <w:r w:rsidRPr="00EC5CFB">
        <w:rPr>
          <w:noProof/>
        </w:rPr>
        <w:t>“</w:t>
      </w:r>
    </w:p>
    <w:p w14:paraId="5359C9D1" w14:textId="77777777" w:rsidR="00F936C3" w:rsidRPr="00EC5CFB" w:rsidRDefault="00D32C0F" w:rsidP="00F936C3">
      <w:pPr>
        <w:pStyle w:val="Titrearticle"/>
        <w:rPr>
          <w:noProof/>
        </w:rPr>
      </w:pPr>
      <w:r w:rsidRPr="00EC5CFB">
        <w:rPr>
          <w:noProof/>
        </w:rPr>
        <w:t>Artikkel 3</w:t>
      </w:r>
    </w:p>
    <w:p w14:paraId="36A02D18" w14:textId="77777777" w:rsidR="00F936C3" w:rsidRPr="00EC5CFB" w:rsidRDefault="00F936C3" w:rsidP="00F936C3">
      <w:pPr>
        <w:rPr>
          <w:noProof/>
        </w:rPr>
      </w:pPr>
      <w:r w:rsidRPr="00EC5CFB">
        <w:rPr>
          <w:noProof/>
        </w:rPr>
        <w:t xml:space="preserve">Käesolev määrus jõustub järgmisel päeval pärast selle avaldamist </w:t>
      </w:r>
      <w:r w:rsidRPr="00EC5CFB">
        <w:rPr>
          <w:i/>
          <w:noProof/>
        </w:rPr>
        <w:t>Euroopa Liidu Teatajas</w:t>
      </w:r>
      <w:r w:rsidRPr="00EC5CFB">
        <w:rPr>
          <w:noProof/>
        </w:rPr>
        <w:t>.</w:t>
      </w:r>
    </w:p>
    <w:p w14:paraId="39EEC736" w14:textId="77777777" w:rsidR="00C1332E" w:rsidRPr="00EC5CFB" w:rsidRDefault="00586D7D">
      <w:pPr>
        <w:pStyle w:val="Applicationdirecte"/>
        <w:rPr>
          <w:noProof/>
        </w:rPr>
      </w:pPr>
      <w:r w:rsidRPr="00EC5CFB">
        <w:rPr>
          <w:noProof/>
        </w:rPr>
        <w:t>Käesolev määrus on tervikuna siduv ja vahetult kohaldatav kõikides liikmesriikides.</w:t>
      </w:r>
    </w:p>
    <w:p w14:paraId="185D4620" w14:textId="48F6238E" w:rsidR="00C1332E" w:rsidRPr="00EC5CFB" w:rsidRDefault="00CF09B0" w:rsidP="00BA5AC6">
      <w:pPr>
        <w:pStyle w:val="Fait"/>
        <w:rPr>
          <w:noProof/>
        </w:rPr>
      </w:pPr>
      <w:r w:rsidRPr="00CF09B0">
        <w:t>Brüssel,</w:t>
      </w:r>
    </w:p>
    <w:p w14:paraId="4D57F57E" w14:textId="77777777" w:rsidR="00C1332E" w:rsidRPr="00EC5CFB" w:rsidRDefault="00586D7D" w:rsidP="00BA5AC6">
      <w:pPr>
        <w:pStyle w:val="Institutionquisigne"/>
        <w:rPr>
          <w:noProof/>
        </w:rPr>
      </w:pPr>
      <w:r w:rsidRPr="00EC5CFB">
        <w:rPr>
          <w:noProof/>
        </w:rPr>
        <w:t>Euroopa Parlamendi nimel</w:t>
      </w:r>
      <w:r w:rsidRPr="00EC5CFB">
        <w:rPr>
          <w:noProof/>
        </w:rPr>
        <w:tab/>
        <w:t>Nõukogu nimel</w:t>
      </w:r>
    </w:p>
    <w:p w14:paraId="4271C1A2" w14:textId="677F8456" w:rsidR="00C1332E" w:rsidRPr="00EC5CFB" w:rsidRDefault="00363F1C" w:rsidP="00DD4B5E">
      <w:pPr>
        <w:pStyle w:val="Personnequisigne"/>
        <w:rPr>
          <w:noProof/>
        </w:rPr>
      </w:pPr>
      <w:r w:rsidRPr="00EC5CFB">
        <w:rPr>
          <w:noProof/>
        </w:rPr>
        <w:t>president</w:t>
      </w:r>
      <w:r w:rsidRPr="00EC5CFB">
        <w:rPr>
          <w:noProof/>
        </w:rPr>
        <w:tab/>
      </w:r>
      <w:r w:rsidR="00DD4B5E" w:rsidRPr="00EC5CFB">
        <w:rPr>
          <w:noProof/>
        </w:rPr>
        <w:t>eesistuja</w:t>
      </w:r>
    </w:p>
    <w:p w14:paraId="211E3C0B" w14:textId="77777777" w:rsidR="00C1332E" w:rsidRPr="00EC5CFB" w:rsidRDefault="00C1332E">
      <w:pPr>
        <w:rPr>
          <w:noProof/>
        </w:rPr>
        <w:sectPr w:rsidR="00C1332E" w:rsidRPr="00EC5CFB" w:rsidSect="00116713">
          <w:pgSz w:w="11907" w:h="16839"/>
          <w:pgMar w:top="1134" w:right="1417" w:bottom="1134" w:left="1417" w:header="709" w:footer="709" w:gutter="0"/>
          <w:cols w:space="720"/>
          <w:docGrid w:linePitch="360"/>
        </w:sectPr>
      </w:pPr>
    </w:p>
    <w:p w14:paraId="1FF243D2" w14:textId="77777777" w:rsidR="00E41E7D" w:rsidRPr="00EC5CFB" w:rsidRDefault="00E41E7D" w:rsidP="009B3DB9">
      <w:pPr>
        <w:pStyle w:val="Fichefinanciretitre"/>
        <w:rPr>
          <w:noProof/>
        </w:rPr>
      </w:pPr>
      <w:bookmarkStart w:id="1" w:name="_Toc514938050"/>
      <w:bookmarkStart w:id="2" w:name="_Toc520485049"/>
      <w:r w:rsidRPr="00EC5CFB">
        <w:rPr>
          <w:noProof/>
        </w:rPr>
        <w:t>FINANTSSELGITUS</w:t>
      </w:r>
    </w:p>
    <w:p w14:paraId="2C209041" w14:textId="77777777" w:rsidR="00E41E7D" w:rsidRPr="00EC5CFB" w:rsidRDefault="00212D2A" w:rsidP="00212D2A">
      <w:pPr>
        <w:pStyle w:val="ManualHeading1"/>
        <w:rPr>
          <w:noProof/>
        </w:rPr>
      </w:pPr>
      <w:bookmarkStart w:id="3" w:name="_Toc514938007"/>
      <w:bookmarkStart w:id="4" w:name="_Toc520485025"/>
      <w:r w:rsidRPr="00EC5CFB">
        <w:rPr>
          <w:noProof/>
        </w:rPr>
        <w:t>1.</w:t>
      </w:r>
      <w:r w:rsidRPr="00EC5CFB">
        <w:rPr>
          <w:noProof/>
        </w:rPr>
        <w:tab/>
        <w:t>ETTEPANEKU/ALGATUSE RAAMISTIK</w:t>
      </w:r>
      <w:bookmarkEnd w:id="3"/>
      <w:bookmarkEnd w:id="4"/>
      <w:r w:rsidRPr="00EC5CFB">
        <w:rPr>
          <w:noProof/>
        </w:rPr>
        <w:t xml:space="preserve"> </w:t>
      </w:r>
    </w:p>
    <w:p w14:paraId="784AD398" w14:textId="77777777" w:rsidR="00E41E7D" w:rsidRPr="00EC5CFB" w:rsidRDefault="00212D2A" w:rsidP="00212D2A">
      <w:pPr>
        <w:pStyle w:val="ManualHeading2"/>
        <w:rPr>
          <w:noProof/>
        </w:rPr>
      </w:pPr>
      <w:bookmarkStart w:id="5" w:name="_Toc514938008"/>
      <w:bookmarkStart w:id="6" w:name="_Toc520485026"/>
      <w:r w:rsidRPr="00EC5CFB">
        <w:rPr>
          <w:noProof/>
        </w:rPr>
        <w:t>1.1.</w:t>
      </w:r>
      <w:r w:rsidRPr="00EC5CFB">
        <w:rPr>
          <w:noProof/>
        </w:rPr>
        <w:tab/>
        <w:t>Ettepaneku/algatuse nimetus</w:t>
      </w:r>
      <w:bookmarkEnd w:id="5"/>
      <w:bookmarkEnd w:id="6"/>
    </w:p>
    <w:p w14:paraId="69A46115"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Ettepanek:</w:t>
      </w:r>
    </w:p>
    <w:p w14:paraId="622D4E00"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EUROOPA PARLAMENDI JA NÕUKOGU MÄÄRUS,</w:t>
      </w:r>
    </w:p>
    <w:p w14:paraId="7F163B00" w14:textId="77777777" w:rsidR="00E41E7D" w:rsidRPr="00EC5CFB" w:rsidRDefault="00AF7BC9" w:rsidP="00E41E7D">
      <w:pPr>
        <w:pStyle w:val="Text1"/>
        <w:pBdr>
          <w:top w:val="single" w:sz="4" w:space="1" w:color="auto"/>
          <w:left w:val="single" w:sz="4" w:space="4" w:color="auto"/>
          <w:bottom w:val="single" w:sz="4" w:space="1" w:color="auto"/>
          <w:right w:val="single" w:sz="4" w:space="4" w:color="auto"/>
        </w:pBdr>
        <w:rPr>
          <w:dstrike/>
          <w:noProof/>
        </w:rPr>
      </w:pPr>
      <w:r w:rsidRPr="00EC5CFB">
        <w:rPr>
          <w:noProof/>
        </w:rPr>
        <w:t>millega muudetakse määrust (EL) nr 1303/2013 ja määrust (EL) 2021/1060 seoses täiendava paindlikkusega Venemaa Föderatsiooni sõjalise agressiooni tagajärgedega tegelemiseks</w:t>
      </w:r>
      <w:r w:rsidRPr="00EC5CFB">
        <w:rPr>
          <w:noProof/>
        </w:rPr>
        <w:tab/>
        <w:t xml:space="preserve"> </w:t>
      </w:r>
      <w:r w:rsidRPr="00EC5CFB">
        <w:rPr>
          <w:noProof/>
        </w:rPr>
        <w:br/>
        <w:t>FAST (paindlik abi territooriumidele) – CARE</w:t>
      </w:r>
    </w:p>
    <w:p w14:paraId="12E26983"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p>
    <w:p w14:paraId="12F67978" w14:textId="77777777" w:rsidR="00E41E7D" w:rsidRPr="00EC5CFB" w:rsidRDefault="00212D2A" w:rsidP="00212D2A">
      <w:pPr>
        <w:pStyle w:val="ManualHeading2"/>
        <w:rPr>
          <w:i/>
          <w:noProof/>
        </w:rPr>
      </w:pPr>
      <w:bookmarkStart w:id="7" w:name="_Toc514938011"/>
      <w:bookmarkStart w:id="8" w:name="_Toc520485027"/>
      <w:r w:rsidRPr="00EC5CFB">
        <w:rPr>
          <w:noProof/>
        </w:rPr>
        <w:t>1.2.</w:t>
      </w:r>
      <w:r w:rsidRPr="00EC5CFB">
        <w:rPr>
          <w:noProof/>
        </w:rPr>
        <w:tab/>
        <w:t>Asjaomased poliitikavaldkonnad</w:t>
      </w:r>
      <w:bookmarkEnd w:id="7"/>
      <w:bookmarkEnd w:id="8"/>
      <w:r w:rsidRPr="00EC5CFB">
        <w:rPr>
          <w:i/>
          <w:noProof/>
        </w:rPr>
        <w:t xml:space="preserve"> </w:t>
      </w:r>
    </w:p>
    <w:p w14:paraId="149EB0E3"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color w:val="000000" w:themeColor="text1"/>
        </w:rPr>
      </w:pPr>
      <w:r w:rsidRPr="00EC5CFB">
        <w:rPr>
          <w:noProof/>
          <w:color w:val="000000" w:themeColor="text1"/>
        </w:rPr>
        <w:t>05 Regionaalareng ja ühtekuuluvus</w:t>
      </w:r>
    </w:p>
    <w:p w14:paraId="26F4A219" w14:textId="77777777" w:rsidR="00E41E7D" w:rsidRPr="00EC5CFB" w:rsidRDefault="00E41E7D" w:rsidP="00EF5081">
      <w:pPr>
        <w:pStyle w:val="Text1"/>
        <w:pBdr>
          <w:top w:val="single" w:sz="4" w:space="1" w:color="auto"/>
          <w:left w:val="single" w:sz="4" w:space="4" w:color="auto"/>
          <w:bottom w:val="single" w:sz="4" w:space="1" w:color="auto"/>
          <w:right w:val="single" w:sz="4" w:space="4" w:color="auto"/>
        </w:pBdr>
        <w:rPr>
          <w:noProof/>
          <w:color w:val="000000" w:themeColor="text1"/>
        </w:rPr>
      </w:pPr>
      <w:r w:rsidRPr="00EC5CFB">
        <w:rPr>
          <w:noProof/>
          <w:color w:val="000000" w:themeColor="text1"/>
        </w:rPr>
        <w:t xml:space="preserve">07 Investeerimine inimestesse, sotsiaalsesse ühtekuuluvusse ja väärtustesse </w:t>
      </w:r>
    </w:p>
    <w:p w14:paraId="11FB6450" w14:textId="77777777" w:rsidR="00E41E7D" w:rsidRPr="00EC5CFB" w:rsidRDefault="00212D2A" w:rsidP="00212D2A">
      <w:pPr>
        <w:pStyle w:val="ManualHeading2"/>
        <w:rPr>
          <w:bCs/>
          <w:noProof/>
          <w:szCs w:val="24"/>
        </w:rPr>
      </w:pPr>
      <w:bookmarkStart w:id="9" w:name="_Toc514938014"/>
      <w:bookmarkStart w:id="10" w:name="_Toc520485028"/>
      <w:r w:rsidRPr="00EC5CFB">
        <w:rPr>
          <w:noProof/>
        </w:rPr>
        <w:t>1.3.</w:t>
      </w:r>
      <w:r w:rsidRPr="00EC5CFB">
        <w:rPr>
          <w:noProof/>
        </w:rPr>
        <w:tab/>
        <w:t>Ettepanek/algatus käsitleb</w:t>
      </w:r>
      <w:bookmarkEnd w:id="9"/>
      <w:bookmarkEnd w:id="10"/>
      <w:r w:rsidRPr="00EC5CFB">
        <w:rPr>
          <w:noProof/>
        </w:rPr>
        <w:t xml:space="preserve"> </w:t>
      </w:r>
    </w:p>
    <w:p w14:paraId="7444129F" w14:textId="77777777" w:rsidR="00E41E7D" w:rsidRPr="00EC5CFB" w:rsidRDefault="00E41E7D" w:rsidP="00E41E7D">
      <w:pPr>
        <w:pStyle w:val="Text1"/>
        <w:rPr>
          <w:b/>
          <w:noProof/>
          <w:sz w:val="22"/>
        </w:rPr>
      </w:pPr>
      <w:r w:rsidRPr="00EC5CFB">
        <w:rPr>
          <w:noProof/>
          <w:sz w:val="22"/>
        </w:rPr>
        <w:sym w:font="Wingdings" w:char="F0A8"/>
      </w:r>
      <w:r w:rsidRPr="00EC5CFB">
        <w:rPr>
          <w:b/>
          <w:i/>
          <w:noProof/>
          <w:sz w:val="22"/>
        </w:rPr>
        <w:t xml:space="preserve"> </w:t>
      </w:r>
      <w:r w:rsidRPr="00EC5CFB">
        <w:rPr>
          <w:b/>
          <w:noProof/>
        </w:rPr>
        <w:t>uut meedet</w:t>
      </w:r>
      <w:r w:rsidRPr="00EC5CFB">
        <w:rPr>
          <w:b/>
          <w:noProof/>
          <w:sz w:val="22"/>
        </w:rPr>
        <w:t xml:space="preserve"> </w:t>
      </w:r>
    </w:p>
    <w:p w14:paraId="728B5B7D" w14:textId="77777777" w:rsidR="00E41E7D" w:rsidRPr="00EC5CFB" w:rsidRDefault="00E41E7D" w:rsidP="00E41E7D">
      <w:pPr>
        <w:pStyle w:val="Text1"/>
        <w:rPr>
          <w:noProof/>
          <w:sz w:val="22"/>
        </w:rPr>
      </w:pPr>
      <w:r w:rsidRPr="00EC5CFB">
        <w:rPr>
          <w:noProof/>
          <w:sz w:val="22"/>
        </w:rPr>
        <w:sym w:font="Wingdings" w:char="F0A8"/>
      </w:r>
      <w:r w:rsidRPr="00EC5CFB">
        <w:rPr>
          <w:i/>
          <w:noProof/>
          <w:sz w:val="22"/>
        </w:rPr>
        <w:t xml:space="preserve"> </w:t>
      </w:r>
      <w:r w:rsidRPr="00EC5CFB">
        <w:rPr>
          <w:b/>
          <w:noProof/>
        </w:rPr>
        <w:t>uut meedet, mis tuleneb katseprojektist / ettevalmistavast meetmest</w:t>
      </w:r>
      <w:r w:rsidRPr="00EC5CFB">
        <w:rPr>
          <w:rStyle w:val="FootnoteReference"/>
          <w:noProof/>
        </w:rPr>
        <w:footnoteReference w:id="20"/>
      </w:r>
      <w:r w:rsidRPr="00EC5CFB">
        <w:rPr>
          <w:noProof/>
          <w:sz w:val="22"/>
        </w:rPr>
        <w:t xml:space="preserve"> </w:t>
      </w:r>
    </w:p>
    <w:p w14:paraId="6741C2D1" w14:textId="77777777" w:rsidR="00E41E7D" w:rsidRPr="00EC5CFB" w:rsidRDefault="00E41E7D" w:rsidP="00E41E7D">
      <w:pPr>
        <w:pStyle w:val="Text1"/>
        <w:rPr>
          <w:noProof/>
          <w:sz w:val="22"/>
        </w:rPr>
      </w:pPr>
      <w:r w:rsidRPr="00EC5CFB">
        <w:rPr>
          <w:b/>
          <w:noProof/>
          <w:sz w:val="22"/>
        </w:rPr>
        <w:t>X</w:t>
      </w:r>
      <w:r w:rsidRPr="00EC5CFB">
        <w:rPr>
          <w:i/>
          <w:noProof/>
          <w:sz w:val="22"/>
        </w:rPr>
        <w:t xml:space="preserve"> </w:t>
      </w:r>
      <w:r w:rsidRPr="00EC5CFB">
        <w:rPr>
          <w:b/>
          <w:noProof/>
        </w:rPr>
        <w:t>olemasoleva meetme pikendamist</w:t>
      </w:r>
      <w:r w:rsidRPr="00EC5CFB">
        <w:rPr>
          <w:noProof/>
          <w:sz w:val="22"/>
        </w:rPr>
        <w:t xml:space="preserve"> </w:t>
      </w:r>
    </w:p>
    <w:p w14:paraId="60DBC83B" w14:textId="77777777" w:rsidR="00E41E7D" w:rsidRPr="00EC5CFB" w:rsidRDefault="00E41E7D" w:rsidP="00E41E7D">
      <w:pPr>
        <w:pStyle w:val="Text1"/>
        <w:rPr>
          <w:noProof/>
        </w:rPr>
      </w:pPr>
      <w:r w:rsidRPr="00EC5CFB">
        <w:rPr>
          <w:noProof/>
          <w:sz w:val="22"/>
        </w:rPr>
        <w:sym w:font="Wingdings" w:char="F0A8"/>
      </w:r>
      <w:r w:rsidRPr="00EC5CFB">
        <w:rPr>
          <w:i/>
          <w:noProof/>
          <w:sz w:val="22"/>
        </w:rPr>
        <w:t xml:space="preserve"> </w:t>
      </w:r>
      <w:r w:rsidRPr="00EC5CFB">
        <w:rPr>
          <w:b/>
          <w:noProof/>
        </w:rPr>
        <w:t>ühe või mitme meetme ümbersuunamist teise või uude meetmesse või ühendamist teise või uue meetmega</w:t>
      </w:r>
      <w:r w:rsidRPr="00EC5CFB">
        <w:rPr>
          <w:noProof/>
        </w:rPr>
        <w:t xml:space="preserve"> </w:t>
      </w:r>
    </w:p>
    <w:p w14:paraId="6A9D6662" w14:textId="77777777" w:rsidR="00E41E7D" w:rsidRPr="00EC5CFB" w:rsidRDefault="00212D2A" w:rsidP="00212D2A">
      <w:pPr>
        <w:pStyle w:val="ManualHeading2"/>
        <w:rPr>
          <w:bCs/>
          <w:noProof/>
          <w:szCs w:val="24"/>
        </w:rPr>
      </w:pPr>
      <w:bookmarkStart w:id="11" w:name="_Toc514938015"/>
      <w:bookmarkStart w:id="12" w:name="_Toc520485029"/>
      <w:r w:rsidRPr="00EC5CFB">
        <w:rPr>
          <w:noProof/>
        </w:rPr>
        <w:t>1.4.</w:t>
      </w:r>
      <w:r w:rsidRPr="00EC5CFB">
        <w:rPr>
          <w:noProof/>
        </w:rPr>
        <w:tab/>
        <w:t>Eesmärgid</w:t>
      </w:r>
      <w:bookmarkEnd w:id="11"/>
      <w:bookmarkEnd w:id="12"/>
    </w:p>
    <w:p w14:paraId="336DAD78" w14:textId="77777777" w:rsidR="00E41E7D" w:rsidRPr="00EC5CFB" w:rsidRDefault="00212D2A" w:rsidP="00212D2A">
      <w:pPr>
        <w:pStyle w:val="ManualHeading3"/>
        <w:rPr>
          <w:noProof/>
        </w:rPr>
      </w:pPr>
      <w:bookmarkStart w:id="13" w:name="_Toc514938016"/>
      <w:bookmarkStart w:id="14" w:name="_Toc520485030"/>
      <w:r w:rsidRPr="00EC5CFB">
        <w:rPr>
          <w:noProof/>
        </w:rPr>
        <w:t>1.4.1.</w:t>
      </w:r>
      <w:r w:rsidRPr="00EC5CFB">
        <w:rPr>
          <w:noProof/>
        </w:rPr>
        <w:tab/>
        <w:t>Üldeesmärgid</w:t>
      </w:r>
      <w:bookmarkEnd w:id="13"/>
      <w:bookmarkEnd w:id="14"/>
    </w:p>
    <w:p w14:paraId="11A4B5B4"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76DB7D73" w14:textId="77777777" w:rsidR="00E41E7D" w:rsidRPr="00EC5CFB" w:rsidRDefault="00212D2A" w:rsidP="00212D2A">
      <w:pPr>
        <w:pStyle w:val="ManualHeading3"/>
        <w:rPr>
          <w:bCs/>
          <w:noProof/>
          <w:szCs w:val="24"/>
        </w:rPr>
      </w:pPr>
      <w:bookmarkStart w:id="15" w:name="_Toc514938018"/>
      <w:bookmarkStart w:id="16" w:name="_Toc520485031"/>
      <w:r w:rsidRPr="00EC5CFB">
        <w:rPr>
          <w:noProof/>
        </w:rPr>
        <w:t>1.4.2.</w:t>
      </w:r>
      <w:r w:rsidRPr="00EC5CFB">
        <w:rPr>
          <w:noProof/>
        </w:rPr>
        <w:tab/>
        <w:t>Erieesmärgid</w:t>
      </w:r>
      <w:bookmarkEnd w:id="15"/>
      <w:bookmarkEnd w:id="16"/>
    </w:p>
    <w:p w14:paraId="5D68946B"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1012BF97" w14:textId="77777777" w:rsidR="00E41E7D" w:rsidRPr="00EC5CFB" w:rsidRDefault="00212D2A" w:rsidP="00212D2A">
      <w:pPr>
        <w:pStyle w:val="ManualHeading3"/>
        <w:rPr>
          <w:noProof/>
        </w:rPr>
      </w:pPr>
      <w:bookmarkStart w:id="17" w:name="_Toc514938019"/>
      <w:bookmarkStart w:id="18" w:name="_Toc520485032"/>
      <w:r w:rsidRPr="00EC5CFB">
        <w:rPr>
          <w:noProof/>
        </w:rPr>
        <w:t>1.4.3.</w:t>
      </w:r>
      <w:r w:rsidRPr="00EC5CFB">
        <w:rPr>
          <w:noProof/>
        </w:rPr>
        <w:tab/>
        <w:t>Oodatavad tulemused ja mõju</w:t>
      </w:r>
      <w:bookmarkEnd w:id="17"/>
      <w:bookmarkEnd w:id="18"/>
    </w:p>
    <w:p w14:paraId="3A4CBADA" w14:textId="77777777" w:rsidR="00E41E7D" w:rsidRPr="00EC5CFB" w:rsidRDefault="00E41E7D" w:rsidP="00E41E7D">
      <w:pPr>
        <w:pStyle w:val="Text1"/>
        <w:rPr>
          <w:i/>
          <w:noProof/>
          <w:sz w:val="20"/>
        </w:rPr>
      </w:pPr>
      <w:r w:rsidRPr="00EC5CFB">
        <w:rPr>
          <w:i/>
          <w:noProof/>
          <w:sz w:val="20"/>
        </w:rPr>
        <w:t>Märkige, milline peaks olema ettepaneku/algatuse oodatav mõju toetusesaajatele/sihtrühmale.</w:t>
      </w:r>
    </w:p>
    <w:p w14:paraId="2CA92379"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6FC2B078" w14:textId="77777777" w:rsidR="00E41E7D" w:rsidRPr="00EC5CFB" w:rsidRDefault="00212D2A" w:rsidP="00212D2A">
      <w:pPr>
        <w:pStyle w:val="ManualHeading3"/>
        <w:rPr>
          <w:noProof/>
          <w:szCs w:val="24"/>
        </w:rPr>
      </w:pPr>
      <w:bookmarkStart w:id="19" w:name="_Toc514938023"/>
      <w:bookmarkStart w:id="20" w:name="_Toc520485033"/>
      <w:r w:rsidRPr="00EC5CFB">
        <w:rPr>
          <w:noProof/>
        </w:rPr>
        <w:t>1.4.4.</w:t>
      </w:r>
      <w:r w:rsidRPr="00EC5CFB">
        <w:rPr>
          <w:noProof/>
        </w:rPr>
        <w:tab/>
        <w:t>Tulemusnäitajad</w:t>
      </w:r>
      <w:bookmarkEnd w:id="19"/>
      <w:bookmarkEnd w:id="20"/>
    </w:p>
    <w:p w14:paraId="1AF8F1CB" w14:textId="77777777" w:rsidR="00E41E7D" w:rsidRPr="00EC5CFB" w:rsidRDefault="00E41E7D" w:rsidP="00E41E7D">
      <w:pPr>
        <w:pStyle w:val="Text1"/>
        <w:rPr>
          <w:i/>
          <w:noProof/>
          <w:sz w:val="20"/>
        </w:rPr>
      </w:pPr>
      <w:r w:rsidRPr="00EC5CFB">
        <w:rPr>
          <w:i/>
          <w:noProof/>
          <w:sz w:val="20"/>
        </w:rPr>
        <w:t>Märkige, milliste näitajate abil jälgitakse edusamme ja saavutusi.</w:t>
      </w:r>
    </w:p>
    <w:p w14:paraId="5B60B882"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2893432C" w14:textId="77777777" w:rsidR="00E41E7D" w:rsidRPr="00EC5CFB" w:rsidRDefault="00E41E7D">
      <w:pPr>
        <w:spacing w:before="0" w:after="200" w:line="276" w:lineRule="auto"/>
        <w:jc w:val="left"/>
        <w:rPr>
          <w:rFonts w:eastAsiaTheme="majorEastAsia"/>
          <w:b/>
          <w:bCs/>
          <w:noProof/>
          <w:szCs w:val="26"/>
        </w:rPr>
      </w:pPr>
      <w:bookmarkStart w:id="21" w:name="_Toc514938025"/>
      <w:bookmarkStart w:id="22" w:name="_Toc520485034"/>
      <w:r w:rsidRPr="00EC5CFB">
        <w:rPr>
          <w:noProof/>
        </w:rPr>
        <w:br w:type="page"/>
      </w:r>
    </w:p>
    <w:p w14:paraId="3484B0B3" w14:textId="77777777" w:rsidR="00E41E7D" w:rsidRPr="00EC5CFB" w:rsidRDefault="00212D2A" w:rsidP="00212D2A">
      <w:pPr>
        <w:pStyle w:val="ManualHeading2"/>
        <w:rPr>
          <w:bCs/>
          <w:noProof/>
          <w:szCs w:val="24"/>
        </w:rPr>
      </w:pPr>
      <w:r w:rsidRPr="00EC5CFB">
        <w:rPr>
          <w:noProof/>
        </w:rPr>
        <w:t>1.5.</w:t>
      </w:r>
      <w:r w:rsidRPr="00EC5CFB">
        <w:rPr>
          <w:noProof/>
        </w:rPr>
        <w:tab/>
        <w:t>Ettepaneku/algatuse põhjendused</w:t>
      </w:r>
      <w:bookmarkEnd w:id="21"/>
      <w:bookmarkEnd w:id="22"/>
      <w:r w:rsidRPr="00EC5CFB">
        <w:rPr>
          <w:noProof/>
        </w:rPr>
        <w:t xml:space="preserve"> </w:t>
      </w:r>
    </w:p>
    <w:p w14:paraId="617B81F7" w14:textId="77777777" w:rsidR="00E41E7D" w:rsidRPr="00EC5CFB" w:rsidRDefault="00212D2A" w:rsidP="00212D2A">
      <w:pPr>
        <w:pStyle w:val="ManualHeading3"/>
        <w:rPr>
          <w:noProof/>
        </w:rPr>
      </w:pPr>
      <w:bookmarkStart w:id="23" w:name="_Toc514938026"/>
      <w:bookmarkStart w:id="24" w:name="_Toc520485035"/>
      <w:r w:rsidRPr="00EC5CFB">
        <w:rPr>
          <w:noProof/>
        </w:rPr>
        <w:t>1.5.1.</w:t>
      </w:r>
      <w:r w:rsidRPr="00EC5CFB">
        <w:rPr>
          <w:noProof/>
        </w:rPr>
        <w:tab/>
        <w:t>Lühi- või pikaajalises perspektiivis täidetavad vajadused, sealhulgas algatuse rakendamise üksikasjalik ajakava</w:t>
      </w:r>
      <w:bookmarkEnd w:id="23"/>
      <w:bookmarkEnd w:id="24"/>
    </w:p>
    <w:p w14:paraId="5A35D0BF"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5D961E6E" w14:textId="77777777" w:rsidR="00E41E7D" w:rsidRPr="00EC5CFB" w:rsidRDefault="00212D2A" w:rsidP="00212D2A">
      <w:pPr>
        <w:pStyle w:val="ManualHeading3"/>
        <w:rPr>
          <w:bCs/>
          <w:noProof/>
          <w:szCs w:val="24"/>
        </w:rPr>
      </w:pPr>
      <w:bookmarkStart w:id="25" w:name="_Toc514938029"/>
      <w:bookmarkStart w:id="26" w:name="_Toc520485036"/>
      <w:r w:rsidRPr="00EC5CFB">
        <w:rPr>
          <w:noProof/>
        </w:rPr>
        <w:t>1.5.2.</w:t>
      </w:r>
      <w:r w:rsidRPr="00EC5CFB">
        <w:rPr>
          <w:noProof/>
        </w:rPr>
        <w:tab/>
        <w:t>ELi meetme lisaväärtus (see võib tuleneda eri teguritest, nagu kooskõlastamisest saadav kasu, õiguskindlus, suurem tõhusus või vastastikune täiendavus). Käesoleva punkti kohaldamisel tähendab „ELi meetme lisaväärtus“ väärtust, mis tuleneb liidu sekkumisest ja lisandub väärtusele, mille liikmesriigid oleksid muidu üksi loonud.</w:t>
      </w:r>
      <w:bookmarkEnd w:id="25"/>
      <w:bookmarkEnd w:id="26"/>
    </w:p>
    <w:p w14:paraId="631A4324"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018EAC7A" w14:textId="77777777" w:rsidR="00E41E7D" w:rsidRPr="00EC5CFB" w:rsidRDefault="00212D2A" w:rsidP="00212D2A">
      <w:pPr>
        <w:pStyle w:val="ManualHeading3"/>
        <w:rPr>
          <w:noProof/>
        </w:rPr>
      </w:pPr>
      <w:bookmarkStart w:id="27" w:name="_Toc514938030"/>
      <w:bookmarkStart w:id="28" w:name="_Toc520485037"/>
      <w:r w:rsidRPr="00EC5CFB">
        <w:rPr>
          <w:noProof/>
        </w:rPr>
        <w:t>1.5.3.</w:t>
      </w:r>
      <w:r w:rsidRPr="00EC5CFB">
        <w:rPr>
          <w:noProof/>
        </w:rPr>
        <w:tab/>
        <w:t>Samalaadsetest kogemustest saadud õppetunnid</w:t>
      </w:r>
      <w:bookmarkEnd w:id="27"/>
      <w:bookmarkEnd w:id="28"/>
    </w:p>
    <w:p w14:paraId="597B631D"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6D964279" w14:textId="77777777" w:rsidR="00E41E7D" w:rsidRPr="00EC5CFB" w:rsidRDefault="00212D2A" w:rsidP="00212D2A">
      <w:pPr>
        <w:pStyle w:val="ManualHeading3"/>
        <w:rPr>
          <w:noProof/>
        </w:rPr>
      </w:pPr>
      <w:bookmarkStart w:id="29" w:name="_Toc514938033"/>
      <w:bookmarkStart w:id="30" w:name="_Toc520485038"/>
      <w:r w:rsidRPr="00EC5CFB">
        <w:rPr>
          <w:noProof/>
        </w:rPr>
        <w:t>1.5.4.</w:t>
      </w:r>
      <w:r w:rsidRPr="00EC5CFB">
        <w:rPr>
          <w:noProof/>
        </w:rPr>
        <w:tab/>
        <w:t>Kooskõla mitmeaastase finantsraamistikuga ja võimalik koostoime muude asjaomaste meetmetega</w:t>
      </w:r>
      <w:bookmarkEnd w:id="29"/>
      <w:bookmarkEnd w:id="30"/>
    </w:p>
    <w:p w14:paraId="388119B0"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4BC346FC" w14:textId="77777777" w:rsidR="00E41E7D" w:rsidRPr="00EC5CFB" w:rsidRDefault="00212D2A" w:rsidP="00212D2A">
      <w:pPr>
        <w:pStyle w:val="ManualHeading3"/>
        <w:rPr>
          <w:noProof/>
        </w:rPr>
      </w:pPr>
      <w:bookmarkStart w:id="31" w:name="_Toc514938036"/>
      <w:bookmarkStart w:id="32" w:name="_Toc520485039"/>
      <w:r w:rsidRPr="00EC5CFB">
        <w:rPr>
          <w:noProof/>
        </w:rPr>
        <w:t>1.5.5.</w:t>
      </w:r>
      <w:r w:rsidRPr="00EC5CFB">
        <w:rPr>
          <w:noProof/>
        </w:rPr>
        <w:tab/>
        <w:t>Erinevate kasutada olevate rahastamisvõimaluste, sealhulgas vahendite ümberpaigutamise võimaluste hinnang</w:t>
      </w:r>
      <w:bookmarkEnd w:id="31"/>
      <w:bookmarkEnd w:id="32"/>
    </w:p>
    <w:p w14:paraId="1D87076B" w14:textId="77777777" w:rsidR="00E61475" w:rsidRPr="00EC5CFB" w:rsidRDefault="00E41E7D" w:rsidP="00E61475">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60344D7D" w14:textId="77777777" w:rsidR="00E41E7D" w:rsidRPr="00EC5CFB" w:rsidRDefault="00E41E7D" w:rsidP="00E61475">
      <w:pPr>
        <w:pStyle w:val="Text1"/>
        <w:pBdr>
          <w:top w:val="single" w:sz="4" w:space="1" w:color="auto"/>
          <w:left w:val="single" w:sz="4" w:space="4" w:color="auto"/>
          <w:bottom w:val="single" w:sz="4" w:space="1" w:color="auto"/>
          <w:right w:val="single" w:sz="4" w:space="4" w:color="auto"/>
        </w:pBdr>
        <w:rPr>
          <w:noProof/>
        </w:rPr>
      </w:pPr>
      <w:r w:rsidRPr="00EC5CFB">
        <w:rPr>
          <w:noProof/>
        </w:rPr>
        <w:br w:type="page"/>
      </w:r>
    </w:p>
    <w:p w14:paraId="518DA866" w14:textId="77777777" w:rsidR="00E41E7D" w:rsidRPr="00EC5CFB" w:rsidRDefault="00212D2A" w:rsidP="00212D2A">
      <w:pPr>
        <w:pStyle w:val="ManualHeading2"/>
        <w:rPr>
          <w:bCs/>
          <w:noProof/>
          <w:szCs w:val="24"/>
        </w:rPr>
      </w:pPr>
      <w:bookmarkStart w:id="33" w:name="_Toc514938039"/>
      <w:bookmarkStart w:id="34" w:name="_Toc520485040"/>
      <w:r w:rsidRPr="00EC5CFB">
        <w:rPr>
          <w:noProof/>
        </w:rPr>
        <w:t>1.6.</w:t>
      </w:r>
      <w:r w:rsidRPr="00EC5CFB">
        <w:rPr>
          <w:noProof/>
        </w:rPr>
        <w:tab/>
        <w:t>Ettepaneku/algatuse kestus ja finantsmõju</w:t>
      </w:r>
      <w:bookmarkEnd w:id="33"/>
      <w:bookmarkEnd w:id="34"/>
    </w:p>
    <w:p w14:paraId="428231CA" w14:textId="77777777" w:rsidR="00E41E7D" w:rsidRPr="00EC5CFB" w:rsidRDefault="00E41E7D" w:rsidP="00E41E7D">
      <w:pPr>
        <w:pStyle w:val="Text1"/>
        <w:rPr>
          <w:noProof/>
        </w:rPr>
      </w:pPr>
      <w:r w:rsidRPr="00EC5CFB">
        <w:rPr>
          <w:b/>
          <w:noProof/>
        </w:rPr>
        <w:t>X</w:t>
      </w:r>
      <w:r w:rsidRPr="00EC5CFB">
        <w:rPr>
          <w:b/>
          <w:i/>
          <w:noProof/>
        </w:rPr>
        <w:t xml:space="preserve"> </w:t>
      </w:r>
      <w:r w:rsidRPr="00EC5CFB">
        <w:rPr>
          <w:b/>
          <w:noProof/>
        </w:rPr>
        <w:t xml:space="preserve">Piiratud kestusega </w:t>
      </w:r>
    </w:p>
    <w:p w14:paraId="17BCD8F8" w14:textId="77777777" w:rsidR="00E41E7D" w:rsidRPr="00EC5CFB" w:rsidRDefault="00E41E7D" w:rsidP="00E41E7D">
      <w:pPr>
        <w:pStyle w:val="ListDash2"/>
        <w:rPr>
          <w:noProof/>
        </w:rPr>
      </w:pPr>
      <w:r w:rsidRPr="00EC5CFB">
        <w:rPr>
          <w:b/>
          <w:noProof/>
        </w:rPr>
        <w:t>X</w:t>
      </w:r>
      <w:r w:rsidRPr="00EC5CFB">
        <w:rPr>
          <w:noProof/>
        </w:rPr>
        <w:tab/>
        <w:t>Finantsmõju maksete assigneeringutele ajavahemikus 1. jaanuarist 2022 kuni 31. detsembrini 2027</w:t>
      </w:r>
    </w:p>
    <w:p w14:paraId="42DC599E" w14:textId="77777777" w:rsidR="00E41E7D" w:rsidRPr="00EC5CFB" w:rsidRDefault="00E41E7D" w:rsidP="00E41E7D">
      <w:pPr>
        <w:pStyle w:val="Text1"/>
        <w:rPr>
          <w:noProof/>
        </w:rPr>
      </w:pPr>
      <w:r w:rsidRPr="00EC5CFB">
        <w:rPr>
          <w:noProof/>
        </w:rPr>
        <w:sym w:font="Wingdings" w:char="F0A8"/>
      </w:r>
      <w:r w:rsidRPr="00EC5CFB">
        <w:rPr>
          <w:b/>
          <w:i/>
          <w:noProof/>
        </w:rPr>
        <w:t xml:space="preserve"> </w:t>
      </w:r>
      <w:r w:rsidRPr="00EC5CFB">
        <w:rPr>
          <w:b/>
          <w:noProof/>
        </w:rPr>
        <w:t>Piiramatu kestusega</w:t>
      </w:r>
    </w:p>
    <w:p w14:paraId="1A66CCBB" w14:textId="77777777" w:rsidR="00E41E7D" w:rsidRPr="00EC5CFB" w:rsidRDefault="00E41E7D" w:rsidP="00E41E7D">
      <w:pPr>
        <w:pStyle w:val="ListDash1"/>
        <w:rPr>
          <w:noProof/>
        </w:rPr>
      </w:pPr>
      <w:r w:rsidRPr="00EC5CFB">
        <w:rPr>
          <w:noProof/>
        </w:rPr>
        <w:t>Rakendamise käivitumisperiood hõlmab ajavahemikku AAAA–AAAA,</w:t>
      </w:r>
    </w:p>
    <w:p w14:paraId="74C8DC99" w14:textId="77777777" w:rsidR="00E41E7D" w:rsidRPr="00EC5CFB" w:rsidRDefault="00E41E7D" w:rsidP="00E41E7D">
      <w:pPr>
        <w:pStyle w:val="ListDash1"/>
        <w:rPr>
          <w:noProof/>
        </w:rPr>
      </w:pPr>
      <w:r w:rsidRPr="00EC5CFB">
        <w:rPr>
          <w:noProof/>
        </w:rPr>
        <w:t>millele järgneb täieulatuslik rakendamine</w:t>
      </w:r>
    </w:p>
    <w:p w14:paraId="58C3E266" w14:textId="77777777" w:rsidR="00E41E7D" w:rsidRPr="00EC5CFB" w:rsidRDefault="00212D2A" w:rsidP="00212D2A">
      <w:pPr>
        <w:pStyle w:val="ManualHeading2"/>
        <w:rPr>
          <w:bCs/>
          <w:noProof/>
          <w:szCs w:val="24"/>
        </w:rPr>
      </w:pPr>
      <w:bookmarkStart w:id="35" w:name="_Toc514938040"/>
      <w:bookmarkStart w:id="36" w:name="_Toc520485041"/>
      <w:r w:rsidRPr="00EC5CFB">
        <w:rPr>
          <w:noProof/>
        </w:rPr>
        <w:t>1.7.</w:t>
      </w:r>
      <w:r w:rsidRPr="00EC5CFB">
        <w:rPr>
          <w:noProof/>
        </w:rPr>
        <w:tab/>
        <w:t>Ettenähtud eelarve täitmise viisid</w:t>
      </w:r>
      <w:r w:rsidRPr="00EC5CFB">
        <w:rPr>
          <w:rStyle w:val="FootnoteReference"/>
          <w:noProof/>
        </w:rPr>
        <w:footnoteReference w:id="21"/>
      </w:r>
      <w:r w:rsidRPr="00EC5CFB">
        <w:rPr>
          <w:rStyle w:val="FootnoteReference"/>
          <w:noProof/>
        </w:rPr>
        <w:t xml:space="preserve"> </w:t>
      </w:r>
      <w:bookmarkEnd w:id="35"/>
      <w:bookmarkEnd w:id="36"/>
      <w:r w:rsidRPr="00EC5CFB">
        <w:rPr>
          <w:rStyle w:val="FootnoteReference"/>
          <w:noProof/>
        </w:rPr>
        <w:t xml:space="preserve"> </w:t>
      </w:r>
    </w:p>
    <w:p w14:paraId="6DD156F7" w14:textId="77777777" w:rsidR="00E41E7D" w:rsidRPr="00EC5CFB" w:rsidRDefault="00E41E7D" w:rsidP="00E41E7D">
      <w:pPr>
        <w:pStyle w:val="Text1"/>
        <w:rPr>
          <w:noProof/>
        </w:rPr>
      </w:pPr>
      <w:r w:rsidRPr="00EC5CFB">
        <w:rPr>
          <w:noProof/>
        </w:rPr>
        <w:sym w:font="Wingdings" w:char="F0A8"/>
      </w:r>
      <w:r w:rsidRPr="00EC5CFB">
        <w:rPr>
          <w:i/>
          <w:noProof/>
        </w:rPr>
        <w:t xml:space="preserve"> </w:t>
      </w:r>
      <w:r w:rsidRPr="00EC5CFB">
        <w:rPr>
          <w:b/>
          <w:noProof/>
        </w:rPr>
        <w:t>Eelarve otsene täitmine</w:t>
      </w:r>
      <w:r w:rsidRPr="00EC5CFB">
        <w:rPr>
          <w:noProof/>
        </w:rPr>
        <w:t xml:space="preserve"> komisjoni poolt</w:t>
      </w:r>
    </w:p>
    <w:p w14:paraId="130241DC" w14:textId="77777777" w:rsidR="00E41E7D" w:rsidRPr="00EC5CFB" w:rsidRDefault="00E41E7D" w:rsidP="00E41E7D">
      <w:pPr>
        <w:pStyle w:val="ListDash2"/>
        <w:rPr>
          <w:rFonts w:cs="EUAlbertina"/>
          <w:noProof/>
        </w:rPr>
      </w:pPr>
      <w:r w:rsidRPr="00EC5CFB">
        <w:rPr>
          <w:noProof/>
        </w:rPr>
        <w:sym w:font="Wingdings" w:char="F0A8"/>
      </w:r>
      <w:r w:rsidRPr="00EC5CFB">
        <w:rPr>
          <w:noProof/>
        </w:rPr>
        <w:tab/>
        <w:t xml:space="preserve">oma talituste kaudu, sealhulgas kasutades liidu delegatsioonides töötavat komisjoni personali; </w:t>
      </w:r>
    </w:p>
    <w:p w14:paraId="58A55FC6" w14:textId="77777777" w:rsidR="00E41E7D" w:rsidRPr="00EC5CFB" w:rsidRDefault="00E41E7D" w:rsidP="00E41E7D">
      <w:pPr>
        <w:pStyle w:val="ListDash2"/>
        <w:rPr>
          <w:noProof/>
        </w:rPr>
      </w:pPr>
      <w:r w:rsidRPr="00EC5CFB">
        <w:rPr>
          <w:noProof/>
        </w:rPr>
        <w:sym w:font="Wingdings" w:char="F0A8"/>
      </w:r>
      <w:r w:rsidRPr="00EC5CFB">
        <w:rPr>
          <w:noProof/>
        </w:rPr>
        <w:tab/>
        <w:t xml:space="preserve">rakendusametite kaudu </w:t>
      </w:r>
    </w:p>
    <w:p w14:paraId="5B581A60" w14:textId="77777777" w:rsidR="00E41E7D" w:rsidRPr="00EC5CFB" w:rsidRDefault="00E41E7D" w:rsidP="00E41E7D">
      <w:pPr>
        <w:pStyle w:val="Text1"/>
        <w:rPr>
          <w:noProof/>
        </w:rPr>
      </w:pPr>
      <w:r w:rsidRPr="00EC5CFB">
        <w:rPr>
          <w:b/>
          <w:noProof/>
        </w:rPr>
        <w:t>X</w:t>
      </w:r>
      <w:r w:rsidRPr="00EC5CFB">
        <w:rPr>
          <w:b/>
          <w:i/>
          <w:noProof/>
        </w:rPr>
        <w:t xml:space="preserve"> </w:t>
      </w:r>
      <w:r w:rsidRPr="00EC5CFB">
        <w:rPr>
          <w:b/>
          <w:noProof/>
        </w:rPr>
        <w:t>Eelarve jagatud täitmine</w:t>
      </w:r>
      <w:r w:rsidRPr="00EC5CFB">
        <w:rPr>
          <w:noProof/>
        </w:rPr>
        <w:t xml:space="preserve"> koostöös liikmesriikidega </w:t>
      </w:r>
    </w:p>
    <w:p w14:paraId="5DF8C0D8" w14:textId="77777777" w:rsidR="00E41E7D" w:rsidRPr="00EC5CFB" w:rsidRDefault="00E41E7D" w:rsidP="00E41E7D">
      <w:pPr>
        <w:pStyle w:val="Text1"/>
        <w:rPr>
          <w:noProof/>
        </w:rPr>
      </w:pPr>
      <w:r w:rsidRPr="00EC5CFB">
        <w:rPr>
          <w:noProof/>
        </w:rPr>
        <w:sym w:font="Wingdings" w:char="F0A8"/>
      </w:r>
      <w:r w:rsidRPr="00EC5CFB">
        <w:rPr>
          <w:i/>
          <w:noProof/>
        </w:rPr>
        <w:t xml:space="preserve"> </w:t>
      </w:r>
      <w:r w:rsidRPr="00EC5CFB">
        <w:rPr>
          <w:b/>
          <w:noProof/>
        </w:rPr>
        <w:t>Eelarve kaudne täitmine</w:t>
      </w:r>
      <w:r w:rsidRPr="00EC5CFB">
        <w:rPr>
          <w:noProof/>
        </w:rPr>
        <w:t>, mille puhul eelarve täitmise ülesanded on delegeeritud:</w:t>
      </w:r>
    </w:p>
    <w:p w14:paraId="2B0B14DB" w14:textId="77777777" w:rsidR="00E41E7D" w:rsidRPr="00EC5CFB" w:rsidRDefault="00E41E7D" w:rsidP="00E41E7D">
      <w:pPr>
        <w:pStyle w:val="ListDash2"/>
        <w:rPr>
          <w:noProof/>
        </w:rPr>
      </w:pPr>
      <w:r w:rsidRPr="00EC5CFB">
        <w:rPr>
          <w:noProof/>
        </w:rPr>
        <w:sym w:font="Wingdings" w:char="F0A8"/>
      </w:r>
      <w:r w:rsidRPr="00EC5CFB">
        <w:rPr>
          <w:noProof/>
        </w:rPr>
        <w:tab/>
        <w:t>kolmandatele riikidele või nende määratud asutustele;</w:t>
      </w:r>
    </w:p>
    <w:p w14:paraId="632BEF19" w14:textId="77777777" w:rsidR="00E41E7D" w:rsidRPr="00EC5CFB" w:rsidRDefault="00E41E7D" w:rsidP="00E41E7D">
      <w:pPr>
        <w:pStyle w:val="ListDash2"/>
        <w:rPr>
          <w:noProof/>
        </w:rPr>
      </w:pPr>
      <w:r w:rsidRPr="00EC5CFB">
        <w:rPr>
          <w:noProof/>
        </w:rPr>
        <w:sym w:font="Wingdings" w:char="F0A8"/>
      </w:r>
      <w:r w:rsidRPr="00EC5CFB">
        <w:rPr>
          <w:noProof/>
        </w:rPr>
        <w:tab/>
        <w:t>rahvusvahelistele organisatsioonidele ja nende allasutustele (nimetage);</w:t>
      </w:r>
    </w:p>
    <w:p w14:paraId="27806E3F" w14:textId="77777777" w:rsidR="00E41E7D" w:rsidRPr="00EC5CFB" w:rsidRDefault="00E41E7D" w:rsidP="00E41E7D">
      <w:pPr>
        <w:pStyle w:val="ListDash2"/>
        <w:rPr>
          <w:noProof/>
        </w:rPr>
      </w:pPr>
      <w:r w:rsidRPr="00EC5CFB">
        <w:rPr>
          <w:noProof/>
        </w:rPr>
        <w:sym w:font="Wingdings" w:char="F0A8"/>
      </w:r>
      <w:r w:rsidRPr="00EC5CFB">
        <w:rPr>
          <w:noProof/>
        </w:rPr>
        <w:tab/>
        <w:t>Euroopa Investeerimispangale ja Euroopa Investeerimisfondile;</w:t>
      </w:r>
    </w:p>
    <w:p w14:paraId="05122A67" w14:textId="77777777" w:rsidR="00E41E7D" w:rsidRPr="00EC5CFB" w:rsidRDefault="00E41E7D" w:rsidP="00E41E7D">
      <w:pPr>
        <w:pStyle w:val="ListDash2"/>
        <w:rPr>
          <w:noProof/>
        </w:rPr>
      </w:pPr>
      <w:r w:rsidRPr="00EC5CFB">
        <w:rPr>
          <w:noProof/>
        </w:rPr>
        <w:sym w:font="Wingdings" w:char="F0A8"/>
      </w:r>
      <w:r w:rsidRPr="00EC5CFB">
        <w:rPr>
          <w:noProof/>
        </w:rPr>
        <w:tab/>
        <w:t>finantsmääruse artiklites 70 ja 71 osutatud asutustele;</w:t>
      </w:r>
    </w:p>
    <w:p w14:paraId="24F157C9" w14:textId="77777777" w:rsidR="00E41E7D" w:rsidRPr="00EC5CFB" w:rsidRDefault="00E41E7D" w:rsidP="00E41E7D">
      <w:pPr>
        <w:pStyle w:val="ListDash2"/>
        <w:rPr>
          <w:noProof/>
        </w:rPr>
      </w:pPr>
      <w:r w:rsidRPr="00EC5CFB">
        <w:rPr>
          <w:noProof/>
        </w:rPr>
        <w:sym w:font="Wingdings" w:char="F0A8"/>
      </w:r>
      <w:r w:rsidRPr="00EC5CFB">
        <w:rPr>
          <w:noProof/>
        </w:rPr>
        <w:tab/>
        <w:t>avalik-õiguslikele asutustele;</w:t>
      </w:r>
    </w:p>
    <w:p w14:paraId="59C16D7E" w14:textId="77777777" w:rsidR="00E41E7D" w:rsidRPr="00EC5CFB" w:rsidRDefault="00E41E7D" w:rsidP="00E41E7D">
      <w:pPr>
        <w:pStyle w:val="ListDash2"/>
        <w:rPr>
          <w:noProof/>
        </w:rPr>
      </w:pPr>
      <w:r w:rsidRPr="00EC5CFB">
        <w:rPr>
          <w:noProof/>
        </w:rPr>
        <w:sym w:font="Wingdings" w:char="F0A8"/>
      </w:r>
      <w:r w:rsidRPr="00EC5CFB">
        <w:rPr>
          <w:noProof/>
        </w:rPr>
        <w:tab/>
        <w:t>avalikke teenuseid osutavatele eraõiguslikele asutustele, kuivõrd nad esitavad piisavad finantstagatised;</w:t>
      </w:r>
    </w:p>
    <w:p w14:paraId="6C9272CE" w14:textId="77777777" w:rsidR="00E41E7D" w:rsidRPr="00EC5CFB" w:rsidRDefault="00E41E7D" w:rsidP="00E41E7D">
      <w:pPr>
        <w:pStyle w:val="ListDash2"/>
        <w:rPr>
          <w:noProof/>
        </w:rPr>
      </w:pPr>
      <w:r w:rsidRPr="00EC5CFB">
        <w:rPr>
          <w:noProof/>
        </w:rPr>
        <w:sym w:font="Wingdings" w:char="F0A8"/>
      </w:r>
      <w:r w:rsidRPr="00EC5CFB">
        <w:rPr>
          <w:noProof/>
        </w:rPr>
        <w:tab/>
        <w:t>liikmesriigi eraõigusega reguleeritud asutustele, kellele on delegeeritud avaliku ja erasektori partnerluse rakendamine ja kes esitavad piisavad finantstagatised;</w:t>
      </w:r>
    </w:p>
    <w:p w14:paraId="494B4897" w14:textId="77777777" w:rsidR="00E41E7D" w:rsidRPr="00EC5CFB" w:rsidRDefault="00E41E7D" w:rsidP="00E41E7D">
      <w:pPr>
        <w:pStyle w:val="ListDash2"/>
        <w:rPr>
          <w:noProof/>
        </w:rPr>
      </w:pPr>
      <w:r w:rsidRPr="00EC5CFB">
        <w:rPr>
          <w:noProof/>
        </w:rPr>
        <w:sym w:font="Wingdings" w:char="F0A8"/>
      </w:r>
      <w:r w:rsidRPr="00EC5CFB">
        <w:rPr>
          <w:noProof/>
        </w:rPr>
        <w:tab/>
        <w:t>isikutele, kellele on delegeeritud Euroopa Liidu lepingu V jaotise kohaste ühise välis- ja julgeolekupoliitika erimeetmete rakendamine ja kes on kindlaks määratud asjaomases alusaktis.</w:t>
      </w:r>
    </w:p>
    <w:p w14:paraId="682C9727" w14:textId="77777777" w:rsidR="00E41E7D" w:rsidRPr="00EC5CFB" w:rsidRDefault="00E41E7D" w:rsidP="00E41E7D">
      <w:pPr>
        <w:pStyle w:val="ListDash2"/>
        <w:rPr>
          <w:i/>
          <w:noProof/>
          <w:sz w:val="18"/>
          <w:u w:val="single"/>
        </w:rPr>
      </w:pPr>
      <w:r w:rsidRPr="00EC5CFB">
        <w:rPr>
          <w:i/>
          <w:noProof/>
          <w:sz w:val="18"/>
        </w:rPr>
        <w:t>Mitme eelarve täitmise viisi valimise korral esitage üksikasjad rubriigis „Märkused“.</w:t>
      </w:r>
    </w:p>
    <w:p w14:paraId="11AFAC41" w14:textId="77777777" w:rsidR="00E41E7D" w:rsidRPr="00EC5CFB" w:rsidRDefault="00E41E7D" w:rsidP="00E41E7D">
      <w:pPr>
        <w:rPr>
          <w:noProof/>
        </w:rPr>
      </w:pPr>
      <w:r w:rsidRPr="00EC5CFB">
        <w:rPr>
          <w:noProof/>
        </w:rPr>
        <w:t xml:space="preserve">Märkused </w:t>
      </w:r>
    </w:p>
    <w:p w14:paraId="1B700179" w14:textId="77777777" w:rsidR="00E41E7D" w:rsidRPr="00EC5CFB" w:rsidRDefault="00E41E7D" w:rsidP="00E41E7D">
      <w:pPr>
        <w:rPr>
          <w:noProof/>
        </w:rPr>
      </w:pPr>
      <w:r w:rsidRPr="00EC5CFB">
        <w:rPr>
          <w:noProof/>
        </w:rPr>
        <w:t>Ei kohaldata.</w:t>
      </w:r>
    </w:p>
    <w:p w14:paraId="32F539DA" w14:textId="77777777" w:rsidR="00E41E7D" w:rsidRPr="00EC5CFB" w:rsidRDefault="00E41E7D">
      <w:pPr>
        <w:spacing w:before="0" w:after="200" w:line="276" w:lineRule="auto"/>
        <w:jc w:val="left"/>
        <w:rPr>
          <w:noProof/>
        </w:rPr>
      </w:pPr>
      <w:r w:rsidRPr="00EC5CFB">
        <w:rPr>
          <w:noProof/>
        </w:rPr>
        <w:br w:type="page"/>
      </w:r>
    </w:p>
    <w:p w14:paraId="04B93132" w14:textId="77777777" w:rsidR="00E41E7D" w:rsidRPr="00EC5CFB" w:rsidRDefault="00212D2A" w:rsidP="00212D2A">
      <w:pPr>
        <w:pStyle w:val="ManualHeading1"/>
        <w:rPr>
          <w:bCs/>
          <w:noProof/>
          <w:szCs w:val="24"/>
        </w:rPr>
      </w:pPr>
      <w:bookmarkStart w:id="37" w:name="_Toc514938041"/>
      <w:bookmarkStart w:id="38" w:name="_Toc520485042"/>
      <w:r w:rsidRPr="00EC5CFB">
        <w:rPr>
          <w:noProof/>
        </w:rPr>
        <w:t>2.</w:t>
      </w:r>
      <w:r w:rsidRPr="00EC5CFB">
        <w:rPr>
          <w:noProof/>
        </w:rPr>
        <w:tab/>
        <w:t>HALDUSMEETMED</w:t>
      </w:r>
      <w:bookmarkEnd w:id="37"/>
      <w:bookmarkEnd w:id="38"/>
      <w:r w:rsidRPr="00EC5CFB">
        <w:rPr>
          <w:noProof/>
        </w:rPr>
        <w:t xml:space="preserve"> </w:t>
      </w:r>
    </w:p>
    <w:p w14:paraId="4FA10C34" w14:textId="77777777" w:rsidR="00E41E7D" w:rsidRPr="00EC5CFB" w:rsidRDefault="00212D2A" w:rsidP="00212D2A">
      <w:pPr>
        <w:pStyle w:val="ManualHeading2"/>
        <w:rPr>
          <w:noProof/>
        </w:rPr>
      </w:pPr>
      <w:bookmarkStart w:id="39" w:name="_Toc514938042"/>
      <w:bookmarkStart w:id="40" w:name="_Toc520485043"/>
      <w:r w:rsidRPr="00EC5CFB">
        <w:rPr>
          <w:noProof/>
        </w:rPr>
        <w:t>2.1.</w:t>
      </w:r>
      <w:r w:rsidRPr="00EC5CFB">
        <w:rPr>
          <w:noProof/>
        </w:rPr>
        <w:tab/>
        <w:t>Järelevalve ja aruandluse eeskirjad</w:t>
      </w:r>
      <w:bookmarkEnd w:id="39"/>
      <w:bookmarkEnd w:id="40"/>
      <w:r w:rsidRPr="00EC5CFB">
        <w:rPr>
          <w:noProof/>
        </w:rPr>
        <w:t xml:space="preserve"> </w:t>
      </w:r>
    </w:p>
    <w:p w14:paraId="705DF3D7" w14:textId="77777777" w:rsidR="00E41E7D" w:rsidRPr="00EC5CFB" w:rsidRDefault="00E41E7D" w:rsidP="00E41E7D">
      <w:pPr>
        <w:pStyle w:val="Text1"/>
        <w:rPr>
          <w:i/>
          <w:noProof/>
          <w:sz w:val="20"/>
        </w:rPr>
      </w:pPr>
      <w:r w:rsidRPr="00EC5CFB">
        <w:rPr>
          <w:i/>
          <w:noProof/>
          <w:sz w:val="20"/>
        </w:rPr>
        <w:t>Märkige sagedus ja tingimused.</w:t>
      </w:r>
    </w:p>
    <w:p w14:paraId="5F606DD9"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116309A8" w14:textId="77777777" w:rsidR="00E41E7D" w:rsidRPr="00EC5CFB" w:rsidRDefault="00212D2A" w:rsidP="00212D2A">
      <w:pPr>
        <w:pStyle w:val="ManualHeading2"/>
        <w:rPr>
          <w:bCs/>
          <w:noProof/>
          <w:szCs w:val="24"/>
        </w:rPr>
      </w:pPr>
      <w:bookmarkStart w:id="41" w:name="_Toc514938045"/>
      <w:bookmarkStart w:id="42" w:name="_Toc520485044"/>
      <w:r w:rsidRPr="00EC5CFB">
        <w:rPr>
          <w:noProof/>
        </w:rPr>
        <w:t>2.2.</w:t>
      </w:r>
      <w:r w:rsidRPr="00EC5CFB">
        <w:rPr>
          <w:noProof/>
        </w:rPr>
        <w:tab/>
        <w:t>Haldus- ja kontrollisüsteem(id)</w:t>
      </w:r>
      <w:bookmarkEnd w:id="41"/>
      <w:bookmarkEnd w:id="42"/>
      <w:r w:rsidRPr="00EC5CFB">
        <w:rPr>
          <w:noProof/>
        </w:rPr>
        <w:t xml:space="preserve"> </w:t>
      </w:r>
    </w:p>
    <w:p w14:paraId="1F76341F" w14:textId="77777777" w:rsidR="00E41E7D" w:rsidRPr="00EC5CFB" w:rsidRDefault="00212D2A" w:rsidP="00212D2A">
      <w:pPr>
        <w:pStyle w:val="ManualHeading3"/>
        <w:rPr>
          <w:noProof/>
        </w:rPr>
      </w:pPr>
      <w:bookmarkStart w:id="43" w:name="_Toc514938046"/>
      <w:bookmarkStart w:id="44" w:name="_Toc520485045"/>
      <w:r w:rsidRPr="00EC5CFB">
        <w:rPr>
          <w:noProof/>
        </w:rPr>
        <w:t>2.2.1.</w:t>
      </w:r>
      <w:r w:rsidRPr="00EC5CFB">
        <w:rPr>
          <w:noProof/>
        </w:rPr>
        <w:tab/>
        <w:t>Eelarve täitmise viisi(de), rahastamise rakendamise mehhanismi(de), maksete tegemise korra ja kavandatava kontrollistrateegia selgitus</w:t>
      </w:r>
      <w:bookmarkEnd w:id="43"/>
      <w:bookmarkEnd w:id="44"/>
    </w:p>
    <w:p w14:paraId="14BA44AF"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48E9A2A0" w14:textId="77777777" w:rsidR="00E41E7D" w:rsidRPr="00EC5CFB" w:rsidRDefault="00212D2A" w:rsidP="00212D2A">
      <w:pPr>
        <w:pStyle w:val="ManualHeading3"/>
        <w:rPr>
          <w:bCs/>
          <w:noProof/>
          <w:szCs w:val="24"/>
        </w:rPr>
      </w:pPr>
      <w:bookmarkStart w:id="45" w:name="_Toc514938047"/>
      <w:bookmarkStart w:id="46" w:name="_Toc520485046"/>
      <w:r w:rsidRPr="00EC5CFB">
        <w:rPr>
          <w:noProof/>
        </w:rPr>
        <w:t>2.2.2.</w:t>
      </w:r>
      <w:r w:rsidRPr="00EC5CFB">
        <w:rPr>
          <w:noProof/>
        </w:rPr>
        <w:tab/>
        <w:t>Teave kindlakstehtud riskide ja nende vähendamiseks kasutusele võetud sisekontrollisüsteemi(de) kohta</w:t>
      </w:r>
      <w:bookmarkEnd w:id="45"/>
      <w:bookmarkEnd w:id="46"/>
    </w:p>
    <w:p w14:paraId="46109EAE"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06A448CA" w14:textId="77777777" w:rsidR="00E41E7D" w:rsidRPr="00EC5CFB" w:rsidRDefault="00212D2A" w:rsidP="00212D2A">
      <w:pPr>
        <w:pStyle w:val="ManualHeading3"/>
        <w:rPr>
          <w:noProof/>
        </w:rPr>
      </w:pPr>
      <w:bookmarkStart w:id="47" w:name="_Toc514938048"/>
      <w:bookmarkStart w:id="48" w:name="_Toc520485047"/>
      <w:r w:rsidRPr="00EC5CFB">
        <w:rPr>
          <w:noProof/>
        </w:rPr>
        <w:t>2.2.3.</w:t>
      </w:r>
      <w:r w:rsidRPr="00EC5CFB">
        <w:rPr>
          <w:noProof/>
        </w:rPr>
        <w:tab/>
        <w:t>Kontrollide kulutõhususe (kontrollikulude suhe hallatavate vahendite väärtusse) hinnang ja põhjendus ning prognoositav veariski tase (maksete tegemise ja sulgemise ajal).</w:t>
      </w:r>
      <w:bookmarkEnd w:id="47"/>
      <w:bookmarkEnd w:id="48"/>
      <w:r w:rsidRPr="00EC5CFB">
        <w:rPr>
          <w:noProof/>
        </w:rPr>
        <w:t xml:space="preserve"> </w:t>
      </w:r>
    </w:p>
    <w:p w14:paraId="67891D1C"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pPr>
      <w:r w:rsidRPr="00EC5CFB">
        <w:rPr>
          <w:noProof/>
        </w:rPr>
        <w:t>Ei kohaldata.</w:t>
      </w:r>
    </w:p>
    <w:p w14:paraId="122EB010" w14:textId="77777777" w:rsidR="00E41E7D" w:rsidRPr="00EC5CFB" w:rsidRDefault="00212D2A" w:rsidP="00212D2A">
      <w:pPr>
        <w:pStyle w:val="ManualHeading2"/>
        <w:rPr>
          <w:bCs/>
          <w:noProof/>
          <w:szCs w:val="24"/>
        </w:rPr>
      </w:pPr>
      <w:bookmarkStart w:id="49" w:name="_Toc514938049"/>
      <w:bookmarkStart w:id="50" w:name="_Toc520485048"/>
      <w:r w:rsidRPr="00EC5CFB">
        <w:rPr>
          <w:noProof/>
        </w:rPr>
        <w:t>2.3.</w:t>
      </w:r>
      <w:r w:rsidRPr="00EC5CFB">
        <w:rPr>
          <w:noProof/>
        </w:rPr>
        <w:tab/>
        <w:t>Pettuse ja eeskirjade eiramise ärahoidmise meetmed</w:t>
      </w:r>
      <w:bookmarkEnd w:id="49"/>
      <w:bookmarkEnd w:id="50"/>
      <w:r w:rsidRPr="00EC5CFB">
        <w:rPr>
          <w:noProof/>
        </w:rPr>
        <w:t xml:space="preserve"> </w:t>
      </w:r>
    </w:p>
    <w:p w14:paraId="24251714" w14:textId="77777777" w:rsidR="00E41E7D" w:rsidRPr="00EC5CFB" w:rsidRDefault="00E41E7D" w:rsidP="00E41E7D">
      <w:pPr>
        <w:pStyle w:val="Text1"/>
        <w:rPr>
          <w:i/>
          <w:noProof/>
          <w:sz w:val="20"/>
        </w:rPr>
      </w:pPr>
      <w:r w:rsidRPr="00EC5CFB">
        <w:rPr>
          <w:i/>
          <w:noProof/>
          <w:sz w:val="20"/>
        </w:rPr>
        <w:t>Nimetage rakendatavad või kavandatud ennetus- ja kaitsemeetmed, nt pettustevastase võitluse strateegias esitatud meetmed.</w:t>
      </w:r>
    </w:p>
    <w:p w14:paraId="3DF315C2" w14:textId="77777777" w:rsidR="00E41E7D" w:rsidRPr="00EC5CFB" w:rsidRDefault="00E41E7D" w:rsidP="00E41E7D">
      <w:pPr>
        <w:pStyle w:val="Text1"/>
        <w:pBdr>
          <w:top w:val="single" w:sz="4" w:space="1" w:color="auto"/>
          <w:left w:val="single" w:sz="4" w:space="4" w:color="auto"/>
          <w:bottom w:val="single" w:sz="4" w:space="1" w:color="auto"/>
          <w:right w:val="single" w:sz="4" w:space="4" w:color="auto"/>
        </w:pBdr>
        <w:rPr>
          <w:noProof/>
        </w:rPr>
        <w:sectPr w:rsidR="00E41E7D" w:rsidRPr="00EC5CFB" w:rsidSect="00116713">
          <w:pgSz w:w="11907" w:h="16840" w:code="9"/>
          <w:pgMar w:top="1134" w:right="1418" w:bottom="1134" w:left="1418" w:header="709" w:footer="709" w:gutter="0"/>
          <w:cols w:space="708"/>
          <w:docGrid w:linePitch="360"/>
        </w:sectPr>
      </w:pPr>
      <w:r w:rsidRPr="00EC5CFB">
        <w:rPr>
          <w:noProof/>
        </w:rPr>
        <w:t>Ei kohaldata.</w:t>
      </w:r>
    </w:p>
    <w:p w14:paraId="319695DC" w14:textId="77777777" w:rsidR="00C87E1E" w:rsidRPr="00EC5CFB" w:rsidRDefault="00C87E1E" w:rsidP="00855A8A">
      <w:pPr>
        <w:rPr>
          <w:b/>
          <w:noProof/>
          <w:szCs w:val="24"/>
          <w:u w:val="single"/>
        </w:rPr>
      </w:pPr>
      <w:r w:rsidRPr="00EC5CFB">
        <w:rPr>
          <w:b/>
          <w:noProof/>
          <w:u w:val="single"/>
        </w:rPr>
        <w:t>ETTEPANEKU/ALGATUSE HINNANGULINE FINANTSMÕJU</w:t>
      </w:r>
      <w:bookmarkEnd w:id="1"/>
      <w:bookmarkEnd w:id="2"/>
      <w:r w:rsidRPr="00EC5CFB">
        <w:rPr>
          <w:b/>
          <w:noProof/>
          <w:u w:val="single"/>
        </w:rPr>
        <w:t xml:space="preserve"> </w:t>
      </w:r>
    </w:p>
    <w:p w14:paraId="78FFDF5A" w14:textId="77777777" w:rsidR="00C87E1E" w:rsidRPr="00EC5CFB" w:rsidRDefault="00C87E1E" w:rsidP="00FB18F4">
      <w:pPr>
        <w:keepNext/>
        <w:outlineLvl w:val="1"/>
        <w:rPr>
          <w:rFonts w:eastAsiaTheme="majorEastAsia"/>
          <w:b/>
          <w:bCs/>
          <w:noProof/>
          <w:szCs w:val="26"/>
        </w:rPr>
      </w:pPr>
      <w:bookmarkStart w:id="51" w:name="_Toc514938051"/>
      <w:bookmarkStart w:id="52" w:name="_Toc520485050"/>
      <w:r w:rsidRPr="00EC5CFB">
        <w:rPr>
          <w:b/>
          <w:noProof/>
        </w:rPr>
        <w:t>Mitmeaastase finantsraamistiku rubriigid ja kulude eelarveread, millele mõju avaldub</w:t>
      </w:r>
      <w:bookmarkEnd w:id="51"/>
      <w:bookmarkEnd w:id="52"/>
      <w:r w:rsidRPr="00EC5CFB">
        <w:rPr>
          <w:b/>
          <w:noProof/>
        </w:rPr>
        <w:t xml:space="preserve"> </w:t>
      </w:r>
    </w:p>
    <w:p w14:paraId="0B287603" w14:textId="77777777" w:rsidR="00C87E1E" w:rsidRPr="00EC5CFB" w:rsidRDefault="00C87E1E" w:rsidP="00C87E1E">
      <w:pPr>
        <w:tabs>
          <w:tab w:val="num" w:pos="1134"/>
        </w:tabs>
        <w:ind w:left="1134" w:hanging="283"/>
        <w:rPr>
          <w:noProof/>
        </w:rPr>
      </w:pPr>
      <w:r w:rsidRPr="00EC5CFB">
        <w:rPr>
          <w:noProof/>
        </w:rPr>
        <w:t xml:space="preserve">Olemasolevad eelarveread </w:t>
      </w:r>
    </w:p>
    <w:p w14:paraId="2A43FD60" w14:textId="77777777" w:rsidR="00C87E1E" w:rsidRPr="00EC5CFB" w:rsidRDefault="00C87E1E" w:rsidP="00FB18F4">
      <w:pPr>
        <w:rPr>
          <w:i/>
          <w:noProof/>
        </w:rPr>
      </w:pPr>
      <w:r w:rsidRPr="00EC5CFB">
        <w:rPr>
          <w:i/>
          <w:noProof/>
          <w:u w:val="single"/>
        </w:rPr>
        <w:t>Järjestage</w:t>
      </w:r>
      <w:r w:rsidRPr="00EC5CFB">
        <w:rPr>
          <w:i/>
          <w:noProof/>
        </w:rPr>
        <w:t xml:space="preserve"> mitmeaastase finantsraamistiku rubriigiti ja iga rubriigi sees eelarveridade kaupa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87E1E" w:rsidRPr="00EC5CFB" w14:paraId="36E3943A" w14:textId="77777777" w:rsidTr="00C87E1E">
        <w:tc>
          <w:tcPr>
            <w:tcW w:w="1080" w:type="dxa"/>
            <w:vMerge w:val="restart"/>
            <w:vAlign w:val="center"/>
          </w:tcPr>
          <w:p w14:paraId="0D5C0CC4" w14:textId="77777777" w:rsidR="00C87E1E" w:rsidRPr="00EC5CFB" w:rsidRDefault="00C87E1E" w:rsidP="00C87E1E">
            <w:pPr>
              <w:spacing w:before="60" w:after="60"/>
              <w:jc w:val="center"/>
              <w:rPr>
                <w:noProof/>
              </w:rPr>
            </w:pPr>
            <w:r w:rsidRPr="00EC5CFB">
              <w:rPr>
                <w:noProof/>
                <w:sz w:val="18"/>
              </w:rPr>
              <w:t>Mitmeaastase finantsraamistiku rubriik</w:t>
            </w:r>
          </w:p>
        </w:tc>
        <w:tc>
          <w:tcPr>
            <w:tcW w:w="3960" w:type="dxa"/>
            <w:vAlign w:val="center"/>
          </w:tcPr>
          <w:p w14:paraId="1F627A38" w14:textId="77777777" w:rsidR="00C87E1E" w:rsidRPr="00EC5CFB" w:rsidRDefault="00C87E1E" w:rsidP="00C87E1E">
            <w:pPr>
              <w:spacing w:before="60" w:after="60"/>
              <w:jc w:val="center"/>
              <w:rPr>
                <w:noProof/>
              </w:rPr>
            </w:pPr>
            <w:r w:rsidRPr="00EC5CFB">
              <w:rPr>
                <w:noProof/>
                <w:sz w:val="20"/>
              </w:rPr>
              <w:t>Eelarverida</w:t>
            </w:r>
          </w:p>
        </w:tc>
        <w:tc>
          <w:tcPr>
            <w:tcW w:w="1080" w:type="dxa"/>
            <w:vAlign w:val="center"/>
          </w:tcPr>
          <w:p w14:paraId="1FF786F8" w14:textId="77777777" w:rsidR="00C87E1E" w:rsidRPr="00EC5CFB" w:rsidRDefault="00C87E1E" w:rsidP="00C87E1E">
            <w:pPr>
              <w:spacing w:before="60" w:after="60"/>
              <w:jc w:val="center"/>
              <w:rPr>
                <w:noProof/>
              </w:rPr>
            </w:pPr>
            <w:r w:rsidRPr="00EC5CFB">
              <w:rPr>
                <w:noProof/>
                <w:sz w:val="18"/>
              </w:rPr>
              <w:t>Kulu</w:t>
            </w:r>
            <w:r w:rsidRPr="00EC5CFB">
              <w:rPr>
                <w:noProof/>
              </w:rPr>
              <w:br/>
            </w:r>
            <w:r w:rsidRPr="00EC5CFB">
              <w:rPr>
                <w:noProof/>
                <w:sz w:val="18"/>
              </w:rPr>
              <w:t>liik</w:t>
            </w:r>
          </w:p>
        </w:tc>
        <w:tc>
          <w:tcPr>
            <w:tcW w:w="4440" w:type="dxa"/>
            <w:gridSpan w:val="4"/>
            <w:vAlign w:val="center"/>
          </w:tcPr>
          <w:p w14:paraId="76019CA6" w14:textId="77777777" w:rsidR="00C87E1E" w:rsidRPr="00EC5CFB" w:rsidRDefault="00C87E1E" w:rsidP="00C87E1E">
            <w:pPr>
              <w:spacing w:before="60" w:after="60"/>
              <w:jc w:val="center"/>
              <w:rPr>
                <w:noProof/>
              </w:rPr>
            </w:pPr>
            <w:r w:rsidRPr="00EC5CFB">
              <w:rPr>
                <w:noProof/>
                <w:sz w:val="20"/>
              </w:rPr>
              <w:t xml:space="preserve">Rahaline osalus </w:t>
            </w:r>
          </w:p>
        </w:tc>
      </w:tr>
      <w:tr w:rsidR="00C87E1E" w:rsidRPr="00EC5CFB" w14:paraId="4D805B38" w14:textId="77777777" w:rsidTr="00C87E1E">
        <w:tc>
          <w:tcPr>
            <w:tcW w:w="1080" w:type="dxa"/>
            <w:vMerge/>
            <w:vAlign w:val="center"/>
          </w:tcPr>
          <w:p w14:paraId="53BA3BBA" w14:textId="77777777" w:rsidR="00C87E1E" w:rsidRPr="00EC5CFB" w:rsidRDefault="00C87E1E" w:rsidP="00C87E1E">
            <w:pPr>
              <w:jc w:val="center"/>
              <w:rPr>
                <w:noProof/>
                <w:lang w:eastAsia="en-GB"/>
              </w:rPr>
            </w:pPr>
          </w:p>
        </w:tc>
        <w:tc>
          <w:tcPr>
            <w:tcW w:w="3960" w:type="dxa"/>
            <w:vAlign w:val="center"/>
          </w:tcPr>
          <w:p w14:paraId="2A92336D" w14:textId="77777777" w:rsidR="00C87E1E" w:rsidRPr="00EC5CFB" w:rsidRDefault="00C87E1E" w:rsidP="00C87E1E">
            <w:pPr>
              <w:rPr>
                <w:noProof/>
              </w:rPr>
            </w:pPr>
            <w:r w:rsidRPr="00EC5CFB">
              <w:rPr>
                <w:noProof/>
                <w:sz w:val="20"/>
              </w:rPr>
              <w:t xml:space="preserve">Nr </w:t>
            </w:r>
            <w:r w:rsidRPr="00EC5CFB">
              <w:rPr>
                <w:noProof/>
              </w:rPr>
              <w:t xml:space="preserve"> </w:t>
            </w:r>
            <w:r w:rsidRPr="00EC5CFB">
              <w:rPr>
                <w:noProof/>
              </w:rPr>
              <w:br/>
            </w:r>
          </w:p>
        </w:tc>
        <w:tc>
          <w:tcPr>
            <w:tcW w:w="1080" w:type="dxa"/>
            <w:vAlign w:val="center"/>
          </w:tcPr>
          <w:p w14:paraId="45CBA2CE" w14:textId="77777777" w:rsidR="00C87E1E" w:rsidRPr="00EC5CFB" w:rsidRDefault="00C87E1E" w:rsidP="00C87E1E">
            <w:pPr>
              <w:jc w:val="center"/>
              <w:rPr>
                <w:noProof/>
              </w:rPr>
            </w:pPr>
            <w:r w:rsidRPr="00EC5CFB">
              <w:rPr>
                <w:noProof/>
                <w:sz w:val="18"/>
              </w:rPr>
              <w:t>Liigendatud/liigendamata</w:t>
            </w:r>
            <w:r w:rsidRPr="00EC5CFB">
              <w:rPr>
                <w:rStyle w:val="FootnoteReference"/>
                <w:noProof/>
              </w:rPr>
              <w:footnoteReference w:id="22"/>
            </w:r>
          </w:p>
        </w:tc>
        <w:tc>
          <w:tcPr>
            <w:tcW w:w="956" w:type="dxa"/>
            <w:vAlign w:val="center"/>
          </w:tcPr>
          <w:p w14:paraId="30319A3E" w14:textId="77777777" w:rsidR="00C87E1E" w:rsidRPr="00EC5CFB" w:rsidRDefault="00C87E1E" w:rsidP="00C87E1E">
            <w:pPr>
              <w:jc w:val="center"/>
              <w:rPr>
                <w:noProof/>
              </w:rPr>
            </w:pPr>
            <w:r w:rsidRPr="00EC5CFB">
              <w:rPr>
                <w:noProof/>
                <w:sz w:val="18"/>
              </w:rPr>
              <w:t>EFTA riigid</w:t>
            </w:r>
            <w:r w:rsidRPr="00EC5CFB">
              <w:rPr>
                <w:rStyle w:val="FootnoteReference"/>
                <w:noProof/>
              </w:rPr>
              <w:footnoteReference w:id="23"/>
            </w:r>
          </w:p>
          <w:p w14:paraId="79F71B74" w14:textId="77777777" w:rsidR="00C87E1E" w:rsidRPr="00EC5CFB" w:rsidRDefault="00C87E1E" w:rsidP="00C87E1E">
            <w:pPr>
              <w:spacing w:before="0" w:after="0"/>
              <w:jc w:val="center"/>
              <w:rPr>
                <w:b/>
                <w:noProof/>
                <w:sz w:val="18"/>
                <w:lang w:eastAsia="en-GB"/>
              </w:rPr>
            </w:pPr>
          </w:p>
        </w:tc>
        <w:tc>
          <w:tcPr>
            <w:tcW w:w="1080" w:type="dxa"/>
            <w:vAlign w:val="center"/>
          </w:tcPr>
          <w:p w14:paraId="17E536AA" w14:textId="77777777" w:rsidR="00C87E1E" w:rsidRPr="00EC5CFB" w:rsidRDefault="00C87E1E" w:rsidP="00C87E1E">
            <w:pPr>
              <w:jc w:val="center"/>
              <w:rPr>
                <w:noProof/>
              </w:rPr>
            </w:pPr>
            <w:r w:rsidRPr="00EC5CFB">
              <w:rPr>
                <w:noProof/>
                <w:sz w:val="18"/>
              </w:rPr>
              <w:t>kandidaatriigid</w:t>
            </w:r>
            <w:r w:rsidRPr="00EC5CFB">
              <w:rPr>
                <w:rStyle w:val="FootnoteReference"/>
                <w:noProof/>
              </w:rPr>
              <w:footnoteReference w:id="24"/>
            </w:r>
          </w:p>
          <w:p w14:paraId="4F6EE59C" w14:textId="77777777" w:rsidR="00C87E1E" w:rsidRPr="00EC5CFB" w:rsidRDefault="00C87E1E" w:rsidP="00C87E1E">
            <w:pPr>
              <w:spacing w:before="0" w:after="0"/>
              <w:jc w:val="center"/>
              <w:rPr>
                <w:noProof/>
                <w:sz w:val="18"/>
                <w:lang w:eastAsia="en-GB"/>
              </w:rPr>
            </w:pPr>
          </w:p>
        </w:tc>
        <w:tc>
          <w:tcPr>
            <w:tcW w:w="956" w:type="dxa"/>
            <w:vAlign w:val="center"/>
          </w:tcPr>
          <w:p w14:paraId="6C6B60F2" w14:textId="77777777" w:rsidR="00C87E1E" w:rsidRPr="00EC5CFB" w:rsidRDefault="00C87E1E" w:rsidP="00C87E1E">
            <w:pPr>
              <w:jc w:val="center"/>
              <w:rPr>
                <w:noProof/>
                <w:sz w:val="18"/>
              </w:rPr>
            </w:pPr>
            <w:r w:rsidRPr="00EC5CFB">
              <w:rPr>
                <w:noProof/>
                <w:sz w:val="18"/>
              </w:rPr>
              <w:t>kolmandad riigid</w:t>
            </w:r>
          </w:p>
        </w:tc>
        <w:tc>
          <w:tcPr>
            <w:tcW w:w="1448" w:type="dxa"/>
            <w:vAlign w:val="center"/>
          </w:tcPr>
          <w:p w14:paraId="6E73047E" w14:textId="77777777" w:rsidR="00C87E1E" w:rsidRPr="00EC5CFB" w:rsidRDefault="00C87E1E" w:rsidP="00C87E1E">
            <w:pPr>
              <w:jc w:val="center"/>
              <w:rPr>
                <w:noProof/>
              </w:rPr>
            </w:pPr>
            <w:r w:rsidRPr="00EC5CFB">
              <w:rPr>
                <w:noProof/>
                <w:sz w:val="16"/>
              </w:rPr>
              <w:t xml:space="preserve">finantsmääruse artikli 21 lõike 2 punkti b tähenduses </w:t>
            </w:r>
          </w:p>
        </w:tc>
      </w:tr>
      <w:tr w:rsidR="00C87E1E" w:rsidRPr="00EC5CFB" w14:paraId="1638FF49" w14:textId="77777777" w:rsidTr="00C87E1E">
        <w:tc>
          <w:tcPr>
            <w:tcW w:w="1080" w:type="dxa"/>
            <w:vAlign w:val="center"/>
          </w:tcPr>
          <w:p w14:paraId="50386083" w14:textId="77777777" w:rsidR="00C87E1E" w:rsidRPr="00EC5CFB" w:rsidRDefault="00C87E1E" w:rsidP="00C87E1E">
            <w:pPr>
              <w:jc w:val="center"/>
              <w:rPr>
                <w:noProof/>
                <w:color w:val="0000FF"/>
                <w:sz w:val="20"/>
                <w:szCs w:val="20"/>
              </w:rPr>
            </w:pPr>
            <w:r w:rsidRPr="00EC5CFB">
              <w:rPr>
                <w:noProof/>
                <w:sz w:val="20"/>
              </w:rPr>
              <w:t>2a Majanduslik, sotsiaalne ja territoriaalne ühtekuuluvus</w:t>
            </w:r>
          </w:p>
        </w:tc>
        <w:tc>
          <w:tcPr>
            <w:tcW w:w="3960" w:type="dxa"/>
            <w:vAlign w:val="center"/>
          </w:tcPr>
          <w:p w14:paraId="1DDB7462" w14:textId="77777777" w:rsidR="00431F4F" w:rsidRPr="00EC5CFB" w:rsidRDefault="00431F4F" w:rsidP="00431F4F">
            <w:pPr>
              <w:spacing w:before="60"/>
              <w:rPr>
                <w:noProof/>
                <w:sz w:val="22"/>
              </w:rPr>
            </w:pPr>
            <w:r w:rsidRPr="00EC5CFB">
              <w:rPr>
                <w:noProof/>
                <w:sz w:val="22"/>
              </w:rPr>
              <w:t>05.02.01 Euroopa Regionaalarengu Fondi (ERF) tegevuskulud</w:t>
            </w:r>
          </w:p>
          <w:p w14:paraId="070C9192" w14:textId="77777777" w:rsidR="00431F4F" w:rsidRPr="00EC5CFB" w:rsidRDefault="00431F4F" w:rsidP="00431F4F">
            <w:pPr>
              <w:spacing w:before="60"/>
              <w:rPr>
                <w:noProof/>
                <w:sz w:val="22"/>
              </w:rPr>
            </w:pPr>
            <w:r w:rsidRPr="00EC5CFB">
              <w:rPr>
                <w:noProof/>
                <w:sz w:val="22"/>
              </w:rPr>
              <w:t>05.03.01 Ühtekuuluvusfondi tegevuskulud</w:t>
            </w:r>
          </w:p>
          <w:p w14:paraId="083949D6" w14:textId="77777777" w:rsidR="00C87E1E" w:rsidRPr="00EC5CFB" w:rsidRDefault="00431F4F" w:rsidP="00C87E1E">
            <w:pPr>
              <w:spacing w:after="60"/>
              <w:rPr>
                <w:noProof/>
                <w:sz w:val="22"/>
              </w:rPr>
            </w:pPr>
            <w:r w:rsidRPr="00EC5CFB">
              <w:rPr>
                <w:noProof/>
                <w:sz w:val="22"/>
              </w:rPr>
              <w:t>07.02.01 Euroopa Sotsiaalfond+ (ESF+) jagatud eelarve täitmise haru – tegevuskulud</w:t>
            </w:r>
          </w:p>
        </w:tc>
        <w:tc>
          <w:tcPr>
            <w:tcW w:w="1080" w:type="dxa"/>
            <w:vAlign w:val="center"/>
          </w:tcPr>
          <w:p w14:paraId="18D24846" w14:textId="77777777" w:rsidR="00C87E1E" w:rsidRPr="00EC5CFB" w:rsidRDefault="00C87E1E" w:rsidP="00C87E1E">
            <w:pPr>
              <w:jc w:val="center"/>
              <w:rPr>
                <w:noProof/>
                <w:color w:val="0000FF"/>
              </w:rPr>
            </w:pPr>
            <w:r w:rsidRPr="00EC5CFB">
              <w:rPr>
                <w:noProof/>
                <w:sz w:val="22"/>
              </w:rPr>
              <w:t>Liigendatud</w:t>
            </w:r>
          </w:p>
        </w:tc>
        <w:tc>
          <w:tcPr>
            <w:tcW w:w="956" w:type="dxa"/>
            <w:vAlign w:val="center"/>
          </w:tcPr>
          <w:p w14:paraId="562B5B61" w14:textId="77777777" w:rsidR="00C87E1E" w:rsidRPr="00EC5CFB" w:rsidRDefault="00C87E1E" w:rsidP="00C87E1E">
            <w:pPr>
              <w:jc w:val="center"/>
              <w:rPr>
                <w:noProof/>
                <w:sz w:val="20"/>
                <w:szCs w:val="20"/>
              </w:rPr>
            </w:pPr>
            <w:r w:rsidRPr="00EC5CFB">
              <w:rPr>
                <w:noProof/>
                <w:sz w:val="20"/>
              </w:rPr>
              <w:t>EI</w:t>
            </w:r>
          </w:p>
        </w:tc>
        <w:tc>
          <w:tcPr>
            <w:tcW w:w="1080" w:type="dxa"/>
            <w:vAlign w:val="center"/>
          </w:tcPr>
          <w:p w14:paraId="585D69AF" w14:textId="77777777" w:rsidR="00C87E1E" w:rsidRPr="00EC5CFB" w:rsidRDefault="00C87E1E" w:rsidP="00C87E1E">
            <w:pPr>
              <w:jc w:val="center"/>
              <w:rPr>
                <w:noProof/>
                <w:sz w:val="20"/>
                <w:szCs w:val="20"/>
              </w:rPr>
            </w:pPr>
            <w:r w:rsidRPr="00EC5CFB">
              <w:rPr>
                <w:noProof/>
                <w:sz w:val="20"/>
              </w:rPr>
              <w:t>EI</w:t>
            </w:r>
          </w:p>
        </w:tc>
        <w:tc>
          <w:tcPr>
            <w:tcW w:w="956" w:type="dxa"/>
            <w:vAlign w:val="center"/>
          </w:tcPr>
          <w:p w14:paraId="12AC496D" w14:textId="77777777" w:rsidR="00C87E1E" w:rsidRPr="00EC5CFB" w:rsidRDefault="00C87E1E" w:rsidP="00C87E1E">
            <w:pPr>
              <w:jc w:val="center"/>
              <w:rPr>
                <w:noProof/>
                <w:sz w:val="20"/>
                <w:szCs w:val="20"/>
              </w:rPr>
            </w:pPr>
            <w:r w:rsidRPr="00EC5CFB">
              <w:rPr>
                <w:noProof/>
                <w:sz w:val="20"/>
              </w:rPr>
              <w:t>EI</w:t>
            </w:r>
          </w:p>
        </w:tc>
        <w:tc>
          <w:tcPr>
            <w:tcW w:w="1448" w:type="dxa"/>
            <w:vAlign w:val="center"/>
          </w:tcPr>
          <w:p w14:paraId="76898ED2" w14:textId="77777777" w:rsidR="00C87E1E" w:rsidRPr="00EC5CFB" w:rsidRDefault="00C87E1E" w:rsidP="00C87E1E">
            <w:pPr>
              <w:jc w:val="center"/>
              <w:rPr>
                <w:noProof/>
                <w:sz w:val="20"/>
                <w:szCs w:val="20"/>
              </w:rPr>
            </w:pPr>
            <w:r w:rsidRPr="00EC5CFB">
              <w:rPr>
                <w:noProof/>
                <w:sz w:val="20"/>
              </w:rPr>
              <w:t>EI</w:t>
            </w:r>
          </w:p>
        </w:tc>
      </w:tr>
    </w:tbl>
    <w:p w14:paraId="23A643B3" w14:textId="77777777" w:rsidR="00C87E1E" w:rsidRPr="00EC5CFB" w:rsidRDefault="00C87E1E" w:rsidP="00C87E1E">
      <w:pPr>
        <w:rPr>
          <w:noProof/>
          <w:lang w:eastAsia="en-GB"/>
        </w:rPr>
        <w:sectPr w:rsidR="00C87E1E" w:rsidRPr="00EC5CFB" w:rsidSect="00116713">
          <w:pgSz w:w="11907" w:h="16840" w:code="1"/>
          <w:pgMar w:top="1134" w:right="1418" w:bottom="1134" w:left="1418" w:header="709" w:footer="709" w:gutter="0"/>
          <w:cols w:space="708"/>
          <w:docGrid w:linePitch="360"/>
        </w:sectPr>
      </w:pPr>
    </w:p>
    <w:p w14:paraId="3C7FFC00" w14:textId="77777777" w:rsidR="00C87E1E" w:rsidRPr="00EC5CFB" w:rsidRDefault="00C87E1E" w:rsidP="00FB18F4">
      <w:pPr>
        <w:keepNext/>
        <w:outlineLvl w:val="1"/>
        <w:rPr>
          <w:rFonts w:eastAsiaTheme="majorEastAsia"/>
          <w:b/>
          <w:noProof/>
          <w:szCs w:val="24"/>
        </w:rPr>
      </w:pPr>
      <w:bookmarkStart w:id="53" w:name="_Toc514938052"/>
      <w:bookmarkStart w:id="54" w:name="_Toc520485051"/>
      <w:r w:rsidRPr="00EC5CFB">
        <w:rPr>
          <w:b/>
          <w:noProof/>
        </w:rPr>
        <w:t>Ettepaneku hinnanguline finantsmõju assigneeringutele</w:t>
      </w:r>
      <w:bookmarkEnd w:id="53"/>
      <w:bookmarkEnd w:id="54"/>
      <w:r w:rsidRPr="00EC5CFB">
        <w:rPr>
          <w:b/>
          <w:noProof/>
        </w:rPr>
        <w:t xml:space="preserve"> </w:t>
      </w:r>
    </w:p>
    <w:p w14:paraId="14F35AE7" w14:textId="77777777" w:rsidR="00C87E1E" w:rsidRPr="00EC5CFB" w:rsidRDefault="00C87E1E" w:rsidP="00FB18F4">
      <w:pPr>
        <w:keepNext/>
        <w:outlineLvl w:val="2"/>
        <w:rPr>
          <w:rFonts w:eastAsiaTheme="majorEastAsia"/>
          <w:bCs/>
          <w:i/>
          <w:noProof/>
        </w:rPr>
      </w:pPr>
      <w:bookmarkStart w:id="55" w:name="_Toc514938053"/>
      <w:bookmarkStart w:id="56" w:name="_Toc520485052"/>
      <w:r w:rsidRPr="00EC5CFB">
        <w:rPr>
          <w:i/>
          <w:noProof/>
        </w:rPr>
        <w:t>Hinnanguline mõju tegevusassigneeringutele – ülevaade</w:t>
      </w:r>
      <w:bookmarkEnd w:id="55"/>
      <w:bookmarkEnd w:id="56"/>
      <w:r w:rsidRPr="00EC5CFB">
        <w:rPr>
          <w:i/>
          <w:noProof/>
        </w:rPr>
        <w:t xml:space="preserve"> </w:t>
      </w:r>
    </w:p>
    <w:p w14:paraId="56F30DA8" w14:textId="77777777" w:rsidR="00C87E1E" w:rsidRPr="00EC5CFB" w:rsidRDefault="00C87E1E" w:rsidP="00FB18F4">
      <w:pPr>
        <w:rPr>
          <w:noProof/>
          <w:lang w:eastAsia="en-GB"/>
        </w:rPr>
      </w:pPr>
    </w:p>
    <w:p w14:paraId="455FD9A5" w14:textId="77777777" w:rsidR="00E41E7D" w:rsidRPr="00EC5CFB" w:rsidRDefault="00E41E7D" w:rsidP="00E41E7D">
      <w:pPr>
        <w:pStyle w:val="Text1"/>
        <w:ind w:left="0"/>
        <w:rPr>
          <w:noProof/>
        </w:rPr>
      </w:pPr>
      <w:r w:rsidRPr="00EC5CFB">
        <w:rPr>
          <w:noProof/>
        </w:rPr>
        <w:t xml:space="preserve">Kavandatud muudatus ei nõua muudatuste tegemist mitmeaastase finantsraamistiku kulukohustuste ja maksete iga-aastastes ülemmäärades, mis on sätestatud määruse (EL) nr 1311/2013 I lisas, ega maksete koguvajaduses ajavahemikul 2021–2027. </w:t>
      </w:r>
    </w:p>
    <w:p w14:paraId="092D7333" w14:textId="77777777" w:rsidR="00E41E7D" w:rsidRPr="00EC5CFB" w:rsidRDefault="00E41E7D" w:rsidP="00E41E7D">
      <w:pPr>
        <w:pStyle w:val="Text1"/>
        <w:ind w:left="0"/>
        <w:rPr>
          <w:noProof/>
        </w:rPr>
      </w:pPr>
      <w:r w:rsidRPr="00EC5CFB">
        <w:rPr>
          <w:noProof/>
        </w:rPr>
        <w:t xml:space="preserve">Euroopa Regionaalarengu Fondi, Euroopa Sotsiaalfondi+ ja Ühtekuuluvusfondi kulukohustuste assigneeringute jaotus aastate kaupa jääb muutumatuks. </w:t>
      </w:r>
    </w:p>
    <w:p w14:paraId="2FA9205A" w14:textId="77777777" w:rsidR="00E33098" w:rsidRPr="00EC5CFB" w:rsidRDefault="00E33098" w:rsidP="00E33098">
      <w:pPr>
        <w:rPr>
          <w:noProof/>
        </w:rPr>
      </w:pPr>
      <w:r w:rsidRPr="00EC5CFB">
        <w:rPr>
          <w:noProof/>
        </w:rPr>
        <w:t>Ettepaneku tulemusena tuuakse maksete assigneeringud 2022. ja 2023. aastasse vastavalt allpool esitatud hinnangule.</w:t>
      </w:r>
    </w:p>
    <w:p w14:paraId="064AF8B6" w14:textId="77777777" w:rsidR="00E33098" w:rsidRPr="00EC5CFB" w:rsidRDefault="00E33098" w:rsidP="00E33098">
      <w:pPr>
        <w:rPr>
          <w:rFonts w:eastAsia="Times New Roman"/>
          <w:noProof/>
        </w:rPr>
      </w:pPr>
      <w:r w:rsidRPr="00EC5CFB">
        <w:rPr>
          <w:noProof/>
        </w:rPr>
        <w:t>Ettepanek/algatus ei hõlma haldusassigneeringute kasutamist.</w:t>
      </w:r>
    </w:p>
    <w:p w14:paraId="053413B2" w14:textId="77777777" w:rsidR="007909C9" w:rsidRPr="00EC5CFB" w:rsidRDefault="007909C9">
      <w:pPr>
        <w:spacing w:before="0" w:after="200" w:line="276" w:lineRule="auto"/>
        <w:jc w:val="left"/>
        <w:rPr>
          <w:noProof/>
          <w:sz w:val="18"/>
          <w:szCs w:val="18"/>
        </w:rPr>
      </w:pPr>
      <w:r w:rsidRPr="00EC5CFB">
        <w:rPr>
          <w:noProof/>
        </w:rPr>
        <w:br w:type="page"/>
      </w:r>
    </w:p>
    <w:p w14:paraId="39E44245" w14:textId="77777777" w:rsidR="00C87E1E" w:rsidRPr="00EC5CFB" w:rsidRDefault="00C87E1E" w:rsidP="00C87E1E">
      <w:pPr>
        <w:jc w:val="right"/>
        <w:rPr>
          <w:noProof/>
          <w:sz w:val="18"/>
          <w:szCs w:val="18"/>
        </w:rPr>
      </w:pPr>
      <w:r w:rsidRPr="00EC5CFB">
        <w:rPr>
          <w:noProof/>
          <w:sz w:val="18"/>
        </w:rPr>
        <w:t>miljonites eurodes (kolm kohta pärast koma)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EC5CFB" w14:paraId="63FB301A" w14:textId="77777777" w:rsidTr="00C87E1E">
        <w:trPr>
          <w:jc w:val="center"/>
        </w:trPr>
        <w:tc>
          <w:tcPr>
            <w:tcW w:w="4744" w:type="dxa"/>
            <w:shd w:val="thinDiagStripe" w:color="C0C0C0" w:fill="auto"/>
            <w:vAlign w:val="center"/>
          </w:tcPr>
          <w:p w14:paraId="04CF2A29" w14:textId="77777777" w:rsidR="00C87E1E" w:rsidRPr="00EC5CFB" w:rsidRDefault="00C87E1E" w:rsidP="00C87E1E">
            <w:pPr>
              <w:spacing w:before="60" w:after="60"/>
              <w:jc w:val="center"/>
              <w:rPr>
                <w:b/>
                <w:noProof/>
              </w:rPr>
            </w:pPr>
            <w:r w:rsidRPr="00EC5CFB">
              <w:rPr>
                <w:b/>
                <w:noProof/>
                <w:sz w:val="22"/>
              </w:rPr>
              <w:t xml:space="preserve">Mitmeaastase finantsraamistiku </w:t>
            </w:r>
            <w:r w:rsidRPr="00EC5CFB">
              <w:rPr>
                <w:noProof/>
              </w:rPr>
              <w:t xml:space="preserve"> </w:t>
            </w:r>
            <w:r w:rsidRPr="00EC5CFB">
              <w:rPr>
                <w:noProof/>
              </w:rPr>
              <w:br/>
            </w:r>
            <w:r w:rsidRPr="00EC5CFB">
              <w:rPr>
                <w:b/>
                <w:noProof/>
                <w:sz w:val="22"/>
              </w:rPr>
              <w:t xml:space="preserve">rubriik </w:t>
            </w:r>
          </w:p>
        </w:tc>
        <w:tc>
          <w:tcPr>
            <w:tcW w:w="1080" w:type="dxa"/>
            <w:vAlign w:val="center"/>
          </w:tcPr>
          <w:p w14:paraId="1A911940" w14:textId="77777777" w:rsidR="00C87E1E" w:rsidRPr="00EC5CFB" w:rsidRDefault="00C87E1E" w:rsidP="00C87E1E">
            <w:pPr>
              <w:spacing w:before="60" w:after="60"/>
              <w:jc w:val="center"/>
              <w:rPr>
                <w:noProof/>
              </w:rPr>
            </w:pPr>
            <w:r w:rsidRPr="00EC5CFB">
              <w:rPr>
                <w:noProof/>
                <w:sz w:val="22"/>
              </w:rPr>
              <w:t>Nr</w:t>
            </w:r>
          </w:p>
        </w:tc>
        <w:tc>
          <w:tcPr>
            <w:tcW w:w="7817" w:type="dxa"/>
            <w:vAlign w:val="center"/>
          </w:tcPr>
          <w:p w14:paraId="4B826220" w14:textId="77777777" w:rsidR="00C87E1E" w:rsidRPr="00EC5CFB" w:rsidRDefault="00C87E1E" w:rsidP="00C87E1E">
            <w:pPr>
              <w:spacing w:before="60" w:after="60"/>
              <w:rPr>
                <w:noProof/>
              </w:rPr>
            </w:pPr>
            <w:r w:rsidRPr="00EC5CFB">
              <w:rPr>
                <w:noProof/>
              </w:rPr>
              <w:t>2a</w:t>
            </w:r>
          </w:p>
        </w:tc>
      </w:tr>
    </w:tbl>
    <w:p w14:paraId="3671446A" w14:textId="77777777" w:rsidR="00C87E1E" w:rsidRPr="00EC5CFB" w:rsidRDefault="00C87E1E" w:rsidP="00C87E1E">
      <w:pPr>
        <w:rPr>
          <w:noProof/>
          <w:sz w:val="16"/>
          <w:lang w:eastAsia="en-GB"/>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276"/>
        <w:gridCol w:w="576"/>
        <w:gridCol w:w="703"/>
        <w:gridCol w:w="1134"/>
        <w:gridCol w:w="1131"/>
        <w:gridCol w:w="992"/>
        <w:gridCol w:w="709"/>
        <w:gridCol w:w="708"/>
        <w:gridCol w:w="1276"/>
        <w:gridCol w:w="1843"/>
      </w:tblGrid>
      <w:tr w:rsidR="00431F4F" w:rsidRPr="00EC5CFB" w14:paraId="3A13F1CD" w14:textId="77777777" w:rsidTr="00A27D48">
        <w:tc>
          <w:tcPr>
            <w:tcW w:w="3904" w:type="dxa"/>
            <w:vAlign w:val="center"/>
          </w:tcPr>
          <w:p w14:paraId="325A70B9" w14:textId="77777777" w:rsidR="00431F4F" w:rsidRPr="00EC5CFB" w:rsidRDefault="00431F4F" w:rsidP="00431F4F">
            <w:pPr>
              <w:jc w:val="center"/>
              <w:rPr>
                <w:noProof/>
              </w:rPr>
            </w:pPr>
            <w:r w:rsidRPr="00EC5CFB">
              <w:rPr>
                <w:noProof/>
                <w:sz w:val="22"/>
              </w:rPr>
              <w:t>Regionaal- ja linnapoliitika peadirektoraat ning tööhõive, sotsiaalküsimuste ja sotsiaalse kaasatuse peadirektoraat</w:t>
            </w:r>
          </w:p>
        </w:tc>
        <w:tc>
          <w:tcPr>
            <w:tcW w:w="1276" w:type="dxa"/>
          </w:tcPr>
          <w:p w14:paraId="52A3375B" w14:textId="77777777" w:rsidR="00431F4F" w:rsidRPr="00EC5CFB" w:rsidRDefault="00431F4F" w:rsidP="00431F4F">
            <w:pPr>
              <w:rPr>
                <w:noProof/>
                <w:sz w:val="20"/>
                <w:lang w:eastAsia="en-GB"/>
              </w:rPr>
            </w:pPr>
          </w:p>
        </w:tc>
        <w:tc>
          <w:tcPr>
            <w:tcW w:w="576" w:type="dxa"/>
          </w:tcPr>
          <w:p w14:paraId="5A8F8934" w14:textId="77777777" w:rsidR="00431F4F" w:rsidRPr="00EC5CFB" w:rsidRDefault="00431F4F" w:rsidP="00431F4F">
            <w:pPr>
              <w:jc w:val="center"/>
              <w:rPr>
                <w:noProof/>
                <w:sz w:val="20"/>
                <w:lang w:eastAsia="en-GB"/>
              </w:rPr>
            </w:pPr>
          </w:p>
        </w:tc>
        <w:tc>
          <w:tcPr>
            <w:tcW w:w="703" w:type="dxa"/>
            <w:vAlign w:val="center"/>
          </w:tcPr>
          <w:p w14:paraId="4F8F865A" w14:textId="77777777" w:rsidR="00431F4F" w:rsidRPr="00EC5CFB" w:rsidRDefault="00431F4F" w:rsidP="00431F4F">
            <w:pPr>
              <w:jc w:val="center"/>
              <w:rPr>
                <w:noProof/>
                <w:sz w:val="20"/>
              </w:rPr>
            </w:pPr>
            <w:r w:rsidRPr="00EC5CFB">
              <w:rPr>
                <w:b/>
                <w:noProof/>
                <w:sz w:val="20"/>
              </w:rPr>
              <w:t>2021</w:t>
            </w:r>
          </w:p>
        </w:tc>
        <w:tc>
          <w:tcPr>
            <w:tcW w:w="1134" w:type="dxa"/>
            <w:vAlign w:val="center"/>
          </w:tcPr>
          <w:p w14:paraId="50220B34" w14:textId="77777777" w:rsidR="00431F4F" w:rsidRPr="00EC5CFB" w:rsidRDefault="00431F4F" w:rsidP="00431F4F">
            <w:pPr>
              <w:jc w:val="center"/>
              <w:rPr>
                <w:noProof/>
                <w:sz w:val="20"/>
              </w:rPr>
            </w:pPr>
            <w:r w:rsidRPr="00EC5CFB">
              <w:rPr>
                <w:b/>
                <w:noProof/>
                <w:sz w:val="20"/>
              </w:rPr>
              <w:t>2022</w:t>
            </w:r>
          </w:p>
        </w:tc>
        <w:tc>
          <w:tcPr>
            <w:tcW w:w="1131" w:type="dxa"/>
            <w:vAlign w:val="center"/>
          </w:tcPr>
          <w:p w14:paraId="4514A1EE" w14:textId="77777777" w:rsidR="00431F4F" w:rsidRPr="00EC5CFB" w:rsidRDefault="00431F4F" w:rsidP="00431F4F">
            <w:pPr>
              <w:jc w:val="center"/>
              <w:rPr>
                <w:noProof/>
                <w:sz w:val="20"/>
              </w:rPr>
            </w:pPr>
            <w:r w:rsidRPr="00EC5CFB">
              <w:rPr>
                <w:b/>
                <w:noProof/>
                <w:sz w:val="20"/>
              </w:rPr>
              <w:t>2023</w:t>
            </w:r>
          </w:p>
        </w:tc>
        <w:tc>
          <w:tcPr>
            <w:tcW w:w="992" w:type="dxa"/>
            <w:vAlign w:val="center"/>
          </w:tcPr>
          <w:p w14:paraId="439511B6" w14:textId="77777777" w:rsidR="00431F4F" w:rsidRPr="00EC5CFB" w:rsidRDefault="00431F4F" w:rsidP="00431F4F">
            <w:pPr>
              <w:jc w:val="center"/>
              <w:rPr>
                <w:noProof/>
                <w:sz w:val="20"/>
              </w:rPr>
            </w:pPr>
            <w:r w:rsidRPr="00EC5CFB">
              <w:rPr>
                <w:b/>
                <w:noProof/>
                <w:sz w:val="20"/>
              </w:rPr>
              <w:t>2024</w:t>
            </w:r>
          </w:p>
        </w:tc>
        <w:tc>
          <w:tcPr>
            <w:tcW w:w="709" w:type="dxa"/>
            <w:vAlign w:val="center"/>
          </w:tcPr>
          <w:p w14:paraId="48D53C52" w14:textId="77777777" w:rsidR="00431F4F" w:rsidRPr="00EC5CFB" w:rsidRDefault="00431F4F" w:rsidP="00431F4F">
            <w:pPr>
              <w:jc w:val="center"/>
              <w:rPr>
                <w:b/>
                <w:noProof/>
                <w:sz w:val="20"/>
              </w:rPr>
            </w:pPr>
            <w:r w:rsidRPr="00EC5CFB">
              <w:rPr>
                <w:b/>
                <w:noProof/>
                <w:sz w:val="20"/>
              </w:rPr>
              <w:t>2025</w:t>
            </w:r>
          </w:p>
        </w:tc>
        <w:tc>
          <w:tcPr>
            <w:tcW w:w="708" w:type="dxa"/>
            <w:vAlign w:val="center"/>
          </w:tcPr>
          <w:p w14:paraId="37780163" w14:textId="77777777" w:rsidR="00431F4F" w:rsidRPr="00EC5CFB" w:rsidRDefault="00431F4F" w:rsidP="00431F4F">
            <w:pPr>
              <w:jc w:val="center"/>
              <w:rPr>
                <w:b/>
                <w:noProof/>
                <w:sz w:val="20"/>
              </w:rPr>
            </w:pPr>
            <w:r w:rsidRPr="00EC5CFB">
              <w:rPr>
                <w:b/>
                <w:noProof/>
                <w:sz w:val="20"/>
              </w:rPr>
              <w:t>2026</w:t>
            </w:r>
          </w:p>
        </w:tc>
        <w:tc>
          <w:tcPr>
            <w:tcW w:w="1276" w:type="dxa"/>
            <w:vAlign w:val="center"/>
          </w:tcPr>
          <w:p w14:paraId="11DA0683" w14:textId="77777777" w:rsidR="00431F4F" w:rsidRPr="00EC5CFB" w:rsidRDefault="00431F4F" w:rsidP="00431F4F">
            <w:pPr>
              <w:jc w:val="center"/>
              <w:rPr>
                <w:b/>
                <w:noProof/>
                <w:sz w:val="20"/>
              </w:rPr>
            </w:pPr>
            <w:r w:rsidRPr="00EC5CFB">
              <w:rPr>
                <w:b/>
                <w:noProof/>
                <w:sz w:val="20"/>
              </w:rPr>
              <w:t>2027</w:t>
            </w:r>
          </w:p>
        </w:tc>
        <w:tc>
          <w:tcPr>
            <w:tcW w:w="1843" w:type="dxa"/>
            <w:vAlign w:val="center"/>
          </w:tcPr>
          <w:p w14:paraId="7438975E" w14:textId="77777777" w:rsidR="00431F4F" w:rsidRPr="00EC5CFB" w:rsidRDefault="00431F4F" w:rsidP="00431F4F">
            <w:pPr>
              <w:jc w:val="center"/>
              <w:rPr>
                <w:b/>
                <w:noProof/>
                <w:sz w:val="20"/>
              </w:rPr>
            </w:pPr>
            <w:r w:rsidRPr="00EC5CFB">
              <w:rPr>
                <w:b/>
                <w:noProof/>
                <w:sz w:val="20"/>
              </w:rPr>
              <w:t>KOKKU</w:t>
            </w:r>
          </w:p>
        </w:tc>
      </w:tr>
      <w:tr w:rsidR="00431F4F" w:rsidRPr="00EC5CFB" w14:paraId="4F699956" w14:textId="77777777" w:rsidTr="00A27D48">
        <w:trPr>
          <w:trHeight w:val="213"/>
        </w:trPr>
        <w:tc>
          <w:tcPr>
            <w:tcW w:w="5756" w:type="dxa"/>
            <w:gridSpan w:val="3"/>
            <w:vAlign w:val="center"/>
          </w:tcPr>
          <w:p w14:paraId="2A301AAB" w14:textId="77777777" w:rsidR="00431F4F" w:rsidRPr="00EC5CFB" w:rsidRDefault="00431F4F" w:rsidP="00431F4F">
            <w:pPr>
              <w:spacing w:before="20" w:after="20"/>
              <w:rPr>
                <w:noProof/>
                <w:sz w:val="21"/>
              </w:rPr>
            </w:pPr>
            <w:r w:rsidRPr="00EC5CFB">
              <w:rPr>
                <w:noProof/>
                <w:sz w:val="21"/>
              </w:rPr>
              <w:sym w:font="Wingdings" w:char="F09F"/>
            </w:r>
            <w:r w:rsidRPr="00EC5CFB">
              <w:rPr>
                <w:noProof/>
                <w:sz w:val="21"/>
              </w:rPr>
              <w:t xml:space="preserve">Tegevusassigneeringud </w:t>
            </w:r>
          </w:p>
        </w:tc>
        <w:tc>
          <w:tcPr>
            <w:tcW w:w="703" w:type="dxa"/>
            <w:vAlign w:val="center"/>
          </w:tcPr>
          <w:p w14:paraId="127BD9C1" w14:textId="77777777" w:rsidR="00431F4F" w:rsidRPr="00EC5CFB" w:rsidRDefault="00431F4F" w:rsidP="00431F4F">
            <w:pPr>
              <w:rPr>
                <w:noProof/>
                <w:sz w:val="20"/>
                <w:lang w:eastAsia="en-GB"/>
              </w:rPr>
            </w:pPr>
          </w:p>
        </w:tc>
        <w:tc>
          <w:tcPr>
            <w:tcW w:w="1134" w:type="dxa"/>
            <w:vAlign w:val="center"/>
          </w:tcPr>
          <w:p w14:paraId="345D8D77" w14:textId="77777777" w:rsidR="00431F4F" w:rsidRPr="00EC5CFB" w:rsidRDefault="00431F4F" w:rsidP="00431F4F">
            <w:pPr>
              <w:rPr>
                <w:noProof/>
                <w:sz w:val="20"/>
                <w:lang w:eastAsia="en-GB"/>
              </w:rPr>
            </w:pPr>
          </w:p>
        </w:tc>
        <w:tc>
          <w:tcPr>
            <w:tcW w:w="1131" w:type="dxa"/>
            <w:vAlign w:val="center"/>
          </w:tcPr>
          <w:p w14:paraId="0408EB98" w14:textId="77777777" w:rsidR="00431F4F" w:rsidRPr="00EC5CFB" w:rsidRDefault="00431F4F" w:rsidP="00431F4F">
            <w:pPr>
              <w:rPr>
                <w:noProof/>
                <w:sz w:val="20"/>
                <w:lang w:eastAsia="en-GB"/>
              </w:rPr>
            </w:pPr>
          </w:p>
        </w:tc>
        <w:tc>
          <w:tcPr>
            <w:tcW w:w="992" w:type="dxa"/>
            <w:vAlign w:val="center"/>
          </w:tcPr>
          <w:p w14:paraId="6542E621" w14:textId="77777777" w:rsidR="00431F4F" w:rsidRPr="00EC5CFB" w:rsidRDefault="00431F4F" w:rsidP="00431F4F">
            <w:pPr>
              <w:rPr>
                <w:noProof/>
                <w:sz w:val="20"/>
                <w:lang w:eastAsia="en-GB"/>
              </w:rPr>
            </w:pPr>
          </w:p>
        </w:tc>
        <w:tc>
          <w:tcPr>
            <w:tcW w:w="709" w:type="dxa"/>
          </w:tcPr>
          <w:p w14:paraId="52837DDE" w14:textId="77777777" w:rsidR="00431F4F" w:rsidRPr="00EC5CFB" w:rsidRDefault="00431F4F" w:rsidP="00431F4F">
            <w:pPr>
              <w:rPr>
                <w:noProof/>
                <w:sz w:val="20"/>
                <w:lang w:eastAsia="en-GB"/>
              </w:rPr>
            </w:pPr>
          </w:p>
        </w:tc>
        <w:tc>
          <w:tcPr>
            <w:tcW w:w="708" w:type="dxa"/>
            <w:vAlign w:val="center"/>
          </w:tcPr>
          <w:p w14:paraId="19808D7C" w14:textId="77777777" w:rsidR="00431F4F" w:rsidRPr="00EC5CFB" w:rsidRDefault="00431F4F" w:rsidP="00431F4F">
            <w:pPr>
              <w:rPr>
                <w:b/>
                <w:noProof/>
                <w:sz w:val="20"/>
                <w:lang w:eastAsia="en-GB"/>
              </w:rPr>
            </w:pPr>
          </w:p>
        </w:tc>
        <w:tc>
          <w:tcPr>
            <w:tcW w:w="1276" w:type="dxa"/>
            <w:vAlign w:val="center"/>
          </w:tcPr>
          <w:p w14:paraId="73C08DBC" w14:textId="77777777" w:rsidR="00431F4F" w:rsidRPr="00EC5CFB" w:rsidRDefault="00431F4F" w:rsidP="00431F4F">
            <w:pPr>
              <w:rPr>
                <w:b/>
                <w:noProof/>
                <w:sz w:val="20"/>
                <w:lang w:eastAsia="en-GB"/>
              </w:rPr>
            </w:pPr>
          </w:p>
        </w:tc>
        <w:tc>
          <w:tcPr>
            <w:tcW w:w="1843" w:type="dxa"/>
          </w:tcPr>
          <w:p w14:paraId="3D0A4E46" w14:textId="77777777" w:rsidR="00431F4F" w:rsidRPr="00EC5CFB" w:rsidRDefault="00431F4F" w:rsidP="00431F4F">
            <w:pPr>
              <w:rPr>
                <w:b/>
                <w:noProof/>
                <w:sz w:val="20"/>
                <w:lang w:eastAsia="en-GB"/>
              </w:rPr>
            </w:pPr>
          </w:p>
        </w:tc>
      </w:tr>
      <w:tr w:rsidR="00431F4F" w:rsidRPr="00EC5CFB" w14:paraId="227EAE00" w14:textId="77777777" w:rsidTr="00A27D48">
        <w:trPr>
          <w:trHeight w:val="1092"/>
        </w:trPr>
        <w:tc>
          <w:tcPr>
            <w:tcW w:w="3904" w:type="dxa"/>
            <w:vMerge w:val="restart"/>
            <w:vAlign w:val="center"/>
          </w:tcPr>
          <w:p w14:paraId="212C6424" w14:textId="77777777" w:rsidR="00431F4F" w:rsidRPr="00EC5CFB" w:rsidRDefault="00431F4F" w:rsidP="00431F4F">
            <w:pPr>
              <w:spacing w:before="0" w:after="200" w:line="276" w:lineRule="auto"/>
              <w:jc w:val="left"/>
              <w:rPr>
                <w:noProof/>
                <w:sz w:val="20"/>
              </w:rPr>
            </w:pPr>
            <w:r w:rsidRPr="00EC5CFB">
              <w:rPr>
                <w:noProof/>
                <w:sz w:val="20"/>
              </w:rPr>
              <w:t>05.02.01 Euroopa Regionaalarengu Fondi (ERF) tegevuskulud</w:t>
            </w:r>
          </w:p>
          <w:p w14:paraId="3F0A8222" w14:textId="77777777" w:rsidR="00431F4F" w:rsidRPr="00EC5CFB" w:rsidRDefault="00431F4F" w:rsidP="00431F4F">
            <w:pPr>
              <w:spacing w:before="0" w:after="200" w:line="276" w:lineRule="auto"/>
              <w:jc w:val="left"/>
              <w:rPr>
                <w:noProof/>
                <w:sz w:val="20"/>
              </w:rPr>
            </w:pPr>
            <w:r w:rsidRPr="00EC5CFB">
              <w:rPr>
                <w:noProof/>
                <w:sz w:val="20"/>
              </w:rPr>
              <w:t>05.03.01 Ühtekuuluvusfondi tegevuskulud</w:t>
            </w:r>
          </w:p>
          <w:p w14:paraId="112F3004" w14:textId="77777777" w:rsidR="00431F4F" w:rsidRPr="00EC5CFB" w:rsidRDefault="00431F4F" w:rsidP="00431F4F">
            <w:pPr>
              <w:rPr>
                <w:noProof/>
                <w:sz w:val="20"/>
              </w:rPr>
            </w:pPr>
            <w:r w:rsidRPr="00EC5CFB">
              <w:rPr>
                <w:noProof/>
                <w:sz w:val="20"/>
              </w:rPr>
              <w:t xml:space="preserve">07.02.01 Euroopa Sotsiaalfond+ (ESF+) jagatud eelarve täitmise haru – tegevuskulud  </w:t>
            </w:r>
          </w:p>
          <w:p w14:paraId="5A51BEE0" w14:textId="77777777" w:rsidR="00431F4F" w:rsidRPr="00EC5CFB" w:rsidRDefault="00431F4F" w:rsidP="00431F4F">
            <w:pPr>
              <w:rPr>
                <w:noProof/>
                <w:lang w:eastAsia="en-GB"/>
              </w:rPr>
            </w:pPr>
          </w:p>
        </w:tc>
        <w:tc>
          <w:tcPr>
            <w:tcW w:w="1276" w:type="dxa"/>
            <w:vAlign w:val="center"/>
          </w:tcPr>
          <w:p w14:paraId="0D1484C6" w14:textId="77777777" w:rsidR="00431F4F" w:rsidRPr="00EC5CFB" w:rsidRDefault="00431F4F" w:rsidP="00431F4F">
            <w:pPr>
              <w:spacing w:before="20" w:after="20"/>
              <w:rPr>
                <w:noProof/>
                <w:sz w:val="18"/>
              </w:rPr>
            </w:pPr>
            <w:r w:rsidRPr="00EC5CFB">
              <w:rPr>
                <w:noProof/>
                <w:sz w:val="18"/>
              </w:rPr>
              <w:t>Kulukohustused</w:t>
            </w:r>
          </w:p>
        </w:tc>
        <w:tc>
          <w:tcPr>
            <w:tcW w:w="576" w:type="dxa"/>
            <w:vAlign w:val="center"/>
          </w:tcPr>
          <w:p w14:paraId="67365AE5" w14:textId="77777777" w:rsidR="00431F4F" w:rsidRPr="00EC5CFB" w:rsidRDefault="00431F4F" w:rsidP="00431F4F">
            <w:pPr>
              <w:spacing w:before="20" w:after="20"/>
              <w:jc w:val="center"/>
              <w:rPr>
                <w:noProof/>
                <w:sz w:val="14"/>
              </w:rPr>
            </w:pPr>
            <w:r w:rsidRPr="00EC5CFB">
              <w:rPr>
                <w:noProof/>
                <w:sz w:val="14"/>
              </w:rPr>
              <w:t>(1a)</w:t>
            </w:r>
          </w:p>
        </w:tc>
        <w:tc>
          <w:tcPr>
            <w:tcW w:w="703" w:type="dxa"/>
            <w:vAlign w:val="center"/>
          </w:tcPr>
          <w:p w14:paraId="2B4A0186" w14:textId="77777777" w:rsidR="00431F4F" w:rsidRPr="00EC5CFB" w:rsidRDefault="00431F4F" w:rsidP="00431F4F">
            <w:pPr>
              <w:spacing w:before="20" w:after="20"/>
              <w:rPr>
                <w:noProof/>
                <w:sz w:val="22"/>
                <w:lang w:eastAsia="en-GB"/>
              </w:rPr>
            </w:pPr>
          </w:p>
        </w:tc>
        <w:tc>
          <w:tcPr>
            <w:tcW w:w="1134" w:type="dxa"/>
            <w:vAlign w:val="center"/>
          </w:tcPr>
          <w:p w14:paraId="51292E98" w14:textId="77777777" w:rsidR="00431F4F" w:rsidRPr="00EC5CFB" w:rsidRDefault="00431F4F" w:rsidP="00431F4F">
            <w:pPr>
              <w:spacing w:before="20" w:after="20"/>
              <w:jc w:val="right"/>
              <w:rPr>
                <w:noProof/>
                <w:sz w:val="22"/>
                <w:lang w:eastAsia="en-GB"/>
              </w:rPr>
            </w:pPr>
          </w:p>
        </w:tc>
        <w:tc>
          <w:tcPr>
            <w:tcW w:w="1131" w:type="dxa"/>
            <w:vAlign w:val="center"/>
          </w:tcPr>
          <w:p w14:paraId="33ED70E9" w14:textId="77777777" w:rsidR="00431F4F" w:rsidRPr="00EC5CFB" w:rsidRDefault="00431F4F" w:rsidP="00431F4F">
            <w:pPr>
              <w:spacing w:before="20" w:after="20"/>
              <w:jc w:val="right"/>
              <w:rPr>
                <w:noProof/>
                <w:sz w:val="22"/>
                <w:lang w:eastAsia="en-GB"/>
              </w:rPr>
            </w:pPr>
          </w:p>
        </w:tc>
        <w:tc>
          <w:tcPr>
            <w:tcW w:w="992" w:type="dxa"/>
            <w:vAlign w:val="center"/>
          </w:tcPr>
          <w:p w14:paraId="37115F81" w14:textId="77777777" w:rsidR="00431F4F" w:rsidRPr="00EC5CFB" w:rsidRDefault="00431F4F" w:rsidP="00431F4F">
            <w:pPr>
              <w:spacing w:before="20" w:after="20"/>
              <w:rPr>
                <w:noProof/>
                <w:sz w:val="22"/>
                <w:lang w:eastAsia="en-GB"/>
              </w:rPr>
            </w:pPr>
          </w:p>
        </w:tc>
        <w:tc>
          <w:tcPr>
            <w:tcW w:w="709" w:type="dxa"/>
            <w:vAlign w:val="center"/>
          </w:tcPr>
          <w:p w14:paraId="3089AEEE" w14:textId="77777777" w:rsidR="00431F4F" w:rsidRPr="00EC5CFB" w:rsidRDefault="00431F4F" w:rsidP="00431F4F">
            <w:pPr>
              <w:spacing w:before="20" w:after="20"/>
              <w:jc w:val="right"/>
              <w:rPr>
                <w:noProof/>
                <w:sz w:val="22"/>
                <w:lang w:eastAsia="en-GB"/>
              </w:rPr>
            </w:pPr>
          </w:p>
        </w:tc>
        <w:tc>
          <w:tcPr>
            <w:tcW w:w="708" w:type="dxa"/>
            <w:vAlign w:val="center"/>
          </w:tcPr>
          <w:p w14:paraId="2D08BCD9" w14:textId="77777777" w:rsidR="00431F4F" w:rsidRPr="00EC5CFB" w:rsidRDefault="00431F4F" w:rsidP="00431F4F">
            <w:pPr>
              <w:spacing w:before="20" w:after="20"/>
              <w:jc w:val="center"/>
              <w:rPr>
                <w:b/>
                <w:noProof/>
                <w:sz w:val="22"/>
                <w:lang w:eastAsia="en-GB"/>
              </w:rPr>
            </w:pPr>
          </w:p>
        </w:tc>
        <w:tc>
          <w:tcPr>
            <w:tcW w:w="1276" w:type="dxa"/>
            <w:vAlign w:val="center"/>
          </w:tcPr>
          <w:p w14:paraId="4341A93F" w14:textId="77777777" w:rsidR="00431F4F" w:rsidRPr="00EC5CFB" w:rsidRDefault="00431F4F" w:rsidP="00431F4F">
            <w:pPr>
              <w:spacing w:before="20" w:after="20"/>
              <w:jc w:val="center"/>
              <w:rPr>
                <w:b/>
                <w:noProof/>
                <w:sz w:val="22"/>
                <w:lang w:eastAsia="en-GB"/>
              </w:rPr>
            </w:pPr>
          </w:p>
        </w:tc>
        <w:tc>
          <w:tcPr>
            <w:tcW w:w="1843" w:type="dxa"/>
            <w:vAlign w:val="center"/>
          </w:tcPr>
          <w:p w14:paraId="4906BC9D" w14:textId="77777777" w:rsidR="00431F4F" w:rsidRPr="00EC5CFB" w:rsidRDefault="00431F4F" w:rsidP="00431F4F">
            <w:pPr>
              <w:spacing w:before="20" w:after="20"/>
              <w:jc w:val="center"/>
              <w:rPr>
                <w:b/>
                <w:noProof/>
                <w:sz w:val="22"/>
              </w:rPr>
            </w:pPr>
            <w:r w:rsidRPr="00EC5CFB">
              <w:rPr>
                <w:b/>
                <w:noProof/>
                <w:sz w:val="22"/>
              </w:rPr>
              <w:t>0,000</w:t>
            </w:r>
          </w:p>
        </w:tc>
      </w:tr>
      <w:tr w:rsidR="00431F4F" w:rsidRPr="00EC5CFB" w14:paraId="09F5E0AF" w14:textId="77777777" w:rsidTr="00A27D48">
        <w:tc>
          <w:tcPr>
            <w:tcW w:w="3904" w:type="dxa"/>
            <w:vMerge/>
          </w:tcPr>
          <w:p w14:paraId="70E5FD1B" w14:textId="77777777" w:rsidR="00431F4F" w:rsidRPr="00EC5CFB" w:rsidRDefault="00431F4F" w:rsidP="00431F4F">
            <w:pPr>
              <w:jc w:val="center"/>
              <w:rPr>
                <w:noProof/>
                <w:sz w:val="20"/>
                <w:lang w:eastAsia="en-GB"/>
              </w:rPr>
            </w:pPr>
          </w:p>
        </w:tc>
        <w:tc>
          <w:tcPr>
            <w:tcW w:w="1276" w:type="dxa"/>
            <w:vAlign w:val="center"/>
          </w:tcPr>
          <w:p w14:paraId="422BDD1C" w14:textId="77777777" w:rsidR="00431F4F" w:rsidRPr="00EC5CFB" w:rsidRDefault="00431F4F" w:rsidP="00431F4F">
            <w:pPr>
              <w:spacing w:before="20" w:after="20"/>
              <w:rPr>
                <w:noProof/>
                <w:sz w:val="18"/>
              </w:rPr>
            </w:pPr>
            <w:r w:rsidRPr="00EC5CFB">
              <w:rPr>
                <w:noProof/>
                <w:sz w:val="18"/>
              </w:rPr>
              <w:t>Maksed</w:t>
            </w:r>
          </w:p>
        </w:tc>
        <w:tc>
          <w:tcPr>
            <w:tcW w:w="576" w:type="dxa"/>
            <w:vAlign w:val="center"/>
          </w:tcPr>
          <w:p w14:paraId="27CE4F05" w14:textId="77777777" w:rsidR="00431F4F" w:rsidRPr="00EC5CFB" w:rsidRDefault="00431F4F" w:rsidP="00431F4F">
            <w:pPr>
              <w:spacing w:before="20" w:after="20"/>
              <w:jc w:val="center"/>
              <w:rPr>
                <w:noProof/>
                <w:sz w:val="14"/>
              </w:rPr>
            </w:pPr>
            <w:r w:rsidRPr="00EC5CFB">
              <w:rPr>
                <w:noProof/>
                <w:sz w:val="14"/>
              </w:rPr>
              <w:t>(2 a)</w:t>
            </w:r>
          </w:p>
        </w:tc>
        <w:tc>
          <w:tcPr>
            <w:tcW w:w="703" w:type="dxa"/>
            <w:vAlign w:val="center"/>
          </w:tcPr>
          <w:p w14:paraId="30BA301C" w14:textId="77777777" w:rsidR="00431F4F" w:rsidRPr="00EC5CFB" w:rsidRDefault="00431F4F" w:rsidP="00431F4F">
            <w:pPr>
              <w:spacing w:before="20" w:after="20"/>
              <w:jc w:val="right"/>
              <w:rPr>
                <w:noProof/>
                <w:sz w:val="22"/>
                <w:lang w:eastAsia="en-GB"/>
              </w:rPr>
            </w:pPr>
          </w:p>
        </w:tc>
        <w:tc>
          <w:tcPr>
            <w:tcW w:w="1134" w:type="dxa"/>
            <w:vAlign w:val="center"/>
          </w:tcPr>
          <w:p w14:paraId="71D46BF9" w14:textId="77777777" w:rsidR="00431F4F" w:rsidRPr="00EC5CFB" w:rsidRDefault="00431F4F" w:rsidP="00431F4F">
            <w:pPr>
              <w:spacing w:before="20" w:after="20"/>
              <w:jc w:val="right"/>
              <w:rPr>
                <w:noProof/>
                <w:sz w:val="22"/>
              </w:rPr>
            </w:pPr>
            <w:r w:rsidRPr="00EC5CFB">
              <w:rPr>
                <w:noProof/>
                <w:sz w:val="22"/>
              </w:rPr>
              <w:t>1 743,000</w:t>
            </w:r>
          </w:p>
        </w:tc>
        <w:tc>
          <w:tcPr>
            <w:tcW w:w="1131" w:type="dxa"/>
            <w:vAlign w:val="center"/>
          </w:tcPr>
          <w:p w14:paraId="7D3F2C6F" w14:textId="77777777" w:rsidR="00431F4F" w:rsidRPr="00EC5CFB" w:rsidRDefault="00431F4F" w:rsidP="00431F4F">
            <w:pPr>
              <w:spacing w:before="20" w:after="20"/>
              <w:jc w:val="right"/>
              <w:rPr>
                <w:noProof/>
                <w:sz w:val="22"/>
              </w:rPr>
            </w:pPr>
            <w:r w:rsidRPr="00EC5CFB">
              <w:rPr>
                <w:noProof/>
                <w:sz w:val="22"/>
              </w:rPr>
              <w:t>1 743,000</w:t>
            </w:r>
          </w:p>
        </w:tc>
        <w:tc>
          <w:tcPr>
            <w:tcW w:w="992" w:type="dxa"/>
            <w:vAlign w:val="center"/>
          </w:tcPr>
          <w:p w14:paraId="7B989DA0" w14:textId="77777777" w:rsidR="00431F4F" w:rsidRPr="00EC5CFB" w:rsidRDefault="00431F4F" w:rsidP="00431F4F">
            <w:pPr>
              <w:spacing w:before="20" w:after="20"/>
              <w:jc w:val="right"/>
              <w:rPr>
                <w:noProof/>
                <w:sz w:val="22"/>
              </w:rPr>
            </w:pPr>
            <w:r w:rsidRPr="00EC5CFB">
              <w:rPr>
                <w:noProof/>
                <w:sz w:val="22"/>
              </w:rPr>
              <w:t>-</w:t>
            </w:r>
          </w:p>
        </w:tc>
        <w:tc>
          <w:tcPr>
            <w:tcW w:w="709" w:type="dxa"/>
            <w:vAlign w:val="center"/>
          </w:tcPr>
          <w:p w14:paraId="28E3F458" w14:textId="77777777" w:rsidR="00431F4F" w:rsidRPr="00EC5CFB" w:rsidRDefault="00431F4F" w:rsidP="00431F4F">
            <w:pPr>
              <w:spacing w:before="20" w:after="20"/>
              <w:jc w:val="right"/>
              <w:rPr>
                <w:noProof/>
                <w:sz w:val="22"/>
              </w:rPr>
            </w:pPr>
          </w:p>
        </w:tc>
        <w:tc>
          <w:tcPr>
            <w:tcW w:w="708" w:type="dxa"/>
            <w:vAlign w:val="center"/>
          </w:tcPr>
          <w:p w14:paraId="4C219921" w14:textId="77777777" w:rsidR="00431F4F" w:rsidRPr="00EC5CFB" w:rsidRDefault="00431F4F" w:rsidP="00431F4F">
            <w:pPr>
              <w:spacing w:before="20" w:after="20"/>
              <w:jc w:val="center"/>
              <w:rPr>
                <w:b/>
                <w:noProof/>
                <w:sz w:val="22"/>
                <w:lang w:eastAsia="en-GB"/>
              </w:rPr>
            </w:pPr>
          </w:p>
        </w:tc>
        <w:tc>
          <w:tcPr>
            <w:tcW w:w="1276" w:type="dxa"/>
            <w:vAlign w:val="center"/>
          </w:tcPr>
          <w:p w14:paraId="3FFC5391" w14:textId="77777777" w:rsidR="00431F4F" w:rsidRPr="00EC5CFB" w:rsidRDefault="00841AC1" w:rsidP="00431F4F">
            <w:pPr>
              <w:spacing w:before="20" w:after="20"/>
              <w:jc w:val="center"/>
              <w:rPr>
                <w:b/>
                <w:noProof/>
                <w:sz w:val="22"/>
              </w:rPr>
            </w:pPr>
            <w:r w:rsidRPr="00EC5CFB">
              <w:rPr>
                <w:noProof/>
                <w:sz w:val="22"/>
              </w:rPr>
              <w:t>-3 486,000</w:t>
            </w:r>
          </w:p>
        </w:tc>
        <w:tc>
          <w:tcPr>
            <w:tcW w:w="1843" w:type="dxa"/>
            <w:vAlign w:val="center"/>
          </w:tcPr>
          <w:p w14:paraId="4E1EAD94" w14:textId="77777777" w:rsidR="00431F4F" w:rsidRPr="00EC5CFB" w:rsidRDefault="00431F4F" w:rsidP="00431F4F">
            <w:pPr>
              <w:spacing w:before="20" w:after="20"/>
              <w:jc w:val="center"/>
              <w:rPr>
                <w:b/>
                <w:noProof/>
                <w:sz w:val="22"/>
              </w:rPr>
            </w:pPr>
            <w:r w:rsidRPr="00EC5CFB">
              <w:rPr>
                <w:b/>
                <w:noProof/>
                <w:sz w:val="22"/>
              </w:rPr>
              <w:t>0,000</w:t>
            </w:r>
          </w:p>
        </w:tc>
      </w:tr>
      <w:tr w:rsidR="00431F4F" w:rsidRPr="00EC5CFB" w14:paraId="68C02E5F" w14:textId="77777777" w:rsidTr="00A27D48">
        <w:tc>
          <w:tcPr>
            <w:tcW w:w="3904" w:type="dxa"/>
            <w:vMerge w:val="restart"/>
            <w:vAlign w:val="center"/>
          </w:tcPr>
          <w:p w14:paraId="38B94BDA" w14:textId="77777777" w:rsidR="00431F4F" w:rsidRPr="00EC5CFB" w:rsidRDefault="00431F4F" w:rsidP="00431F4F">
            <w:pPr>
              <w:rPr>
                <w:noProof/>
              </w:rPr>
            </w:pPr>
            <w:r w:rsidRPr="00EC5CFB">
              <w:rPr>
                <w:noProof/>
                <w:sz w:val="20"/>
              </w:rPr>
              <w:t>Eelarverida</w:t>
            </w:r>
          </w:p>
        </w:tc>
        <w:tc>
          <w:tcPr>
            <w:tcW w:w="1276" w:type="dxa"/>
            <w:vAlign w:val="center"/>
          </w:tcPr>
          <w:p w14:paraId="379FBF77" w14:textId="77777777" w:rsidR="00431F4F" w:rsidRPr="00EC5CFB" w:rsidRDefault="00431F4F" w:rsidP="00431F4F">
            <w:pPr>
              <w:spacing w:before="20" w:after="20"/>
              <w:rPr>
                <w:noProof/>
                <w:sz w:val="18"/>
              </w:rPr>
            </w:pPr>
            <w:r w:rsidRPr="00EC5CFB">
              <w:rPr>
                <w:noProof/>
                <w:sz w:val="18"/>
              </w:rPr>
              <w:t>Kulukohustused</w:t>
            </w:r>
          </w:p>
        </w:tc>
        <w:tc>
          <w:tcPr>
            <w:tcW w:w="576" w:type="dxa"/>
            <w:vAlign w:val="center"/>
          </w:tcPr>
          <w:p w14:paraId="068106D6" w14:textId="77777777" w:rsidR="00431F4F" w:rsidRPr="00EC5CFB" w:rsidRDefault="00431F4F" w:rsidP="00431F4F">
            <w:pPr>
              <w:spacing w:before="20" w:after="20"/>
              <w:jc w:val="center"/>
              <w:rPr>
                <w:noProof/>
                <w:sz w:val="14"/>
              </w:rPr>
            </w:pPr>
            <w:r w:rsidRPr="00EC5CFB">
              <w:rPr>
                <w:noProof/>
                <w:sz w:val="14"/>
              </w:rPr>
              <w:t>(1b)</w:t>
            </w:r>
          </w:p>
        </w:tc>
        <w:tc>
          <w:tcPr>
            <w:tcW w:w="703" w:type="dxa"/>
            <w:vAlign w:val="center"/>
          </w:tcPr>
          <w:p w14:paraId="1EEFE19D" w14:textId="77777777" w:rsidR="00431F4F" w:rsidRPr="00EC5CFB" w:rsidRDefault="00431F4F" w:rsidP="00431F4F">
            <w:pPr>
              <w:spacing w:before="20" w:after="20"/>
              <w:jc w:val="right"/>
              <w:rPr>
                <w:noProof/>
                <w:sz w:val="20"/>
                <w:lang w:eastAsia="en-GB"/>
              </w:rPr>
            </w:pPr>
          </w:p>
        </w:tc>
        <w:tc>
          <w:tcPr>
            <w:tcW w:w="1134" w:type="dxa"/>
            <w:vAlign w:val="center"/>
          </w:tcPr>
          <w:p w14:paraId="73AEFB68" w14:textId="77777777" w:rsidR="00431F4F" w:rsidRPr="00EC5CFB" w:rsidRDefault="00431F4F" w:rsidP="00431F4F">
            <w:pPr>
              <w:spacing w:before="20" w:after="20"/>
              <w:jc w:val="right"/>
              <w:rPr>
                <w:noProof/>
                <w:sz w:val="20"/>
                <w:lang w:eastAsia="en-GB"/>
              </w:rPr>
            </w:pPr>
          </w:p>
        </w:tc>
        <w:tc>
          <w:tcPr>
            <w:tcW w:w="1131" w:type="dxa"/>
            <w:vAlign w:val="center"/>
          </w:tcPr>
          <w:p w14:paraId="1AEFA78A" w14:textId="77777777" w:rsidR="00431F4F" w:rsidRPr="00EC5CFB" w:rsidRDefault="00431F4F" w:rsidP="00431F4F">
            <w:pPr>
              <w:spacing w:before="20" w:after="20"/>
              <w:jc w:val="right"/>
              <w:rPr>
                <w:noProof/>
                <w:sz w:val="20"/>
                <w:lang w:eastAsia="en-GB"/>
              </w:rPr>
            </w:pPr>
          </w:p>
        </w:tc>
        <w:tc>
          <w:tcPr>
            <w:tcW w:w="992" w:type="dxa"/>
            <w:vAlign w:val="center"/>
          </w:tcPr>
          <w:p w14:paraId="76FB1C31" w14:textId="77777777" w:rsidR="00431F4F" w:rsidRPr="00EC5CFB" w:rsidRDefault="00431F4F" w:rsidP="00431F4F">
            <w:pPr>
              <w:spacing w:before="20" w:after="20"/>
              <w:jc w:val="right"/>
              <w:rPr>
                <w:noProof/>
                <w:sz w:val="20"/>
                <w:lang w:eastAsia="en-GB"/>
              </w:rPr>
            </w:pPr>
          </w:p>
        </w:tc>
        <w:tc>
          <w:tcPr>
            <w:tcW w:w="709" w:type="dxa"/>
          </w:tcPr>
          <w:p w14:paraId="1A757372" w14:textId="77777777" w:rsidR="00431F4F" w:rsidRPr="00EC5CFB" w:rsidRDefault="00431F4F" w:rsidP="00431F4F">
            <w:pPr>
              <w:spacing w:before="20" w:after="20"/>
              <w:jc w:val="right"/>
              <w:rPr>
                <w:noProof/>
                <w:sz w:val="20"/>
                <w:lang w:eastAsia="en-GB"/>
              </w:rPr>
            </w:pPr>
          </w:p>
        </w:tc>
        <w:tc>
          <w:tcPr>
            <w:tcW w:w="708" w:type="dxa"/>
          </w:tcPr>
          <w:p w14:paraId="26DAA8C5" w14:textId="77777777" w:rsidR="00431F4F" w:rsidRPr="00EC5CFB" w:rsidRDefault="00431F4F" w:rsidP="00431F4F">
            <w:pPr>
              <w:spacing w:before="20" w:after="20"/>
              <w:jc w:val="right"/>
              <w:rPr>
                <w:b/>
                <w:noProof/>
                <w:sz w:val="20"/>
                <w:lang w:eastAsia="en-GB"/>
              </w:rPr>
            </w:pPr>
          </w:p>
        </w:tc>
        <w:tc>
          <w:tcPr>
            <w:tcW w:w="1276" w:type="dxa"/>
          </w:tcPr>
          <w:p w14:paraId="2D894491" w14:textId="77777777" w:rsidR="00431F4F" w:rsidRPr="00EC5CFB" w:rsidRDefault="00431F4F" w:rsidP="00431F4F">
            <w:pPr>
              <w:spacing w:before="20" w:after="20"/>
              <w:jc w:val="right"/>
              <w:rPr>
                <w:b/>
                <w:noProof/>
                <w:sz w:val="20"/>
                <w:lang w:eastAsia="en-GB"/>
              </w:rPr>
            </w:pPr>
          </w:p>
        </w:tc>
        <w:tc>
          <w:tcPr>
            <w:tcW w:w="1843" w:type="dxa"/>
            <w:vAlign w:val="center"/>
          </w:tcPr>
          <w:p w14:paraId="06182E98" w14:textId="77777777" w:rsidR="00431F4F" w:rsidRPr="00EC5CFB" w:rsidRDefault="00431F4F" w:rsidP="00431F4F">
            <w:pPr>
              <w:spacing w:before="20" w:after="20"/>
              <w:jc w:val="right"/>
              <w:rPr>
                <w:b/>
                <w:noProof/>
                <w:sz w:val="20"/>
                <w:lang w:eastAsia="en-GB"/>
              </w:rPr>
            </w:pPr>
          </w:p>
        </w:tc>
      </w:tr>
      <w:tr w:rsidR="00431F4F" w:rsidRPr="00EC5CFB" w14:paraId="2BE770FF" w14:textId="77777777" w:rsidTr="00A27D48">
        <w:tc>
          <w:tcPr>
            <w:tcW w:w="3904" w:type="dxa"/>
            <w:vMerge/>
          </w:tcPr>
          <w:p w14:paraId="2FBFD259" w14:textId="77777777" w:rsidR="00431F4F" w:rsidRPr="00EC5CFB" w:rsidRDefault="00431F4F" w:rsidP="00431F4F">
            <w:pPr>
              <w:jc w:val="center"/>
              <w:rPr>
                <w:noProof/>
                <w:sz w:val="20"/>
                <w:lang w:eastAsia="en-GB"/>
              </w:rPr>
            </w:pPr>
          </w:p>
        </w:tc>
        <w:tc>
          <w:tcPr>
            <w:tcW w:w="1276" w:type="dxa"/>
            <w:vAlign w:val="center"/>
          </w:tcPr>
          <w:p w14:paraId="6CF56005" w14:textId="77777777" w:rsidR="00431F4F" w:rsidRPr="00EC5CFB" w:rsidRDefault="00431F4F" w:rsidP="00431F4F">
            <w:pPr>
              <w:spacing w:before="20" w:after="20"/>
              <w:rPr>
                <w:noProof/>
                <w:sz w:val="18"/>
              </w:rPr>
            </w:pPr>
            <w:r w:rsidRPr="00EC5CFB">
              <w:rPr>
                <w:noProof/>
                <w:sz w:val="18"/>
              </w:rPr>
              <w:t>Maksed</w:t>
            </w:r>
          </w:p>
        </w:tc>
        <w:tc>
          <w:tcPr>
            <w:tcW w:w="576" w:type="dxa"/>
            <w:vAlign w:val="center"/>
          </w:tcPr>
          <w:p w14:paraId="1C7188CB" w14:textId="77777777" w:rsidR="00431F4F" w:rsidRPr="00EC5CFB" w:rsidRDefault="00431F4F" w:rsidP="00431F4F">
            <w:pPr>
              <w:spacing w:before="20" w:after="20"/>
              <w:jc w:val="center"/>
              <w:rPr>
                <w:noProof/>
                <w:sz w:val="14"/>
              </w:rPr>
            </w:pPr>
            <w:r w:rsidRPr="00EC5CFB">
              <w:rPr>
                <w:noProof/>
                <w:sz w:val="14"/>
              </w:rPr>
              <w:t>(2b)</w:t>
            </w:r>
          </w:p>
        </w:tc>
        <w:tc>
          <w:tcPr>
            <w:tcW w:w="703" w:type="dxa"/>
            <w:vAlign w:val="center"/>
          </w:tcPr>
          <w:p w14:paraId="4A9999A7" w14:textId="77777777" w:rsidR="00431F4F" w:rsidRPr="00EC5CFB" w:rsidRDefault="00431F4F" w:rsidP="00431F4F">
            <w:pPr>
              <w:spacing w:before="20" w:after="20"/>
              <w:jc w:val="right"/>
              <w:rPr>
                <w:noProof/>
                <w:sz w:val="20"/>
                <w:lang w:eastAsia="en-GB"/>
              </w:rPr>
            </w:pPr>
          </w:p>
        </w:tc>
        <w:tc>
          <w:tcPr>
            <w:tcW w:w="1134" w:type="dxa"/>
            <w:vAlign w:val="center"/>
          </w:tcPr>
          <w:p w14:paraId="01A88792" w14:textId="77777777" w:rsidR="00431F4F" w:rsidRPr="00EC5CFB" w:rsidRDefault="00431F4F" w:rsidP="00431F4F">
            <w:pPr>
              <w:spacing w:before="20" w:after="20"/>
              <w:jc w:val="right"/>
              <w:rPr>
                <w:noProof/>
                <w:sz w:val="20"/>
                <w:lang w:eastAsia="en-GB"/>
              </w:rPr>
            </w:pPr>
          </w:p>
        </w:tc>
        <w:tc>
          <w:tcPr>
            <w:tcW w:w="1131" w:type="dxa"/>
            <w:vAlign w:val="center"/>
          </w:tcPr>
          <w:p w14:paraId="39658EBB" w14:textId="77777777" w:rsidR="00431F4F" w:rsidRPr="00EC5CFB" w:rsidRDefault="00431F4F" w:rsidP="00431F4F">
            <w:pPr>
              <w:spacing w:before="20" w:after="20"/>
              <w:jc w:val="right"/>
              <w:rPr>
                <w:noProof/>
                <w:sz w:val="20"/>
                <w:lang w:eastAsia="en-GB"/>
              </w:rPr>
            </w:pPr>
          </w:p>
        </w:tc>
        <w:tc>
          <w:tcPr>
            <w:tcW w:w="992" w:type="dxa"/>
            <w:vAlign w:val="center"/>
          </w:tcPr>
          <w:p w14:paraId="08217999" w14:textId="77777777" w:rsidR="00431F4F" w:rsidRPr="00EC5CFB" w:rsidRDefault="00431F4F" w:rsidP="00431F4F">
            <w:pPr>
              <w:spacing w:before="20" w:after="20"/>
              <w:jc w:val="right"/>
              <w:rPr>
                <w:noProof/>
                <w:sz w:val="20"/>
                <w:lang w:eastAsia="en-GB"/>
              </w:rPr>
            </w:pPr>
          </w:p>
        </w:tc>
        <w:tc>
          <w:tcPr>
            <w:tcW w:w="709" w:type="dxa"/>
          </w:tcPr>
          <w:p w14:paraId="0742A379" w14:textId="77777777" w:rsidR="00431F4F" w:rsidRPr="00EC5CFB" w:rsidRDefault="00431F4F" w:rsidP="00431F4F">
            <w:pPr>
              <w:spacing w:before="20" w:after="20"/>
              <w:jc w:val="right"/>
              <w:rPr>
                <w:noProof/>
                <w:sz w:val="20"/>
                <w:lang w:eastAsia="en-GB"/>
              </w:rPr>
            </w:pPr>
          </w:p>
        </w:tc>
        <w:tc>
          <w:tcPr>
            <w:tcW w:w="708" w:type="dxa"/>
          </w:tcPr>
          <w:p w14:paraId="228617F9" w14:textId="77777777" w:rsidR="00431F4F" w:rsidRPr="00EC5CFB" w:rsidRDefault="00431F4F" w:rsidP="00431F4F">
            <w:pPr>
              <w:spacing w:before="20" w:after="20"/>
              <w:jc w:val="right"/>
              <w:rPr>
                <w:b/>
                <w:noProof/>
                <w:sz w:val="20"/>
                <w:lang w:eastAsia="en-GB"/>
              </w:rPr>
            </w:pPr>
          </w:p>
        </w:tc>
        <w:tc>
          <w:tcPr>
            <w:tcW w:w="1276" w:type="dxa"/>
          </w:tcPr>
          <w:p w14:paraId="0D527C15" w14:textId="77777777" w:rsidR="00431F4F" w:rsidRPr="00EC5CFB" w:rsidRDefault="00431F4F" w:rsidP="00431F4F">
            <w:pPr>
              <w:spacing w:before="20" w:after="20"/>
              <w:jc w:val="right"/>
              <w:rPr>
                <w:b/>
                <w:noProof/>
                <w:sz w:val="20"/>
                <w:lang w:eastAsia="en-GB"/>
              </w:rPr>
            </w:pPr>
          </w:p>
        </w:tc>
        <w:tc>
          <w:tcPr>
            <w:tcW w:w="1843" w:type="dxa"/>
            <w:vAlign w:val="center"/>
          </w:tcPr>
          <w:p w14:paraId="306EF631" w14:textId="77777777" w:rsidR="00431F4F" w:rsidRPr="00EC5CFB" w:rsidRDefault="00431F4F" w:rsidP="00431F4F">
            <w:pPr>
              <w:spacing w:before="20" w:after="20"/>
              <w:jc w:val="right"/>
              <w:rPr>
                <w:b/>
                <w:noProof/>
                <w:sz w:val="20"/>
                <w:lang w:eastAsia="en-GB"/>
              </w:rPr>
            </w:pPr>
          </w:p>
        </w:tc>
      </w:tr>
      <w:tr w:rsidR="00841AC1" w:rsidRPr="00EC5CFB" w14:paraId="33BC0437" w14:textId="77777777" w:rsidTr="00841AC1">
        <w:trPr>
          <w:trHeight w:val="231"/>
        </w:trPr>
        <w:tc>
          <w:tcPr>
            <w:tcW w:w="5756" w:type="dxa"/>
            <w:gridSpan w:val="3"/>
            <w:vAlign w:val="center"/>
          </w:tcPr>
          <w:p w14:paraId="68E6AD24" w14:textId="77777777" w:rsidR="00841AC1" w:rsidRPr="00EC5CFB" w:rsidRDefault="00841AC1" w:rsidP="00431F4F">
            <w:pPr>
              <w:spacing w:before="20" w:after="20"/>
              <w:rPr>
                <w:noProof/>
              </w:rPr>
            </w:pPr>
            <w:r w:rsidRPr="00EC5CFB">
              <w:rPr>
                <w:noProof/>
                <w:sz w:val="21"/>
              </w:rPr>
              <w:t>Eriprogrammide vahenditest rahastatavad haldusassigneeringud</w:t>
            </w:r>
            <w:r w:rsidRPr="00EC5CFB">
              <w:rPr>
                <w:rStyle w:val="FootnoteReference"/>
                <w:noProof/>
              </w:rPr>
              <w:footnoteReference w:id="25"/>
            </w:r>
            <w:r w:rsidRPr="00EC5CFB">
              <w:rPr>
                <w:noProof/>
                <w:sz w:val="21"/>
              </w:rPr>
              <w:t xml:space="preserve"> </w:t>
            </w:r>
          </w:p>
          <w:p w14:paraId="748D3B5B" w14:textId="77777777" w:rsidR="00841AC1" w:rsidRPr="00EC5CFB" w:rsidRDefault="00841AC1" w:rsidP="00431F4F">
            <w:pPr>
              <w:spacing w:before="0" w:after="0"/>
              <w:rPr>
                <w:noProof/>
                <w:lang w:eastAsia="en-GB"/>
              </w:rPr>
            </w:pPr>
          </w:p>
        </w:tc>
        <w:tc>
          <w:tcPr>
            <w:tcW w:w="703" w:type="dxa"/>
            <w:vAlign w:val="center"/>
          </w:tcPr>
          <w:p w14:paraId="692B06DF" w14:textId="77777777" w:rsidR="00841AC1" w:rsidRPr="00EC5CFB" w:rsidRDefault="00841AC1" w:rsidP="00431F4F">
            <w:pPr>
              <w:rPr>
                <w:b/>
                <w:noProof/>
                <w:sz w:val="20"/>
                <w:lang w:eastAsia="en-GB"/>
              </w:rPr>
            </w:pPr>
          </w:p>
        </w:tc>
        <w:tc>
          <w:tcPr>
            <w:tcW w:w="1134" w:type="dxa"/>
            <w:vAlign w:val="center"/>
          </w:tcPr>
          <w:p w14:paraId="32B379BF" w14:textId="77777777" w:rsidR="00841AC1" w:rsidRPr="00EC5CFB" w:rsidRDefault="00841AC1" w:rsidP="00431F4F">
            <w:pPr>
              <w:rPr>
                <w:b/>
                <w:noProof/>
                <w:sz w:val="20"/>
                <w:lang w:eastAsia="en-GB"/>
              </w:rPr>
            </w:pPr>
          </w:p>
        </w:tc>
        <w:tc>
          <w:tcPr>
            <w:tcW w:w="1131" w:type="dxa"/>
            <w:vAlign w:val="center"/>
          </w:tcPr>
          <w:p w14:paraId="2A525AF9" w14:textId="77777777" w:rsidR="00841AC1" w:rsidRPr="00EC5CFB" w:rsidRDefault="00841AC1" w:rsidP="00431F4F">
            <w:pPr>
              <w:rPr>
                <w:b/>
                <w:noProof/>
                <w:sz w:val="20"/>
                <w:lang w:eastAsia="en-GB"/>
              </w:rPr>
            </w:pPr>
          </w:p>
        </w:tc>
        <w:tc>
          <w:tcPr>
            <w:tcW w:w="992" w:type="dxa"/>
            <w:vAlign w:val="center"/>
          </w:tcPr>
          <w:p w14:paraId="3478B9FB" w14:textId="77777777" w:rsidR="00841AC1" w:rsidRPr="00EC5CFB" w:rsidRDefault="00841AC1" w:rsidP="00431F4F">
            <w:pPr>
              <w:rPr>
                <w:b/>
                <w:noProof/>
                <w:sz w:val="20"/>
                <w:lang w:eastAsia="en-GB"/>
              </w:rPr>
            </w:pPr>
          </w:p>
        </w:tc>
        <w:tc>
          <w:tcPr>
            <w:tcW w:w="709" w:type="dxa"/>
          </w:tcPr>
          <w:p w14:paraId="16839C84" w14:textId="77777777" w:rsidR="00841AC1" w:rsidRPr="00EC5CFB" w:rsidRDefault="00841AC1" w:rsidP="00431F4F">
            <w:pPr>
              <w:rPr>
                <w:b/>
                <w:noProof/>
                <w:sz w:val="20"/>
                <w:lang w:eastAsia="en-GB"/>
              </w:rPr>
            </w:pPr>
          </w:p>
        </w:tc>
        <w:tc>
          <w:tcPr>
            <w:tcW w:w="708" w:type="dxa"/>
            <w:vAlign w:val="center"/>
          </w:tcPr>
          <w:p w14:paraId="52182E9F" w14:textId="77777777" w:rsidR="00841AC1" w:rsidRPr="00EC5CFB" w:rsidRDefault="00841AC1" w:rsidP="00431F4F">
            <w:pPr>
              <w:rPr>
                <w:b/>
                <w:noProof/>
                <w:sz w:val="20"/>
                <w:lang w:eastAsia="en-GB"/>
              </w:rPr>
            </w:pPr>
          </w:p>
        </w:tc>
        <w:tc>
          <w:tcPr>
            <w:tcW w:w="1276" w:type="dxa"/>
          </w:tcPr>
          <w:p w14:paraId="04C16C39" w14:textId="77777777" w:rsidR="00841AC1" w:rsidRPr="00EC5CFB" w:rsidRDefault="00841AC1" w:rsidP="00431F4F">
            <w:pPr>
              <w:rPr>
                <w:b/>
                <w:noProof/>
                <w:sz w:val="20"/>
                <w:lang w:eastAsia="en-GB"/>
              </w:rPr>
            </w:pPr>
          </w:p>
        </w:tc>
        <w:tc>
          <w:tcPr>
            <w:tcW w:w="1843" w:type="dxa"/>
            <w:vAlign w:val="center"/>
          </w:tcPr>
          <w:p w14:paraId="0B616DC0" w14:textId="77777777" w:rsidR="00841AC1" w:rsidRPr="00EC5CFB" w:rsidRDefault="00841AC1" w:rsidP="00431F4F">
            <w:pPr>
              <w:rPr>
                <w:b/>
                <w:noProof/>
                <w:sz w:val="20"/>
                <w:lang w:eastAsia="en-GB"/>
              </w:rPr>
            </w:pPr>
          </w:p>
        </w:tc>
      </w:tr>
      <w:tr w:rsidR="00431F4F" w:rsidRPr="00EC5CFB" w14:paraId="76152B4F" w14:textId="77777777" w:rsidTr="00A27D48">
        <w:trPr>
          <w:trHeight w:val="319"/>
        </w:trPr>
        <w:tc>
          <w:tcPr>
            <w:tcW w:w="3904" w:type="dxa"/>
            <w:vAlign w:val="center"/>
          </w:tcPr>
          <w:p w14:paraId="4EFA84ED" w14:textId="77777777" w:rsidR="00431F4F" w:rsidRPr="00EC5CFB" w:rsidRDefault="00431F4F" w:rsidP="00431F4F">
            <w:pPr>
              <w:spacing w:before="60" w:after="60"/>
              <w:rPr>
                <w:noProof/>
              </w:rPr>
            </w:pPr>
            <w:r w:rsidRPr="00EC5CFB">
              <w:rPr>
                <w:noProof/>
                <w:sz w:val="20"/>
              </w:rPr>
              <w:t>Eelarverida</w:t>
            </w:r>
          </w:p>
        </w:tc>
        <w:tc>
          <w:tcPr>
            <w:tcW w:w="1276" w:type="dxa"/>
            <w:vAlign w:val="center"/>
          </w:tcPr>
          <w:p w14:paraId="7BCA54DB" w14:textId="77777777" w:rsidR="00431F4F" w:rsidRPr="00EC5CFB" w:rsidRDefault="00431F4F" w:rsidP="00431F4F">
            <w:pPr>
              <w:spacing w:before="40" w:after="40"/>
              <w:jc w:val="right"/>
              <w:rPr>
                <w:noProof/>
                <w:sz w:val="18"/>
                <w:lang w:eastAsia="en-GB"/>
              </w:rPr>
            </w:pPr>
          </w:p>
        </w:tc>
        <w:tc>
          <w:tcPr>
            <w:tcW w:w="576" w:type="dxa"/>
            <w:vAlign w:val="center"/>
          </w:tcPr>
          <w:p w14:paraId="1C2650D1" w14:textId="77777777" w:rsidR="00431F4F" w:rsidRPr="00EC5CFB" w:rsidRDefault="00431F4F" w:rsidP="00431F4F">
            <w:pPr>
              <w:spacing w:before="40" w:after="40"/>
              <w:jc w:val="center"/>
              <w:rPr>
                <w:noProof/>
                <w:sz w:val="14"/>
              </w:rPr>
            </w:pPr>
            <w:r w:rsidRPr="00EC5CFB">
              <w:rPr>
                <w:noProof/>
                <w:sz w:val="14"/>
              </w:rPr>
              <w:t>(3)</w:t>
            </w:r>
          </w:p>
        </w:tc>
        <w:tc>
          <w:tcPr>
            <w:tcW w:w="703" w:type="dxa"/>
            <w:vAlign w:val="center"/>
          </w:tcPr>
          <w:p w14:paraId="04F73420" w14:textId="77777777" w:rsidR="00431F4F" w:rsidRPr="00EC5CFB" w:rsidRDefault="00431F4F" w:rsidP="00431F4F">
            <w:pPr>
              <w:spacing w:before="40" w:after="40"/>
              <w:jc w:val="right"/>
              <w:rPr>
                <w:b/>
                <w:noProof/>
                <w:sz w:val="20"/>
                <w:lang w:eastAsia="en-GB"/>
              </w:rPr>
            </w:pPr>
          </w:p>
        </w:tc>
        <w:tc>
          <w:tcPr>
            <w:tcW w:w="1134" w:type="dxa"/>
            <w:vAlign w:val="center"/>
          </w:tcPr>
          <w:p w14:paraId="1A976D12" w14:textId="77777777" w:rsidR="00431F4F" w:rsidRPr="00EC5CFB" w:rsidRDefault="00431F4F" w:rsidP="00431F4F">
            <w:pPr>
              <w:spacing w:before="40" w:after="40"/>
              <w:jc w:val="right"/>
              <w:rPr>
                <w:b/>
                <w:noProof/>
                <w:sz w:val="20"/>
                <w:lang w:eastAsia="en-GB"/>
              </w:rPr>
            </w:pPr>
          </w:p>
        </w:tc>
        <w:tc>
          <w:tcPr>
            <w:tcW w:w="1131" w:type="dxa"/>
            <w:vAlign w:val="center"/>
          </w:tcPr>
          <w:p w14:paraId="3E3FFCEB" w14:textId="77777777" w:rsidR="00431F4F" w:rsidRPr="00EC5CFB" w:rsidRDefault="00431F4F" w:rsidP="00431F4F">
            <w:pPr>
              <w:spacing w:before="40" w:after="40"/>
              <w:jc w:val="right"/>
              <w:rPr>
                <w:b/>
                <w:noProof/>
                <w:sz w:val="20"/>
                <w:lang w:eastAsia="en-GB"/>
              </w:rPr>
            </w:pPr>
          </w:p>
        </w:tc>
        <w:tc>
          <w:tcPr>
            <w:tcW w:w="992" w:type="dxa"/>
            <w:vAlign w:val="center"/>
          </w:tcPr>
          <w:p w14:paraId="37D691BF" w14:textId="77777777" w:rsidR="00431F4F" w:rsidRPr="00EC5CFB" w:rsidRDefault="00431F4F" w:rsidP="00431F4F">
            <w:pPr>
              <w:spacing w:before="40" w:after="40"/>
              <w:jc w:val="right"/>
              <w:rPr>
                <w:b/>
                <w:noProof/>
                <w:sz w:val="20"/>
                <w:lang w:eastAsia="en-GB"/>
              </w:rPr>
            </w:pPr>
          </w:p>
        </w:tc>
        <w:tc>
          <w:tcPr>
            <w:tcW w:w="709" w:type="dxa"/>
          </w:tcPr>
          <w:p w14:paraId="3DA22614" w14:textId="77777777" w:rsidR="00431F4F" w:rsidRPr="00EC5CFB" w:rsidRDefault="00431F4F" w:rsidP="00431F4F">
            <w:pPr>
              <w:spacing w:before="40" w:after="40"/>
              <w:jc w:val="right"/>
              <w:rPr>
                <w:b/>
                <w:noProof/>
                <w:sz w:val="20"/>
                <w:lang w:eastAsia="en-GB"/>
              </w:rPr>
            </w:pPr>
          </w:p>
        </w:tc>
        <w:tc>
          <w:tcPr>
            <w:tcW w:w="708" w:type="dxa"/>
          </w:tcPr>
          <w:p w14:paraId="109B9101" w14:textId="77777777" w:rsidR="00431F4F" w:rsidRPr="00EC5CFB" w:rsidRDefault="00431F4F" w:rsidP="00431F4F">
            <w:pPr>
              <w:spacing w:before="40" w:after="40"/>
              <w:jc w:val="right"/>
              <w:rPr>
                <w:b/>
                <w:noProof/>
                <w:sz w:val="20"/>
                <w:lang w:eastAsia="en-GB"/>
              </w:rPr>
            </w:pPr>
          </w:p>
        </w:tc>
        <w:tc>
          <w:tcPr>
            <w:tcW w:w="1276" w:type="dxa"/>
          </w:tcPr>
          <w:p w14:paraId="3B168EA2" w14:textId="77777777" w:rsidR="00431F4F" w:rsidRPr="00EC5CFB" w:rsidRDefault="00431F4F" w:rsidP="00431F4F">
            <w:pPr>
              <w:spacing w:before="40" w:after="40"/>
              <w:jc w:val="right"/>
              <w:rPr>
                <w:b/>
                <w:noProof/>
                <w:sz w:val="20"/>
                <w:lang w:eastAsia="en-GB"/>
              </w:rPr>
            </w:pPr>
          </w:p>
        </w:tc>
        <w:tc>
          <w:tcPr>
            <w:tcW w:w="1843" w:type="dxa"/>
            <w:vAlign w:val="center"/>
          </w:tcPr>
          <w:p w14:paraId="6B6AAA53" w14:textId="77777777" w:rsidR="00431F4F" w:rsidRPr="00EC5CFB" w:rsidRDefault="00431F4F" w:rsidP="00431F4F">
            <w:pPr>
              <w:spacing w:before="40" w:after="40"/>
              <w:jc w:val="right"/>
              <w:rPr>
                <w:b/>
                <w:noProof/>
                <w:sz w:val="20"/>
                <w:lang w:eastAsia="en-GB"/>
              </w:rPr>
            </w:pPr>
          </w:p>
        </w:tc>
      </w:tr>
      <w:tr w:rsidR="00431F4F" w:rsidRPr="00EC5CFB" w14:paraId="7325DF33" w14:textId="77777777" w:rsidTr="00A27D48">
        <w:tc>
          <w:tcPr>
            <w:tcW w:w="3904" w:type="dxa"/>
            <w:vMerge w:val="restart"/>
            <w:vAlign w:val="center"/>
          </w:tcPr>
          <w:p w14:paraId="252B6AF7" w14:textId="77777777" w:rsidR="00431F4F" w:rsidRPr="00EC5CFB" w:rsidRDefault="00431F4F" w:rsidP="00431F4F">
            <w:pPr>
              <w:jc w:val="center"/>
              <w:rPr>
                <w:b/>
                <w:noProof/>
              </w:rPr>
            </w:pPr>
            <w:r w:rsidRPr="00EC5CFB">
              <w:rPr>
                <w:b/>
                <w:noProof/>
                <w:sz w:val="22"/>
              </w:rPr>
              <w:t>Regionaal- ja linnapoliitika peadirektoraadi ning tööhõive, sotsiaalküsimuste ja sotsiaalse kaasatuse peadirektoraadi</w:t>
            </w:r>
            <w:r w:rsidRPr="00EC5CFB">
              <w:rPr>
                <w:noProof/>
              </w:rPr>
              <w:t xml:space="preserve"> </w:t>
            </w:r>
            <w:r w:rsidRPr="00EC5CFB">
              <w:rPr>
                <w:noProof/>
              </w:rPr>
              <w:br/>
            </w:r>
            <w:r w:rsidRPr="00EC5CFB">
              <w:rPr>
                <w:b/>
                <w:bCs/>
                <w:noProof/>
                <w:sz w:val="22"/>
              </w:rPr>
              <w:t>assigneeringud KOKKU</w:t>
            </w:r>
          </w:p>
        </w:tc>
        <w:tc>
          <w:tcPr>
            <w:tcW w:w="1276" w:type="dxa"/>
            <w:vAlign w:val="center"/>
          </w:tcPr>
          <w:p w14:paraId="0DB3438D" w14:textId="77777777" w:rsidR="00431F4F" w:rsidRPr="00EC5CFB" w:rsidRDefault="00431F4F" w:rsidP="00431F4F">
            <w:pPr>
              <w:rPr>
                <w:noProof/>
                <w:sz w:val="18"/>
              </w:rPr>
            </w:pPr>
            <w:r w:rsidRPr="00EC5CFB">
              <w:rPr>
                <w:noProof/>
                <w:sz w:val="18"/>
              </w:rPr>
              <w:t>Kulukohustused</w:t>
            </w:r>
          </w:p>
        </w:tc>
        <w:tc>
          <w:tcPr>
            <w:tcW w:w="576" w:type="dxa"/>
            <w:vAlign w:val="center"/>
          </w:tcPr>
          <w:p w14:paraId="31332614" w14:textId="77777777" w:rsidR="00431F4F" w:rsidRPr="00EC5CFB" w:rsidRDefault="00431F4F" w:rsidP="00431F4F">
            <w:pPr>
              <w:jc w:val="center"/>
              <w:rPr>
                <w:noProof/>
                <w:sz w:val="14"/>
              </w:rPr>
            </w:pPr>
            <w:r w:rsidRPr="00EC5CFB">
              <w:rPr>
                <w:noProof/>
                <w:sz w:val="14"/>
              </w:rPr>
              <w:t>= 1a + 1b + 3</w:t>
            </w:r>
          </w:p>
        </w:tc>
        <w:tc>
          <w:tcPr>
            <w:tcW w:w="703" w:type="dxa"/>
            <w:vAlign w:val="center"/>
          </w:tcPr>
          <w:p w14:paraId="1248AD67" w14:textId="77777777" w:rsidR="00431F4F" w:rsidRPr="00EC5CFB" w:rsidRDefault="00431F4F" w:rsidP="00431F4F">
            <w:pPr>
              <w:spacing w:before="20" w:after="20"/>
              <w:jc w:val="right"/>
              <w:rPr>
                <w:noProof/>
                <w:sz w:val="22"/>
                <w:lang w:eastAsia="en-GB"/>
              </w:rPr>
            </w:pPr>
          </w:p>
        </w:tc>
        <w:tc>
          <w:tcPr>
            <w:tcW w:w="1134" w:type="dxa"/>
            <w:vAlign w:val="center"/>
          </w:tcPr>
          <w:p w14:paraId="0930FD9F" w14:textId="77777777" w:rsidR="00431F4F" w:rsidRPr="00EC5CFB" w:rsidRDefault="00431F4F" w:rsidP="00431F4F">
            <w:pPr>
              <w:spacing w:before="20" w:after="20"/>
              <w:jc w:val="right"/>
              <w:rPr>
                <w:noProof/>
                <w:sz w:val="22"/>
                <w:lang w:eastAsia="en-GB"/>
              </w:rPr>
            </w:pPr>
          </w:p>
        </w:tc>
        <w:tc>
          <w:tcPr>
            <w:tcW w:w="1131" w:type="dxa"/>
            <w:vAlign w:val="center"/>
          </w:tcPr>
          <w:p w14:paraId="377E6EE4" w14:textId="77777777" w:rsidR="00431F4F" w:rsidRPr="00EC5CFB" w:rsidRDefault="00431F4F" w:rsidP="00431F4F">
            <w:pPr>
              <w:spacing w:before="20" w:after="20"/>
              <w:jc w:val="right"/>
              <w:rPr>
                <w:noProof/>
                <w:sz w:val="22"/>
                <w:lang w:eastAsia="en-GB"/>
              </w:rPr>
            </w:pPr>
          </w:p>
        </w:tc>
        <w:tc>
          <w:tcPr>
            <w:tcW w:w="992" w:type="dxa"/>
            <w:vAlign w:val="center"/>
          </w:tcPr>
          <w:p w14:paraId="0870E82A" w14:textId="77777777" w:rsidR="00431F4F" w:rsidRPr="00EC5CFB" w:rsidRDefault="00431F4F" w:rsidP="00431F4F">
            <w:pPr>
              <w:spacing w:before="20" w:after="20"/>
              <w:jc w:val="right"/>
              <w:rPr>
                <w:noProof/>
                <w:sz w:val="22"/>
                <w:lang w:eastAsia="en-GB"/>
              </w:rPr>
            </w:pPr>
          </w:p>
        </w:tc>
        <w:tc>
          <w:tcPr>
            <w:tcW w:w="709" w:type="dxa"/>
            <w:vAlign w:val="center"/>
          </w:tcPr>
          <w:p w14:paraId="6E8743BC" w14:textId="77777777" w:rsidR="00431F4F" w:rsidRPr="00EC5CFB" w:rsidRDefault="00431F4F" w:rsidP="00431F4F">
            <w:pPr>
              <w:spacing w:before="20" w:after="20"/>
              <w:jc w:val="right"/>
              <w:rPr>
                <w:noProof/>
                <w:sz w:val="22"/>
                <w:lang w:eastAsia="en-GB"/>
              </w:rPr>
            </w:pPr>
          </w:p>
        </w:tc>
        <w:tc>
          <w:tcPr>
            <w:tcW w:w="708" w:type="dxa"/>
            <w:vAlign w:val="center"/>
          </w:tcPr>
          <w:p w14:paraId="563E7124" w14:textId="77777777" w:rsidR="00431F4F" w:rsidRPr="00EC5CFB" w:rsidRDefault="00431F4F" w:rsidP="00431F4F">
            <w:pPr>
              <w:spacing w:before="20" w:after="20"/>
              <w:jc w:val="center"/>
              <w:rPr>
                <w:b/>
                <w:noProof/>
                <w:sz w:val="22"/>
                <w:lang w:eastAsia="en-GB"/>
              </w:rPr>
            </w:pPr>
          </w:p>
        </w:tc>
        <w:tc>
          <w:tcPr>
            <w:tcW w:w="1276" w:type="dxa"/>
            <w:vAlign w:val="center"/>
          </w:tcPr>
          <w:p w14:paraId="34875702" w14:textId="77777777" w:rsidR="00431F4F" w:rsidRPr="00EC5CFB" w:rsidRDefault="00431F4F" w:rsidP="00431F4F">
            <w:pPr>
              <w:spacing w:before="20" w:after="20"/>
              <w:jc w:val="center"/>
              <w:rPr>
                <w:b/>
                <w:noProof/>
                <w:sz w:val="22"/>
                <w:lang w:eastAsia="en-GB"/>
              </w:rPr>
            </w:pPr>
          </w:p>
        </w:tc>
        <w:tc>
          <w:tcPr>
            <w:tcW w:w="1843" w:type="dxa"/>
            <w:vAlign w:val="center"/>
          </w:tcPr>
          <w:p w14:paraId="4721B4E7" w14:textId="77777777" w:rsidR="00431F4F" w:rsidRPr="00EC5CFB" w:rsidRDefault="00431F4F" w:rsidP="00431F4F">
            <w:pPr>
              <w:spacing w:before="20" w:after="20"/>
              <w:jc w:val="center"/>
              <w:rPr>
                <w:b/>
                <w:noProof/>
                <w:sz w:val="22"/>
              </w:rPr>
            </w:pPr>
            <w:r w:rsidRPr="00EC5CFB">
              <w:rPr>
                <w:b/>
                <w:noProof/>
                <w:sz w:val="22"/>
              </w:rPr>
              <w:t>0,000</w:t>
            </w:r>
          </w:p>
        </w:tc>
      </w:tr>
      <w:tr w:rsidR="00431F4F" w:rsidRPr="00EC5CFB" w14:paraId="2521135A" w14:textId="77777777" w:rsidTr="00A27D48">
        <w:tc>
          <w:tcPr>
            <w:tcW w:w="3904" w:type="dxa"/>
            <w:vMerge/>
          </w:tcPr>
          <w:p w14:paraId="0EF0AD34" w14:textId="77777777" w:rsidR="00431F4F" w:rsidRPr="00EC5CFB" w:rsidRDefault="00431F4F" w:rsidP="00431F4F">
            <w:pPr>
              <w:rPr>
                <w:noProof/>
                <w:sz w:val="20"/>
                <w:lang w:eastAsia="en-GB"/>
              </w:rPr>
            </w:pPr>
          </w:p>
        </w:tc>
        <w:tc>
          <w:tcPr>
            <w:tcW w:w="1276" w:type="dxa"/>
            <w:vAlign w:val="center"/>
          </w:tcPr>
          <w:p w14:paraId="4231592A" w14:textId="77777777" w:rsidR="00431F4F" w:rsidRPr="00EC5CFB" w:rsidRDefault="00431F4F" w:rsidP="00431F4F">
            <w:pPr>
              <w:rPr>
                <w:noProof/>
                <w:sz w:val="18"/>
              </w:rPr>
            </w:pPr>
            <w:r w:rsidRPr="00EC5CFB">
              <w:rPr>
                <w:noProof/>
                <w:sz w:val="18"/>
              </w:rPr>
              <w:t>Maksed</w:t>
            </w:r>
          </w:p>
        </w:tc>
        <w:tc>
          <w:tcPr>
            <w:tcW w:w="576" w:type="dxa"/>
            <w:vAlign w:val="center"/>
          </w:tcPr>
          <w:p w14:paraId="7A367FB7" w14:textId="77777777" w:rsidR="00431F4F" w:rsidRPr="00EC5CFB" w:rsidRDefault="00431F4F" w:rsidP="00431F4F">
            <w:pPr>
              <w:jc w:val="center"/>
              <w:rPr>
                <w:noProof/>
                <w:sz w:val="14"/>
              </w:rPr>
            </w:pPr>
            <w:r w:rsidRPr="00EC5CFB">
              <w:rPr>
                <w:noProof/>
                <w:sz w:val="14"/>
              </w:rPr>
              <w:t>= 2a + 2b</w:t>
            </w:r>
          </w:p>
          <w:p w14:paraId="17CE790F" w14:textId="77777777" w:rsidR="00431F4F" w:rsidRPr="00EC5CFB" w:rsidRDefault="00431F4F" w:rsidP="00431F4F">
            <w:pPr>
              <w:jc w:val="center"/>
              <w:rPr>
                <w:noProof/>
                <w:sz w:val="14"/>
              </w:rPr>
            </w:pPr>
            <w:r w:rsidRPr="00EC5CFB">
              <w:rPr>
                <w:noProof/>
                <w:sz w:val="14"/>
              </w:rPr>
              <w:t>+3</w:t>
            </w:r>
          </w:p>
        </w:tc>
        <w:tc>
          <w:tcPr>
            <w:tcW w:w="703" w:type="dxa"/>
            <w:vAlign w:val="center"/>
          </w:tcPr>
          <w:p w14:paraId="6706E560" w14:textId="77777777" w:rsidR="00431F4F" w:rsidRPr="00EC5CFB" w:rsidRDefault="00431F4F" w:rsidP="00431F4F">
            <w:pPr>
              <w:spacing w:before="20" w:after="20"/>
              <w:jc w:val="right"/>
              <w:rPr>
                <w:noProof/>
                <w:sz w:val="22"/>
                <w:lang w:eastAsia="en-GB"/>
              </w:rPr>
            </w:pPr>
          </w:p>
        </w:tc>
        <w:tc>
          <w:tcPr>
            <w:tcW w:w="1134" w:type="dxa"/>
            <w:vAlign w:val="center"/>
          </w:tcPr>
          <w:p w14:paraId="0E9A852B" w14:textId="77777777" w:rsidR="00431F4F" w:rsidRPr="00EC5CFB" w:rsidRDefault="00431F4F" w:rsidP="00431F4F">
            <w:pPr>
              <w:spacing w:before="20" w:after="20"/>
              <w:jc w:val="right"/>
              <w:rPr>
                <w:noProof/>
                <w:sz w:val="22"/>
              </w:rPr>
            </w:pPr>
            <w:r w:rsidRPr="00EC5CFB">
              <w:rPr>
                <w:noProof/>
                <w:sz w:val="22"/>
              </w:rPr>
              <w:t>1 743,000</w:t>
            </w:r>
          </w:p>
        </w:tc>
        <w:tc>
          <w:tcPr>
            <w:tcW w:w="1131" w:type="dxa"/>
            <w:vAlign w:val="center"/>
          </w:tcPr>
          <w:p w14:paraId="58F38EAC" w14:textId="77777777" w:rsidR="00431F4F" w:rsidRPr="00EC5CFB" w:rsidRDefault="00431F4F" w:rsidP="00431F4F">
            <w:pPr>
              <w:spacing w:before="20" w:after="20"/>
              <w:jc w:val="right"/>
              <w:rPr>
                <w:noProof/>
                <w:sz w:val="22"/>
              </w:rPr>
            </w:pPr>
            <w:r w:rsidRPr="00EC5CFB">
              <w:rPr>
                <w:noProof/>
                <w:sz w:val="22"/>
              </w:rPr>
              <w:t>1 743,000</w:t>
            </w:r>
          </w:p>
        </w:tc>
        <w:tc>
          <w:tcPr>
            <w:tcW w:w="992" w:type="dxa"/>
            <w:vAlign w:val="center"/>
          </w:tcPr>
          <w:p w14:paraId="12B54457" w14:textId="77777777" w:rsidR="00431F4F" w:rsidRPr="00EC5CFB" w:rsidRDefault="00431F4F" w:rsidP="00841AC1">
            <w:pPr>
              <w:spacing w:before="20" w:after="20"/>
              <w:jc w:val="right"/>
              <w:rPr>
                <w:noProof/>
                <w:sz w:val="22"/>
              </w:rPr>
            </w:pPr>
            <w:r w:rsidRPr="00EC5CFB">
              <w:rPr>
                <w:noProof/>
                <w:sz w:val="22"/>
              </w:rPr>
              <w:t>-</w:t>
            </w:r>
          </w:p>
        </w:tc>
        <w:tc>
          <w:tcPr>
            <w:tcW w:w="709" w:type="dxa"/>
            <w:vAlign w:val="center"/>
          </w:tcPr>
          <w:p w14:paraId="4F0B67A4" w14:textId="77777777" w:rsidR="00431F4F" w:rsidRPr="00EC5CFB" w:rsidRDefault="00431F4F" w:rsidP="00431F4F">
            <w:pPr>
              <w:spacing w:before="20" w:after="20"/>
              <w:jc w:val="right"/>
              <w:rPr>
                <w:noProof/>
                <w:sz w:val="22"/>
              </w:rPr>
            </w:pPr>
          </w:p>
        </w:tc>
        <w:tc>
          <w:tcPr>
            <w:tcW w:w="708" w:type="dxa"/>
            <w:vAlign w:val="center"/>
          </w:tcPr>
          <w:p w14:paraId="0393D49A" w14:textId="77777777" w:rsidR="00431F4F" w:rsidRPr="00EC5CFB" w:rsidRDefault="00431F4F" w:rsidP="00431F4F">
            <w:pPr>
              <w:spacing w:before="20" w:after="20"/>
              <w:jc w:val="center"/>
              <w:rPr>
                <w:b/>
                <w:noProof/>
                <w:sz w:val="22"/>
                <w:lang w:eastAsia="en-GB"/>
              </w:rPr>
            </w:pPr>
          </w:p>
        </w:tc>
        <w:tc>
          <w:tcPr>
            <w:tcW w:w="1276" w:type="dxa"/>
            <w:vAlign w:val="center"/>
          </w:tcPr>
          <w:p w14:paraId="594FB923" w14:textId="77777777" w:rsidR="00431F4F" w:rsidRPr="00EC5CFB" w:rsidRDefault="00431F4F" w:rsidP="00431F4F">
            <w:pPr>
              <w:spacing w:before="20" w:after="20"/>
              <w:jc w:val="center"/>
              <w:rPr>
                <w:b/>
                <w:noProof/>
                <w:sz w:val="22"/>
              </w:rPr>
            </w:pPr>
            <w:r w:rsidRPr="00EC5CFB">
              <w:rPr>
                <w:noProof/>
                <w:sz w:val="22"/>
              </w:rPr>
              <w:t>-3 486,000</w:t>
            </w:r>
          </w:p>
        </w:tc>
        <w:tc>
          <w:tcPr>
            <w:tcW w:w="1843" w:type="dxa"/>
            <w:vAlign w:val="center"/>
          </w:tcPr>
          <w:p w14:paraId="627E5F76" w14:textId="77777777" w:rsidR="00431F4F" w:rsidRPr="00EC5CFB" w:rsidRDefault="00431F4F" w:rsidP="00431F4F">
            <w:pPr>
              <w:spacing w:before="20" w:after="20"/>
              <w:jc w:val="center"/>
              <w:rPr>
                <w:b/>
                <w:noProof/>
                <w:sz w:val="22"/>
              </w:rPr>
            </w:pPr>
            <w:r w:rsidRPr="00EC5CFB">
              <w:rPr>
                <w:b/>
                <w:noProof/>
                <w:sz w:val="22"/>
              </w:rPr>
              <w:t>0,000</w:t>
            </w:r>
          </w:p>
        </w:tc>
      </w:tr>
    </w:tbl>
    <w:p w14:paraId="00F0233D" w14:textId="77777777" w:rsidR="00C87E1E" w:rsidRPr="00EC5CFB" w:rsidRDefault="00C87E1E" w:rsidP="00C87E1E">
      <w:pPr>
        <w:rPr>
          <w:noProof/>
        </w:rPr>
      </w:pPr>
      <w:r w:rsidRPr="00EC5CFB">
        <w:rPr>
          <w:noProof/>
        </w:rPr>
        <w:t xml:space="preserve"> </w:t>
      </w:r>
      <w:r w:rsidRPr="00EC5CFB">
        <w:rPr>
          <w:noProof/>
        </w:rPr>
        <w:br/>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20"/>
        <w:gridCol w:w="567"/>
        <w:gridCol w:w="709"/>
        <w:gridCol w:w="1134"/>
        <w:gridCol w:w="1134"/>
        <w:gridCol w:w="992"/>
        <w:gridCol w:w="709"/>
        <w:gridCol w:w="708"/>
        <w:gridCol w:w="1276"/>
        <w:gridCol w:w="1843"/>
      </w:tblGrid>
      <w:tr w:rsidR="00841AC1" w:rsidRPr="00EC5CFB" w14:paraId="2CF7FCDD" w14:textId="77777777" w:rsidTr="00A27D48">
        <w:trPr>
          <w:trHeight w:val="277"/>
        </w:trPr>
        <w:tc>
          <w:tcPr>
            <w:tcW w:w="3960" w:type="dxa"/>
            <w:vMerge w:val="restart"/>
            <w:vAlign w:val="center"/>
          </w:tcPr>
          <w:p w14:paraId="17848FD6" w14:textId="77777777" w:rsidR="00841AC1" w:rsidRPr="00EC5CFB" w:rsidRDefault="00841AC1" w:rsidP="00841AC1">
            <w:pPr>
              <w:spacing w:before="20" w:after="20"/>
              <w:rPr>
                <w:noProof/>
              </w:rPr>
            </w:pPr>
            <w:r w:rsidRPr="00EC5CFB">
              <w:rPr>
                <w:noProof/>
              </w:rPr>
              <w:br w:type="page"/>
            </w:r>
            <w:r w:rsidRPr="00EC5CFB">
              <w:rPr>
                <w:noProof/>
                <w:sz w:val="21"/>
              </w:rPr>
              <w:sym w:font="Wingdings" w:char="F09F"/>
            </w:r>
            <w:r w:rsidRPr="00EC5CFB">
              <w:rPr>
                <w:noProof/>
                <w:sz w:val="21"/>
              </w:rPr>
              <w:t xml:space="preserve">Tegevusassigneeringud KOKKU </w:t>
            </w:r>
          </w:p>
        </w:tc>
        <w:tc>
          <w:tcPr>
            <w:tcW w:w="1220" w:type="dxa"/>
            <w:vAlign w:val="center"/>
          </w:tcPr>
          <w:p w14:paraId="538ED2D1" w14:textId="77777777" w:rsidR="00841AC1" w:rsidRPr="00EC5CFB" w:rsidRDefault="00841AC1" w:rsidP="00841AC1">
            <w:pPr>
              <w:spacing w:beforeLines="20" w:before="48" w:afterLines="20" w:after="48"/>
              <w:rPr>
                <w:noProof/>
                <w:sz w:val="18"/>
              </w:rPr>
            </w:pPr>
            <w:r w:rsidRPr="00EC5CFB">
              <w:rPr>
                <w:noProof/>
                <w:sz w:val="18"/>
              </w:rPr>
              <w:t>Kulukohustused</w:t>
            </w:r>
          </w:p>
        </w:tc>
        <w:tc>
          <w:tcPr>
            <w:tcW w:w="567" w:type="dxa"/>
            <w:vAlign w:val="center"/>
          </w:tcPr>
          <w:p w14:paraId="293A8B9C" w14:textId="77777777" w:rsidR="00841AC1" w:rsidRPr="00EC5CFB" w:rsidRDefault="00841AC1" w:rsidP="00841AC1">
            <w:pPr>
              <w:spacing w:beforeLines="20" w:before="48" w:afterLines="20" w:after="48"/>
              <w:jc w:val="center"/>
              <w:rPr>
                <w:noProof/>
                <w:sz w:val="14"/>
              </w:rPr>
            </w:pPr>
            <w:r w:rsidRPr="00EC5CFB">
              <w:rPr>
                <w:noProof/>
                <w:sz w:val="14"/>
              </w:rPr>
              <w:t>(4)</w:t>
            </w:r>
          </w:p>
        </w:tc>
        <w:tc>
          <w:tcPr>
            <w:tcW w:w="709" w:type="dxa"/>
            <w:vAlign w:val="center"/>
          </w:tcPr>
          <w:p w14:paraId="460A9C37" w14:textId="77777777" w:rsidR="00841AC1" w:rsidRPr="00EC5CFB" w:rsidRDefault="00841AC1" w:rsidP="00841AC1">
            <w:pPr>
              <w:spacing w:before="20" w:after="20"/>
              <w:jc w:val="right"/>
              <w:rPr>
                <w:noProof/>
                <w:sz w:val="20"/>
                <w:lang w:eastAsia="en-GB"/>
              </w:rPr>
            </w:pPr>
          </w:p>
        </w:tc>
        <w:tc>
          <w:tcPr>
            <w:tcW w:w="1134" w:type="dxa"/>
            <w:vAlign w:val="center"/>
          </w:tcPr>
          <w:p w14:paraId="2017BAD5" w14:textId="77777777" w:rsidR="00841AC1" w:rsidRPr="00EC5CFB" w:rsidRDefault="00841AC1" w:rsidP="00841AC1">
            <w:pPr>
              <w:spacing w:before="20" w:after="20"/>
              <w:jc w:val="right"/>
              <w:rPr>
                <w:noProof/>
                <w:sz w:val="20"/>
                <w:lang w:eastAsia="en-GB"/>
              </w:rPr>
            </w:pPr>
          </w:p>
        </w:tc>
        <w:tc>
          <w:tcPr>
            <w:tcW w:w="1134" w:type="dxa"/>
            <w:vAlign w:val="center"/>
          </w:tcPr>
          <w:p w14:paraId="4967307B" w14:textId="77777777" w:rsidR="00841AC1" w:rsidRPr="00EC5CFB" w:rsidRDefault="00841AC1" w:rsidP="00841AC1">
            <w:pPr>
              <w:spacing w:before="20" w:after="20"/>
              <w:jc w:val="right"/>
              <w:rPr>
                <w:noProof/>
                <w:sz w:val="20"/>
                <w:lang w:eastAsia="en-GB"/>
              </w:rPr>
            </w:pPr>
          </w:p>
        </w:tc>
        <w:tc>
          <w:tcPr>
            <w:tcW w:w="992" w:type="dxa"/>
            <w:vAlign w:val="center"/>
          </w:tcPr>
          <w:p w14:paraId="16BBB3E1" w14:textId="77777777" w:rsidR="00841AC1" w:rsidRPr="00EC5CFB" w:rsidRDefault="00841AC1" w:rsidP="00841AC1">
            <w:pPr>
              <w:spacing w:before="20" w:after="20"/>
              <w:jc w:val="right"/>
              <w:rPr>
                <w:noProof/>
                <w:sz w:val="20"/>
                <w:lang w:eastAsia="en-GB"/>
              </w:rPr>
            </w:pPr>
          </w:p>
        </w:tc>
        <w:tc>
          <w:tcPr>
            <w:tcW w:w="709" w:type="dxa"/>
            <w:vAlign w:val="center"/>
          </w:tcPr>
          <w:p w14:paraId="39F0865F" w14:textId="77777777" w:rsidR="00841AC1" w:rsidRPr="00EC5CFB" w:rsidRDefault="00841AC1" w:rsidP="00841AC1">
            <w:pPr>
              <w:spacing w:before="20" w:after="20"/>
              <w:jc w:val="right"/>
              <w:rPr>
                <w:noProof/>
                <w:sz w:val="20"/>
                <w:lang w:eastAsia="en-GB"/>
              </w:rPr>
            </w:pPr>
          </w:p>
        </w:tc>
        <w:tc>
          <w:tcPr>
            <w:tcW w:w="708" w:type="dxa"/>
            <w:vAlign w:val="center"/>
          </w:tcPr>
          <w:p w14:paraId="5B5FB6DD" w14:textId="77777777" w:rsidR="00841AC1" w:rsidRPr="00EC5CFB" w:rsidRDefault="00841AC1" w:rsidP="00841AC1">
            <w:pPr>
              <w:spacing w:before="20" w:after="20"/>
              <w:jc w:val="right"/>
              <w:rPr>
                <w:b/>
                <w:noProof/>
                <w:sz w:val="20"/>
                <w:lang w:eastAsia="en-GB"/>
              </w:rPr>
            </w:pPr>
          </w:p>
        </w:tc>
        <w:tc>
          <w:tcPr>
            <w:tcW w:w="1276" w:type="dxa"/>
            <w:vAlign w:val="center"/>
          </w:tcPr>
          <w:p w14:paraId="01F719A6" w14:textId="77777777" w:rsidR="00841AC1" w:rsidRPr="00EC5CFB" w:rsidRDefault="00841AC1" w:rsidP="00841AC1">
            <w:pPr>
              <w:spacing w:before="20" w:after="20"/>
              <w:jc w:val="right"/>
              <w:rPr>
                <w:b/>
                <w:noProof/>
                <w:sz w:val="20"/>
                <w:lang w:eastAsia="en-GB"/>
              </w:rPr>
            </w:pPr>
          </w:p>
        </w:tc>
        <w:tc>
          <w:tcPr>
            <w:tcW w:w="1843" w:type="dxa"/>
            <w:vAlign w:val="center"/>
          </w:tcPr>
          <w:p w14:paraId="7F9FB537" w14:textId="77777777" w:rsidR="00841AC1" w:rsidRPr="00EC5CFB" w:rsidRDefault="00841AC1" w:rsidP="00841AC1">
            <w:pPr>
              <w:spacing w:before="20" w:after="20"/>
              <w:jc w:val="right"/>
              <w:rPr>
                <w:b/>
                <w:noProof/>
                <w:sz w:val="20"/>
                <w:lang w:eastAsia="en-GB"/>
              </w:rPr>
            </w:pPr>
          </w:p>
        </w:tc>
      </w:tr>
      <w:tr w:rsidR="00841AC1" w:rsidRPr="00EC5CFB" w14:paraId="00E3E8A3" w14:textId="77777777" w:rsidTr="00A27D48">
        <w:tc>
          <w:tcPr>
            <w:tcW w:w="3960" w:type="dxa"/>
            <w:vMerge/>
          </w:tcPr>
          <w:p w14:paraId="40AC7AD5" w14:textId="77777777" w:rsidR="00841AC1" w:rsidRPr="00EC5CFB" w:rsidRDefault="00841AC1" w:rsidP="00841AC1">
            <w:pPr>
              <w:jc w:val="center"/>
              <w:rPr>
                <w:noProof/>
                <w:sz w:val="20"/>
                <w:lang w:eastAsia="en-GB"/>
              </w:rPr>
            </w:pPr>
          </w:p>
        </w:tc>
        <w:tc>
          <w:tcPr>
            <w:tcW w:w="1220" w:type="dxa"/>
            <w:vAlign w:val="center"/>
          </w:tcPr>
          <w:p w14:paraId="33F12156" w14:textId="77777777" w:rsidR="00841AC1" w:rsidRPr="00EC5CFB" w:rsidRDefault="00841AC1" w:rsidP="00841AC1">
            <w:pPr>
              <w:spacing w:beforeLines="20" w:before="48" w:afterLines="20" w:after="48"/>
              <w:rPr>
                <w:noProof/>
                <w:sz w:val="18"/>
              </w:rPr>
            </w:pPr>
            <w:r w:rsidRPr="00EC5CFB">
              <w:rPr>
                <w:noProof/>
                <w:sz w:val="18"/>
              </w:rPr>
              <w:t>Maksed</w:t>
            </w:r>
          </w:p>
        </w:tc>
        <w:tc>
          <w:tcPr>
            <w:tcW w:w="567" w:type="dxa"/>
            <w:vAlign w:val="center"/>
          </w:tcPr>
          <w:p w14:paraId="44989F8F" w14:textId="77777777" w:rsidR="00841AC1" w:rsidRPr="00EC5CFB" w:rsidRDefault="00841AC1" w:rsidP="00841AC1">
            <w:pPr>
              <w:spacing w:beforeLines="20" w:before="48" w:afterLines="20" w:after="48"/>
              <w:jc w:val="center"/>
              <w:rPr>
                <w:noProof/>
                <w:sz w:val="14"/>
              </w:rPr>
            </w:pPr>
            <w:r w:rsidRPr="00EC5CFB">
              <w:rPr>
                <w:noProof/>
                <w:sz w:val="14"/>
              </w:rPr>
              <w:t>(5)</w:t>
            </w:r>
          </w:p>
        </w:tc>
        <w:tc>
          <w:tcPr>
            <w:tcW w:w="709" w:type="dxa"/>
            <w:vAlign w:val="center"/>
          </w:tcPr>
          <w:p w14:paraId="2E2DF715" w14:textId="77777777" w:rsidR="00841AC1" w:rsidRPr="00EC5CFB" w:rsidRDefault="00841AC1" w:rsidP="00841AC1">
            <w:pPr>
              <w:spacing w:before="20" w:after="20"/>
              <w:jc w:val="right"/>
              <w:rPr>
                <w:noProof/>
                <w:sz w:val="20"/>
                <w:lang w:eastAsia="en-GB"/>
              </w:rPr>
            </w:pPr>
          </w:p>
        </w:tc>
        <w:tc>
          <w:tcPr>
            <w:tcW w:w="1134" w:type="dxa"/>
            <w:vAlign w:val="center"/>
          </w:tcPr>
          <w:p w14:paraId="346CBB12" w14:textId="77777777" w:rsidR="00841AC1" w:rsidRPr="00EC5CFB" w:rsidRDefault="00841AC1" w:rsidP="00841AC1">
            <w:pPr>
              <w:spacing w:before="20" w:after="20"/>
              <w:jc w:val="right"/>
              <w:rPr>
                <w:noProof/>
                <w:sz w:val="20"/>
                <w:lang w:eastAsia="en-GB"/>
              </w:rPr>
            </w:pPr>
          </w:p>
        </w:tc>
        <w:tc>
          <w:tcPr>
            <w:tcW w:w="1134" w:type="dxa"/>
            <w:vAlign w:val="center"/>
          </w:tcPr>
          <w:p w14:paraId="4A515E3B" w14:textId="77777777" w:rsidR="00841AC1" w:rsidRPr="00EC5CFB" w:rsidRDefault="00841AC1" w:rsidP="00841AC1">
            <w:pPr>
              <w:spacing w:before="20" w:after="20"/>
              <w:jc w:val="right"/>
              <w:rPr>
                <w:noProof/>
                <w:sz w:val="20"/>
                <w:lang w:eastAsia="en-GB"/>
              </w:rPr>
            </w:pPr>
          </w:p>
        </w:tc>
        <w:tc>
          <w:tcPr>
            <w:tcW w:w="992" w:type="dxa"/>
            <w:vAlign w:val="center"/>
          </w:tcPr>
          <w:p w14:paraId="2E98DC38" w14:textId="77777777" w:rsidR="00841AC1" w:rsidRPr="00EC5CFB" w:rsidRDefault="00841AC1" w:rsidP="00841AC1">
            <w:pPr>
              <w:spacing w:before="20" w:after="20"/>
              <w:jc w:val="right"/>
              <w:rPr>
                <w:noProof/>
                <w:sz w:val="20"/>
                <w:lang w:eastAsia="en-GB"/>
              </w:rPr>
            </w:pPr>
          </w:p>
        </w:tc>
        <w:tc>
          <w:tcPr>
            <w:tcW w:w="709" w:type="dxa"/>
            <w:vAlign w:val="center"/>
          </w:tcPr>
          <w:p w14:paraId="39452191" w14:textId="77777777" w:rsidR="00841AC1" w:rsidRPr="00EC5CFB" w:rsidRDefault="00841AC1" w:rsidP="00841AC1">
            <w:pPr>
              <w:spacing w:before="20" w:after="20"/>
              <w:jc w:val="right"/>
              <w:rPr>
                <w:noProof/>
                <w:sz w:val="20"/>
                <w:lang w:eastAsia="en-GB"/>
              </w:rPr>
            </w:pPr>
          </w:p>
        </w:tc>
        <w:tc>
          <w:tcPr>
            <w:tcW w:w="708" w:type="dxa"/>
            <w:vAlign w:val="center"/>
          </w:tcPr>
          <w:p w14:paraId="2C258D9F" w14:textId="77777777" w:rsidR="00841AC1" w:rsidRPr="00EC5CFB" w:rsidRDefault="00841AC1" w:rsidP="00841AC1">
            <w:pPr>
              <w:spacing w:before="20" w:after="20"/>
              <w:jc w:val="right"/>
              <w:rPr>
                <w:b/>
                <w:noProof/>
                <w:sz w:val="20"/>
                <w:lang w:eastAsia="en-GB"/>
              </w:rPr>
            </w:pPr>
          </w:p>
        </w:tc>
        <w:tc>
          <w:tcPr>
            <w:tcW w:w="1276" w:type="dxa"/>
            <w:vAlign w:val="center"/>
          </w:tcPr>
          <w:p w14:paraId="37B6CD5A" w14:textId="77777777" w:rsidR="00841AC1" w:rsidRPr="00EC5CFB" w:rsidRDefault="00841AC1" w:rsidP="00841AC1">
            <w:pPr>
              <w:spacing w:before="20" w:after="20"/>
              <w:jc w:val="right"/>
              <w:rPr>
                <w:b/>
                <w:noProof/>
                <w:sz w:val="20"/>
                <w:lang w:eastAsia="en-GB"/>
              </w:rPr>
            </w:pPr>
          </w:p>
        </w:tc>
        <w:tc>
          <w:tcPr>
            <w:tcW w:w="1843" w:type="dxa"/>
            <w:vAlign w:val="center"/>
          </w:tcPr>
          <w:p w14:paraId="7AF0BF32" w14:textId="77777777" w:rsidR="00841AC1" w:rsidRPr="00EC5CFB" w:rsidRDefault="00841AC1" w:rsidP="00841AC1">
            <w:pPr>
              <w:spacing w:before="20" w:after="20"/>
              <w:jc w:val="right"/>
              <w:rPr>
                <w:b/>
                <w:noProof/>
                <w:sz w:val="20"/>
                <w:lang w:eastAsia="en-GB"/>
              </w:rPr>
            </w:pPr>
          </w:p>
        </w:tc>
      </w:tr>
      <w:tr w:rsidR="00841AC1" w:rsidRPr="00EC5CFB" w14:paraId="77F5BA94" w14:textId="77777777" w:rsidTr="00A27D48">
        <w:trPr>
          <w:trHeight w:val="533"/>
        </w:trPr>
        <w:tc>
          <w:tcPr>
            <w:tcW w:w="5180" w:type="dxa"/>
            <w:gridSpan w:val="2"/>
            <w:vAlign w:val="center"/>
          </w:tcPr>
          <w:p w14:paraId="42607847" w14:textId="77777777" w:rsidR="00841AC1" w:rsidRPr="00EC5CFB" w:rsidRDefault="00841AC1" w:rsidP="00841AC1">
            <w:pPr>
              <w:spacing w:beforeLines="20" w:before="48" w:afterLines="20" w:after="48"/>
              <w:rPr>
                <w:noProof/>
              </w:rPr>
            </w:pPr>
            <w:r w:rsidRPr="00EC5CFB">
              <w:rPr>
                <w:noProof/>
                <w:sz w:val="21"/>
              </w:rPr>
              <w:sym w:font="Wingdings" w:char="F09F"/>
            </w:r>
            <w:r w:rsidRPr="00EC5CFB">
              <w:rPr>
                <w:noProof/>
                <w:sz w:val="21"/>
              </w:rPr>
              <w:t xml:space="preserve">Eriprogrammide vahenditest rahastatavad haldusassigneeringud KOKKU </w:t>
            </w:r>
          </w:p>
        </w:tc>
        <w:tc>
          <w:tcPr>
            <w:tcW w:w="567" w:type="dxa"/>
            <w:vAlign w:val="center"/>
          </w:tcPr>
          <w:p w14:paraId="09F30514" w14:textId="77777777" w:rsidR="00841AC1" w:rsidRPr="00EC5CFB" w:rsidRDefault="00841AC1" w:rsidP="00841AC1">
            <w:pPr>
              <w:spacing w:beforeLines="20" w:before="48" w:afterLines="20" w:after="48"/>
              <w:jc w:val="center"/>
              <w:rPr>
                <w:noProof/>
                <w:sz w:val="14"/>
              </w:rPr>
            </w:pPr>
            <w:r w:rsidRPr="00EC5CFB">
              <w:rPr>
                <w:noProof/>
                <w:sz w:val="14"/>
              </w:rPr>
              <w:t>(6)</w:t>
            </w:r>
          </w:p>
        </w:tc>
        <w:tc>
          <w:tcPr>
            <w:tcW w:w="709" w:type="dxa"/>
            <w:vAlign w:val="center"/>
          </w:tcPr>
          <w:p w14:paraId="4B168191" w14:textId="77777777" w:rsidR="00841AC1" w:rsidRPr="00EC5CFB" w:rsidRDefault="00841AC1" w:rsidP="00841AC1">
            <w:pPr>
              <w:spacing w:before="20" w:after="20"/>
              <w:jc w:val="right"/>
              <w:rPr>
                <w:b/>
                <w:noProof/>
                <w:sz w:val="20"/>
                <w:lang w:eastAsia="en-GB"/>
              </w:rPr>
            </w:pPr>
          </w:p>
        </w:tc>
        <w:tc>
          <w:tcPr>
            <w:tcW w:w="1134" w:type="dxa"/>
            <w:vAlign w:val="center"/>
          </w:tcPr>
          <w:p w14:paraId="39758572" w14:textId="77777777" w:rsidR="00841AC1" w:rsidRPr="00EC5CFB" w:rsidRDefault="00841AC1" w:rsidP="00841AC1">
            <w:pPr>
              <w:spacing w:before="20" w:after="20"/>
              <w:jc w:val="right"/>
              <w:rPr>
                <w:b/>
                <w:noProof/>
                <w:sz w:val="20"/>
                <w:lang w:eastAsia="en-GB"/>
              </w:rPr>
            </w:pPr>
          </w:p>
        </w:tc>
        <w:tc>
          <w:tcPr>
            <w:tcW w:w="1134" w:type="dxa"/>
            <w:vAlign w:val="center"/>
          </w:tcPr>
          <w:p w14:paraId="6C8D4439" w14:textId="77777777" w:rsidR="00841AC1" w:rsidRPr="00EC5CFB" w:rsidRDefault="00841AC1" w:rsidP="00841AC1">
            <w:pPr>
              <w:spacing w:before="20" w:after="20"/>
              <w:jc w:val="right"/>
              <w:rPr>
                <w:b/>
                <w:noProof/>
                <w:sz w:val="20"/>
                <w:lang w:eastAsia="en-GB"/>
              </w:rPr>
            </w:pPr>
          </w:p>
        </w:tc>
        <w:tc>
          <w:tcPr>
            <w:tcW w:w="992" w:type="dxa"/>
            <w:vAlign w:val="center"/>
          </w:tcPr>
          <w:p w14:paraId="027F286F" w14:textId="77777777" w:rsidR="00841AC1" w:rsidRPr="00EC5CFB" w:rsidRDefault="00841AC1" w:rsidP="00841AC1">
            <w:pPr>
              <w:spacing w:before="20" w:after="20"/>
              <w:jc w:val="right"/>
              <w:rPr>
                <w:b/>
                <w:noProof/>
                <w:sz w:val="20"/>
                <w:lang w:eastAsia="en-GB"/>
              </w:rPr>
            </w:pPr>
          </w:p>
        </w:tc>
        <w:tc>
          <w:tcPr>
            <w:tcW w:w="709" w:type="dxa"/>
            <w:vAlign w:val="center"/>
          </w:tcPr>
          <w:p w14:paraId="633EE930" w14:textId="77777777" w:rsidR="00841AC1" w:rsidRPr="00EC5CFB" w:rsidRDefault="00841AC1" w:rsidP="00841AC1">
            <w:pPr>
              <w:spacing w:before="20" w:after="20"/>
              <w:jc w:val="right"/>
              <w:rPr>
                <w:b/>
                <w:noProof/>
                <w:sz w:val="20"/>
                <w:lang w:eastAsia="en-GB"/>
              </w:rPr>
            </w:pPr>
          </w:p>
        </w:tc>
        <w:tc>
          <w:tcPr>
            <w:tcW w:w="708" w:type="dxa"/>
            <w:vAlign w:val="center"/>
          </w:tcPr>
          <w:p w14:paraId="7F84BF7C" w14:textId="77777777" w:rsidR="00841AC1" w:rsidRPr="00EC5CFB" w:rsidRDefault="00841AC1" w:rsidP="00841AC1">
            <w:pPr>
              <w:spacing w:before="20" w:after="20"/>
              <w:jc w:val="right"/>
              <w:rPr>
                <w:b/>
                <w:noProof/>
                <w:sz w:val="20"/>
                <w:lang w:eastAsia="en-GB"/>
              </w:rPr>
            </w:pPr>
          </w:p>
        </w:tc>
        <w:tc>
          <w:tcPr>
            <w:tcW w:w="1276" w:type="dxa"/>
            <w:vAlign w:val="center"/>
          </w:tcPr>
          <w:p w14:paraId="22B30237" w14:textId="77777777" w:rsidR="00841AC1" w:rsidRPr="00EC5CFB" w:rsidRDefault="00841AC1" w:rsidP="00841AC1">
            <w:pPr>
              <w:spacing w:before="20" w:after="20"/>
              <w:jc w:val="right"/>
              <w:rPr>
                <w:b/>
                <w:noProof/>
                <w:sz w:val="20"/>
                <w:lang w:eastAsia="en-GB"/>
              </w:rPr>
            </w:pPr>
          </w:p>
        </w:tc>
        <w:tc>
          <w:tcPr>
            <w:tcW w:w="1843" w:type="dxa"/>
            <w:vAlign w:val="center"/>
          </w:tcPr>
          <w:p w14:paraId="4868CFB9" w14:textId="77777777" w:rsidR="00841AC1" w:rsidRPr="00EC5CFB" w:rsidRDefault="00841AC1" w:rsidP="00841AC1">
            <w:pPr>
              <w:spacing w:before="20" w:after="20"/>
              <w:jc w:val="right"/>
              <w:rPr>
                <w:b/>
                <w:noProof/>
                <w:sz w:val="20"/>
                <w:lang w:eastAsia="en-GB"/>
              </w:rPr>
            </w:pPr>
          </w:p>
        </w:tc>
      </w:tr>
      <w:tr w:rsidR="00841AC1" w:rsidRPr="00EC5CFB" w14:paraId="0CBA845A" w14:textId="77777777" w:rsidTr="00A27D48">
        <w:tc>
          <w:tcPr>
            <w:tcW w:w="3960" w:type="dxa"/>
            <w:vMerge w:val="restart"/>
            <w:shd w:val="thinDiagStripe" w:color="C0C0C0" w:fill="auto"/>
            <w:vAlign w:val="center"/>
          </w:tcPr>
          <w:p w14:paraId="2903BFD2" w14:textId="77777777" w:rsidR="00841AC1" w:rsidRPr="00EC5CFB" w:rsidRDefault="00841AC1" w:rsidP="00841AC1">
            <w:pPr>
              <w:jc w:val="center"/>
              <w:rPr>
                <w:b/>
                <w:noProof/>
              </w:rPr>
            </w:pPr>
            <w:r w:rsidRPr="00EC5CFB">
              <w:rPr>
                <w:bCs/>
                <w:noProof/>
              </w:rPr>
              <w:t>Mitmeaastase finantsraamistiku</w:t>
            </w:r>
            <w:r w:rsidRPr="00EC5CFB">
              <w:rPr>
                <w:noProof/>
              </w:rPr>
              <w:t xml:space="preserve"> </w:t>
            </w:r>
            <w:r w:rsidRPr="00EC5CFB">
              <w:rPr>
                <w:b/>
                <w:noProof/>
                <w:sz w:val="22"/>
              </w:rPr>
              <w:t>RUBRIIGI 2a</w:t>
            </w:r>
            <w:r w:rsidRPr="00EC5CFB">
              <w:rPr>
                <w:noProof/>
              </w:rPr>
              <w:t xml:space="preserve"> </w:t>
            </w:r>
            <w:r w:rsidRPr="00EC5CFB">
              <w:rPr>
                <w:noProof/>
              </w:rPr>
              <w:br/>
            </w:r>
            <w:r w:rsidRPr="00EC5CFB">
              <w:rPr>
                <w:b/>
                <w:bCs/>
                <w:noProof/>
                <w:sz w:val="22"/>
              </w:rPr>
              <w:t>assigneeringud KOKKU</w:t>
            </w:r>
          </w:p>
        </w:tc>
        <w:tc>
          <w:tcPr>
            <w:tcW w:w="1220" w:type="dxa"/>
            <w:vAlign w:val="center"/>
          </w:tcPr>
          <w:p w14:paraId="0FE29F1A" w14:textId="77777777" w:rsidR="00841AC1" w:rsidRPr="00EC5CFB" w:rsidRDefault="00841AC1" w:rsidP="00841AC1">
            <w:pPr>
              <w:rPr>
                <w:noProof/>
                <w:sz w:val="18"/>
              </w:rPr>
            </w:pPr>
            <w:r w:rsidRPr="00EC5CFB">
              <w:rPr>
                <w:noProof/>
                <w:sz w:val="18"/>
              </w:rPr>
              <w:t>Kulukohustused</w:t>
            </w:r>
          </w:p>
        </w:tc>
        <w:tc>
          <w:tcPr>
            <w:tcW w:w="567" w:type="dxa"/>
            <w:vAlign w:val="center"/>
          </w:tcPr>
          <w:p w14:paraId="03FE6AB0" w14:textId="77777777" w:rsidR="00841AC1" w:rsidRPr="00EC5CFB" w:rsidRDefault="00841AC1" w:rsidP="00841AC1">
            <w:pPr>
              <w:jc w:val="center"/>
              <w:rPr>
                <w:noProof/>
                <w:sz w:val="14"/>
              </w:rPr>
            </w:pPr>
            <w:r w:rsidRPr="00EC5CFB">
              <w:rPr>
                <w:noProof/>
                <w:sz w:val="14"/>
              </w:rPr>
              <w:t>= 4 + 6</w:t>
            </w:r>
          </w:p>
        </w:tc>
        <w:tc>
          <w:tcPr>
            <w:tcW w:w="709" w:type="dxa"/>
            <w:vAlign w:val="center"/>
          </w:tcPr>
          <w:p w14:paraId="524F84EE" w14:textId="77777777" w:rsidR="00841AC1" w:rsidRPr="00EC5CFB" w:rsidRDefault="00841AC1" w:rsidP="00841AC1">
            <w:pPr>
              <w:spacing w:before="20" w:after="20"/>
              <w:jc w:val="right"/>
              <w:rPr>
                <w:noProof/>
                <w:sz w:val="22"/>
                <w:lang w:eastAsia="en-GB"/>
              </w:rPr>
            </w:pPr>
          </w:p>
        </w:tc>
        <w:tc>
          <w:tcPr>
            <w:tcW w:w="1134" w:type="dxa"/>
            <w:vAlign w:val="center"/>
          </w:tcPr>
          <w:p w14:paraId="4FAB71A1" w14:textId="77777777" w:rsidR="00841AC1" w:rsidRPr="00EC5CFB" w:rsidRDefault="00841AC1" w:rsidP="00841AC1">
            <w:pPr>
              <w:spacing w:before="20" w:after="20"/>
              <w:jc w:val="right"/>
              <w:rPr>
                <w:noProof/>
                <w:sz w:val="22"/>
                <w:lang w:eastAsia="en-GB"/>
              </w:rPr>
            </w:pPr>
          </w:p>
        </w:tc>
        <w:tc>
          <w:tcPr>
            <w:tcW w:w="1134" w:type="dxa"/>
            <w:vAlign w:val="center"/>
          </w:tcPr>
          <w:p w14:paraId="7F331F27" w14:textId="77777777" w:rsidR="00841AC1" w:rsidRPr="00EC5CFB" w:rsidRDefault="00841AC1" w:rsidP="00841AC1">
            <w:pPr>
              <w:spacing w:before="20" w:after="20"/>
              <w:jc w:val="right"/>
              <w:rPr>
                <w:noProof/>
                <w:sz w:val="22"/>
                <w:lang w:eastAsia="en-GB"/>
              </w:rPr>
            </w:pPr>
          </w:p>
        </w:tc>
        <w:tc>
          <w:tcPr>
            <w:tcW w:w="992" w:type="dxa"/>
            <w:vAlign w:val="center"/>
          </w:tcPr>
          <w:p w14:paraId="673F0A0F" w14:textId="77777777" w:rsidR="00841AC1" w:rsidRPr="00EC5CFB" w:rsidRDefault="00841AC1" w:rsidP="00841AC1">
            <w:pPr>
              <w:spacing w:before="20" w:after="20"/>
              <w:jc w:val="right"/>
              <w:rPr>
                <w:noProof/>
                <w:sz w:val="22"/>
                <w:lang w:eastAsia="en-GB"/>
              </w:rPr>
            </w:pPr>
          </w:p>
        </w:tc>
        <w:tc>
          <w:tcPr>
            <w:tcW w:w="709" w:type="dxa"/>
            <w:vAlign w:val="center"/>
          </w:tcPr>
          <w:p w14:paraId="7871DB0E" w14:textId="77777777" w:rsidR="00841AC1" w:rsidRPr="00EC5CFB" w:rsidRDefault="00841AC1" w:rsidP="00841AC1">
            <w:pPr>
              <w:spacing w:before="20" w:after="20"/>
              <w:jc w:val="right"/>
              <w:rPr>
                <w:noProof/>
                <w:sz w:val="22"/>
                <w:lang w:eastAsia="en-GB"/>
              </w:rPr>
            </w:pPr>
          </w:p>
        </w:tc>
        <w:tc>
          <w:tcPr>
            <w:tcW w:w="708" w:type="dxa"/>
            <w:vAlign w:val="center"/>
          </w:tcPr>
          <w:p w14:paraId="42EDA0B8" w14:textId="77777777" w:rsidR="00841AC1" w:rsidRPr="00EC5CFB" w:rsidRDefault="00841AC1" w:rsidP="00841AC1">
            <w:pPr>
              <w:spacing w:before="20" w:after="20"/>
              <w:jc w:val="center"/>
              <w:rPr>
                <w:b/>
                <w:noProof/>
                <w:sz w:val="22"/>
                <w:lang w:eastAsia="en-GB"/>
              </w:rPr>
            </w:pPr>
          </w:p>
        </w:tc>
        <w:tc>
          <w:tcPr>
            <w:tcW w:w="1276" w:type="dxa"/>
            <w:vAlign w:val="center"/>
          </w:tcPr>
          <w:p w14:paraId="313B9DC5" w14:textId="77777777" w:rsidR="00841AC1" w:rsidRPr="00EC5CFB" w:rsidRDefault="00841AC1" w:rsidP="00841AC1">
            <w:pPr>
              <w:spacing w:before="20" w:after="20"/>
              <w:jc w:val="center"/>
              <w:rPr>
                <w:b/>
                <w:noProof/>
                <w:sz w:val="22"/>
                <w:lang w:eastAsia="en-GB"/>
              </w:rPr>
            </w:pPr>
          </w:p>
        </w:tc>
        <w:tc>
          <w:tcPr>
            <w:tcW w:w="1843" w:type="dxa"/>
            <w:vAlign w:val="center"/>
          </w:tcPr>
          <w:p w14:paraId="572049C2" w14:textId="77777777" w:rsidR="00841AC1" w:rsidRPr="00EC5CFB" w:rsidRDefault="00841AC1" w:rsidP="00841AC1">
            <w:pPr>
              <w:spacing w:before="20" w:after="20"/>
              <w:jc w:val="center"/>
              <w:rPr>
                <w:b/>
                <w:noProof/>
                <w:sz w:val="22"/>
              </w:rPr>
            </w:pPr>
            <w:r w:rsidRPr="00EC5CFB">
              <w:rPr>
                <w:b/>
                <w:noProof/>
                <w:sz w:val="22"/>
              </w:rPr>
              <w:t>0,000</w:t>
            </w:r>
          </w:p>
        </w:tc>
      </w:tr>
      <w:tr w:rsidR="00841AC1" w:rsidRPr="00EC5CFB" w14:paraId="1691687C" w14:textId="77777777" w:rsidTr="00A27D48">
        <w:tc>
          <w:tcPr>
            <w:tcW w:w="3960" w:type="dxa"/>
            <w:vMerge/>
            <w:shd w:val="thinDiagStripe" w:color="C0C0C0" w:fill="auto"/>
          </w:tcPr>
          <w:p w14:paraId="6A74213F" w14:textId="77777777" w:rsidR="00841AC1" w:rsidRPr="00EC5CFB" w:rsidRDefault="00841AC1" w:rsidP="00841AC1">
            <w:pPr>
              <w:rPr>
                <w:noProof/>
                <w:sz w:val="20"/>
                <w:lang w:eastAsia="en-GB"/>
              </w:rPr>
            </w:pPr>
          </w:p>
        </w:tc>
        <w:tc>
          <w:tcPr>
            <w:tcW w:w="1220" w:type="dxa"/>
            <w:vAlign w:val="center"/>
          </w:tcPr>
          <w:p w14:paraId="042C62B4" w14:textId="77777777" w:rsidR="00841AC1" w:rsidRPr="00EC5CFB" w:rsidRDefault="00841AC1" w:rsidP="00841AC1">
            <w:pPr>
              <w:rPr>
                <w:noProof/>
                <w:sz w:val="18"/>
              </w:rPr>
            </w:pPr>
            <w:r w:rsidRPr="00EC5CFB">
              <w:rPr>
                <w:noProof/>
                <w:sz w:val="18"/>
              </w:rPr>
              <w:t>Maksed</w:t>
            </w:r>
          </w:p>
        </w:tc>
        <w:tc>
          <w:tcPr>
            <w:tcW w:w="567" w:type="dxa"/>
            <w:vAlign w:val="center"/>
          </w:tcPr>
          <w:p w14:paraId="35D34DB0" w14:textId="77777777" w:rsidR="00841AC1" w:rsidRPr="00EC5CFB" w:rsidRDefault="00841AC1" w:rsidP="00841AC1">
            <w:pPr>
              <w:jc w:val="center"/>
              <w:rPr>
                <w:noProof/>
                <w:sz w:val="14"/>
              </w:rPr>
            </w:pPr>
            <w:r w:rsidRPr="00EC5CFB">
              <w:rPr>
                <w:noProof/>
                <w:sz w:val="14"/>
              </w:rPr>
              <w:t>= 5 + 6</w:t>
            </w:r>
          </w:p>
        </w:tc>
        <w:tc>
          <w:tcPr>
            <w:tcW w:w="709" w:type="dxa"/>
            <w:vAlign w:val="center"/>
          </w:tcPr>
          <w:p w14:paraId="0658188E" w14:textId="77777777" w:rsidR="00841AC1" w:rsidRPr="00EC5CFB" w:rsidRDefault="00841AC1" w:rsidP="00841AC1">
            <w:pPr>
              <w:spacing w:before="20" w:after="20"/>
              <w:jc w:val="right"/>
              <w:rPr>
                <w:noProof/>
                <w:sz w:val="22"/>
                <w:lang w:eastAsia="en-GB"/>
              </w:rPr>
            </w:pPr>
          </w:p>
        </w:tc>
        <w:tc>
          <w:tcPr>
            <w:tcW w:w="1134" w:type="dxa"/>
            <w:vAlign w:val="center"/>
          </w:tcPr>
          <w:p w14:paraId="7CB2BB3A" w14:textId="77777777" w:rsidR="00841AC1" w:rsidRPr="00EC5CFB" w:rsidRDefault="00841AC1" w:rsidP="00841AC1">
            <w:pPr>
              <w:spacing w:before="20" w:after="20"/>
              <w:jc w:val="right"/>
              <w:rPr>
                <w:noProof/>
                <w:sz w:val="22"/>
              </w:rPr>
            </w:pPr>
            <w:r w:rsidRPr="00EC5CFB">
              <w:rPr>
                <w:noProof/>
                <w:sz w:val="22"/>
              </w:rPr>
              <w:t>1 743,000</w:t>
            </w:r>
          </w:p>
        </w:tc>
        <w:tc>
          <w:tcPr>
            <w:tcW w:w="1134" w:type="dxa"/>
            <w:vAlign w:val="center"/>
          </w:tcPr>
          <w:p w14:paraId="6FC59063" w14:textId="77777777" w:rsidR="00841AC1" w:rsidRPr="00EC5CFB" w:rsidRDefault="00841AC1" w:rsidP="00841AC1">
            <w:pPr>
              <w:spacing w:before="20" w:after="20"/>
              <w:jc w:val="right"/>
              <w:rPr>
                <w:noProof/>
                <w:sz w:val="22"/>
              </w:rPr>
            </w:pPr>
            <w:r w:rsidRPr="00EC5CFB">
              <w:rPr>
                <w:noProof/>
                <w:sz w:val="22"/>
              </w:rPr>
              <w:t>1 743,000</w:t>
            </w:r>
          </w:p>
        </w:tc>
        <w:tc>
          <w:tcPr>
            <w:tcW w:w="992" w:type="dxa"/>
            <w:vAlign w:val="center"/>
          </w:tcPr>
          <w:p w14:paraId="09410A99" w14:textId="77777777" w:rsidR="00841AC1" w:rsidRPr="00EC5CFB" w:rsidRDefault="00841AC1" w:rsidP="00841AC1">
            <w:pPr>
              <w:spacing w:before="20" w:after="20"/>
              <w:jc w:val="right"/>
              <w:rPr>
                <w:noProof/>
                <w:sz w:val="22"/>
                <w:lang w:eastAsia="en-GB"/>
              </w:rPr>
            </w:pPr>
          </w:p>
        </w:tc>
        <w:tc>
          <w:tcPr>
            <w:tcW w:w="709" w:type="dxa"/>
            <w:vAlign w:val="center"/>
          </w:tcPr>
          <w:p w14:paraId="1F4040F6" w14:textId="77777777" w:rsidR="00841AC1" w:rsidRPr="00EC5CFB" w:rsidRDefault="00841AC1" w:rsidP="00841AC1">
            <w:pPr>
              <w:spacing w:before="20" w:after="20"/>
              <w:jc w:val="right"/>
              <w:rPr>
                <w:noProof/>
                <w:sz w:val="22"/>
              </w:rPr>
            </w:pPr>
          </w:p>
        </w:tc>
        <w:tc>
          <w:tcPr>
            <w:tcW w:w="708" w:type="dxa"/>
            <w:vAlign w:val="center"/>
          </w:tcPr>
          <w:p w14:paraId="7F08EBBD" w14:textId="77777777" w:rsidR="00841AC1" w:rsidRPr="00EC5CFB" w:rsidRDefault="00841AC1" w:rsidP="00841AC1">
            <w:pPr>
              <w:spacing w:before="20" w:after="20"/>
              <w:jc w:val="center"/>
              <w:rPr>
                <w:b/>
                <w:noProof/>
                <w:sz w:val="22"/>
                <w:lang w:eastAsia="en-GB"/>
              </w:rPr>
            </w:pPr>
          </w:p>
        </w:tc>
        <w:tc>
          <w:tcPr>
            <w:tcW w:w="1276" w:type="dxa"/>
            <w:vAlign w:val="center"/>
          </w:tcPr>
          <w:p w14:paraId="1448B1B7" w14:textId="77777777" w:rsidR="00841AC1" w:rsidRPr="00EC5CFB" w:rsidRDefault="00841AC1" w:rsidP="00841AC1">
            <w:pPr>
              <w:spacing w:before="20" w:after="20"/>
              <w:jc w:val="center"/>
              <w:rPr>
                <w:b/>
                <w:noProof/>
                <w:sz w:val="22"/>
              </w:rPr>
            </w:pPr>
            <w:r w:rsidRPr="00EC5CFB">
              <w:rPr>
                <w:noProof/>
                <w:sz w:val="22"/>
              </w:rPr>
              <w:t>-3 486,000</w:t>
            </w:r>
          </w:p>
        </w:tc>
        <w:tc>
          <w:tcPr>
            <w:tcW w:w="1843" w:type="dxa"/>
            <w:vAlign w:val="center"/>
          </w:tcPr>
          <w:p w14:paraId="43D67D4A" w14:textId="77777777" w:rsidR="00841AC1" w:rsidRPr="00EC5CFB" w:rsidRDefault="00841AC1" w:rsidP="00841AC1">
            <w:pPr>
              <w:spacing w:before="20" w:after="20"/>
              <w:jc w:val="center"/>
              <w:rPr>
                <w:b/>
                <w:noProof/>
                <w:sz w:val="22"/>
              </w:rPr>
            </w:pPr>
            <w:r w:rsidRPr="00EC5CFB">
              <w:rPr>
                <w:b/>
                <w:noProof/>
                <w:sz w:val="22"/>
              </w:rPr>
              <w:t>0,000</w:t>
            </w:r>
          </w:p>
        </w:tc>
      </w:tr>
    </w:tbl>
    <w:p w14:paraId="63622666" w14:textId="77777777" w:rsidR="00C87E1E" w:rsidRPr="00EC5CFB" w:rsidRDefault="00C87E1E" w:rsidP="00C87E1E">
      <w:pPr>
        <w:rPr>
          <w:noProof/>
          <w:lang w:eastAsia="en-GB"/>
        </w:rPr>
      </w:pPr>
    </w:p>
    <w:p w14:paraId="47681097" w14:textId="77777777" w:rsidR="00C87E1E" w:rsidRPr="00EC5CFB" w:rsidRDefault="00C87E1E" w:rsidP="00C87E1E">
      <w:pPr>
        <w:spacing w:before="0" w:after="0"/>
        <w:jc w:val="left"/>
        <w:rPr>
          <w:noProof/>
        </w:rPr>
      </w:pPr>
      <w:r w:rsidRPr="00EC5CFB">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EC5CFB" w14:paraId="38FFF9BE" w14:textId="77777777" w:rsidTr="00C87E1E">
        <w:trPr>
          <w:jc w:val="center"/>
        </w:trPr>
        <w:tc>
          <w:tcPr>
            <w:tcW w:w="4744" w:type="dxa"/>
            <w:shd w:val="thinDiagStripe" w:color="C0C0C0" w:fill="auto"/>
            <w:vAlign w:val="center"/>
          </w:tcPr>
          <w:p w14:paraId="7E513C28" w14:textId="77777777" w:rsidR="00C87E1E" w:rsidRPr="00EC5CFB" w:rsidRDefault="00C87E1E" w:rsidP="00C87E1E">
            <w:pPr>
              <w:spacing w:before="60" w:after="60"/>
              <w:jc w:val="center"/>
              <w:rPr>
                <w:b/>
                <w:noProof/>
              </w:rPr>
            </w:pPr>
            <w:r w:rsidRPr="00EC5CFB">
              <w:rPr>
                <w:noProof/>
              </w:rPr>
              <w:br w:type="page"/>
            </w:r>
            <w:r w:rsidRPr="00EC5CFB">
              <w:rPr>
                <w:b/>
                <w:noProof/>
                <w:sz w:val="22"/>
              </w:rPr>
              <w:t xml:space="preserve">Mitmeaastase finantsraamistiku </w:t>
            </w:r>
            <w:r w:rsidRPr="00EC5CFB">
              <w:rPr>
                <w:noProof/>
              </w:rPr>
              <w:t xml:space="preserve"> </w:t>
            </w:r>
            <w:r w:rsidRPr="00EC5CFB">
              <w:rPr>
                <w:noProof/>
              </w:rPr>
              <w:br/>
            </w:r>
            <w:r w:rsidRPr="00EC5CFB">
              <w:rPr>
                <w:b/>
                <w:noProof/>
                <w:sz w:val="22"/>
              </w:rPr>
              <w:t xml:space="preserve">rubriik </w:t>
            </w:r>
          </w:p>
        </w:tc>
        <w:tc>
          <w:tcPr>
            <w:tcW w:w="1080" w:type="dxa"/>
            <w:shd w:val="thinDiagStripe" w:color="C0C0C0" w:fill="auto"/>
            <w:vAlign w:val="center"/>
          </w:tcPr>
          <w:p w14:paraId="0D7DB96E" w14:textId="77777777" w:rsidR="00C87E1E" w:rsidRPr="00EC5CFB" w:rsidRDefault="00C87E1E" w:rsidP="00C87E1E">
            <w:pPr>
              <w:spacing w:before="60" w:after="60"/>
              <w:jc w:val="center"/>
              <w:rPr>
                <w:noProof/>
              </w:rPr>
            </w:pPr>
            <w:r w:rsidRPr="00EC5CFB">
              <w:rPr>
                <w:b/>
                <w:noProof/>
                <w:sz w:val="22"/>
              </w:rPr>
              <w:t>7</w:t>
            </w:r>
          </w:p>
        </w:tc>
        <w:tc>
          <w:tcPr>
            <w:tcW w:w="7817" w:type="dxa"/>
            <w:vAlign w:val="center"/>
          </w:tcPr>
          <w:p w14:paraId="2B3F5DD8" w14:textId="77777777" w:rsidR="00C87E1E" w:rsidRPr="00EC5CFB" w:rsidRDefault="00C87E1E" w:rsidP="00C87E1E">
            <w:pPr>
              <w:spacing w:before="60" w:after="60"/>
              <w:rPr>
                <w:noProof/>
              </w:rPr>
            </w:pPr>
            <w:r w:rsidRPr="00EC5CFB">
              <w:rPr>
                <w:noProof/>
                <w:sz w:val="22"/>
              </w:rPr>
              <w:t>„Halduskulud“</w:t>
            </w:r>
          </w:p>
        </w:tc>
      </w:tr>
    </w:tbl>
    <w:p w14:paraId="4F1CB26F" w14:textId="77777777" w:rsidR="00C87E1E" w:rsidRPr="00EC5CFB" w:rsidRDefault="00C87E1E" w:rsidP="00C87E1E">
      <w:pPr>
        <w:jc w:val="left"/>
        <w:rPr>
          <w:noProof/>
          <w:sz w:val="20"/>
        </w:rPr>
      </w:pPr>
      <w:r w:rsidRPr="00EC5CFB">
        <w:rPr>
          <w:noProof/>
        </w:rPr>
        <w:t xml:space="preserve">Selle punkti täitmisel tuleks kasutada haldusalaste eelarveandmete tabelit, mis on esitatud </w:t>
      </w:r>
      <w:hyperlink r:id="rId15" w:history="1">
        <w:r w:rsidRPr="00EC5CFB">
          <w:rPr>
            <w:noProof/>
            <w:color w:val="0000FF"/>
            <w:u w:val="single"/>
          </w:rPr>
          <w:t>õigusaktile lisatava finantsselgituse lisas</w:t>
        </w:r>
      </w:hyperlink>
      <w:r w:rsidRPr="00EC5CFB">
        <w:rPr>
          <w:noProof/>
        </w:rPr>
        <w:t xml:space="preserve"> (sisekorraeeskirjade V lisa), ja laadida see üles DECIDE’i talitustevahelise konsulteerimise eesmärgil.</w:t>
      </w:r>
    </w:p>
    <w:p w14:paraId="1AF61FF2" w14:textId="77777777" w:rsidR="00C87E1E" w:rsidRPr="00EC5CFB" w:rsidRDefault="00C87E1E" w:rsidP="00C87E1E">
      <w:pPr>
        <w:jc w:val="right"/>
        <w:rPr>
          <w:noProof/>
          <w:sz w:val="20"/>
        </w:rPr>
      </w:pPr>
      <w:r w:rsidRPr="00EC5CFB">
        <w:rPr>
          <w:noProof/>
          <w:sz w:val="20"/>
        </w:rPr>
        <w:t>miljonites eurodes (kolm kohta pärast koma)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87E1E" w:rsidRPr="00EC5CFB" w14:paraId="213C4E67" w14:textId="77777777" w:rsidTr="00C87E1E">
        <w:tc>
          <w:tcPr>
            <w:tcW w:w="3960" w:type="dxa"/>
            <w:tcBorders>
              <w:top w:val="nil"/>
              <w:left w:val="nil"/>
              <w:right w:val="nil"/>
            </w:tcBorders>
            <w:vAlign w:val="center"/>
          </w:tcPr>
          <w:p w14:paraId="6F3455A9" w14:textId="77777777" w:rsidR="00C87E1E" w:rsidRPr="00EC5CFB" w:rsidRDefault="00C87E1E" w:rsidP="00C87E1E">
            <w:pPr>
              <w:jc w:val="center"/>
              <w:rPr>
                <w:noProof/>
                <w:lang w:eastAsia="en-GB"/>
              </w:rPr>
            </w:pPr>
          </w:p>
        </w:tc>
        <w:tc>
          <w:tcPr>
            <w:tcW w:w="1560" w:type="dxa"/>
            <w:tcBorders>
              <w:top w:val="nil"/>
              <w:left w:val="nil"/>
              <w:right w:val="nil"/>
            </w:tcBorders>
          </w:tcPr>
          <w:p w14:paraId="45C730ED" w14:textId="77777777" w:rsidR="00C87E1E" w:rsidRPr="00EC5CFB" w:rsidRDefault="00C87E1E" w:rsidP="00C87E1E">
            <w:pPr>
              <w:rPr>
                <w:noProof/>
                <w:sz w:val="20"/>
                <w:lang w:eastAsia="en-GB"/>
              </w:rPr>
            </w:pPr>
          </w:p>
        </w:tc>
        <w:tc>
          <w:tcPr>
            <w:tcW w:w="534" w:type="dxa"/>
            <w:tcBorders>
              <w:top w:val="nil"/>
              <w:left w:val="nil"/>
            </w:tcBorders>
          </w:tcPr>
          <w:p w14:paraId="05ACC9BF" w14:textId="77777777" w:rsidR="00C87E1E" w:rsidRPr="00EC5CFB" w:rsidRDefault="00C87E1E" w:rsidP="00C87E1E">
            <w:pPr>
              <w:jc w:val="center"/>
              <w:rPr>
                <w:noProof/>
                <w:sz w:val="20"/>
                <w:lang w:eastAsia="en-GB"/>
              </w:rPr>
            </w:pPr>
          </w:p>
        </w:tc>
        <w:tc>
          <w:tcPr>
            <w:tcW w:w="868" w:type="dxa"/>
            <w:vAlign w:val="center"/>
          </w:tcPr>
          <w:p w14:paraId="50C4491A"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w:t>
            </w:r>
          </w:p>
        </w:tc>
        <w:tc>
          <w:tcPr>
            <w:tcW w:w="868" w:type="dxa"/>
            <w:vAlign w:val="center"/>
          </w:tcPr>
          <w:p w14:paraId="15354470"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 + 1</w:t>
            </w:r>
          </w:p>
        </w:tc>
        <w:tc>
          <w:tcPr>
            <w:tcW w:w="868" w:type="dxa"/>
            <w:vAlign w:val="center"/>
          </w:tcPr>
          <w:p w14:paraId="378F35EF"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 + 2</w:t>
            </w:r>
          </w:p>
        </w:tc>
        <w:tc>
          <w:tcPr>
            <w:tcW w:w="868" w:type="dxa"/>
            <w:vAlign w:val="center"/>
          </w:tcPr>
          <w:p w14:paraId="0C14E2FA"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 + 3</w:t>
            </w:r>
          </w:p>
        </w:tc>
        <w:tc>
          <w:tcPr>
            <w:tcW w:w="2604" w:type="dxa"/>
            <w:gridSpan w:val="3"/>
            <w:vAlign w:val="center"/>
          </w:tcPr>
          <w:p w14:paraId="1854396F" w14:textId="77777777" w:rsidR="00C87E1E" w:rsidRPr="00EC5CFB" w:rsidRDefault="00C87E1E" w:rsidP="00C87E1E">
            <w:pPr>
              <w:jc w:val="center"/>
              <w:rPr>
                <w:b/>
                <w:noProof/>
                <w:sz w:val="18"/>
              </w:rPr>
            </w:pPr>
            <w:r w:rsidRPr="00EC5CFB">
              <w:rPr>
                <w:noProof/>
                <w:sz w:val="18"/>
              </w:rPr>
              <w:t xml:space="preserve">Lisage vajalik arv aastaid, et kajastada kogu finantsmõju kestust (vt punkt 1.6) </w:t>
            </w:r>
          </w:p>
        </w:tc>
        <w:tc>
          <w:tcPr>
            <w:tcW w:w="1777" w:type="dxa"/>
            <w:vAlign w:val="center"/>
          </w:tcPr>
          <w:p w14:paraId="722C1C08" w14:textId="77777777" w:rsidR="00C87E1E" w:rsidRPr="00EC5CFB" w:rsidRDefault="00C87E1E" w:rsidP="00C87E1E">
            <w:pPr>
              <w:jc w:val="center"/>
              <w:rPr>
                <w:b/>
                <w:noProof/>
                <w:sz w:val="20"/>
              </w:rPr>
            </w:pPr>
            <w:r w:rsidRPr="00EC5CFB">
              <w:rPr>
                <w:b/>
                <w:noProof/>
                <w:sz w:val="20"/>
              </w:rPr>
              <w:t>KOKKU</w:t>
            </w:r>
          </w:p>
        </w:tc>
      </w:tr>
      <w:tr w:rsidR="00C87E1E" w:rsidRPr="00EC5CFB" w14:paraId="7300A83D" w14:textId="77777777" w:rsidTr="00C87E1E">
        <w:trPr>
          <w:gridAfter w:val="10"/>
          <w:wAfter w:w="9947" w:type="dxa"/>
        </w:trPr>
        <w:tc>
          <w:tcPr>
            <w:tcW w:w="3960" w:type="dxa"/>
            <w:vAlign w:val="center"/>
          </w:tcPr>
          <w:p w14:paraId="219883B0" w14:textId="77777777" w:rsidR="00C87E1E" w:rsidRPr="00EC5CFB" w:rsidRDefault="00C87E1E" w:rsidP="00C87E1E">
            <w:pPr>
              <w:spacing w:before="60" w:after="60"/>
              <w:jc w:val="center"/>
              <w:rPr>
                <w:noProof/>
              </w:rPr>
            </w:pPr>
            <w:r w:rsidRPr="00EC5CFB">
              <w:rPr>
                <w:noProof/>
                <w:sz w:val="22"/>
              </w:rPr>
              <w:t>DG: &lt;…….&gt;</w:t>
            </w:r>
          </w:p>
        </w:tc>
      </w:tr>
      <w:tr w:rsidR="00C87E1E" w:rsidRPr="00EC5CFB" w14:paraId="11374BDC" w14:textId="77777777" w:rsidTr="00C87E1E">
        <w:trPr>
          <w:trHeight w:val="313"/>
        </w:trPr>
        <w:tc>
          <w:tcPr>
            <w:tcW w:w="6054" w:type="dxa"/>
            <w:gridSpan w:val="3"/>
            <w:vAlign w:val="center"/>
          </w:tcPr>
          <w:p w14:paraId="7B4319ED" w14:textId="77777777" w:rsidR="00C87E1E" w:rsidRPr="00EC5CFB" w:rsidRDefault="00C87E1E" w:rsidP="00C87E1E">
            <w:pPr>
              <w:spacing w:before="20" w:after="20"/>
              <w:rPr>
                <w:noProof/>
              </w:rPr>
            </w:pPr>
            <w:r w:rsidRPr="00EC5CFB">
              <w:rPr>
                <w:noProof/>
                <w:sz w:val="22"/>
              </w:rPr>
              <w:sym w:font="Wingdings" w:char="F09F"/>
            </w:r>
            <w:r w:rsidRPr="00EC5CFB">
              <w:rPr>
                <w:noProof/>
                <w:sz w:val="22"/>
              </w:rPr>
              <w:t xml:space="preserve">Personalikulud </w:t>
            </w:r>
          </w:p>
        </w:tc>
        <w:tc>
          <w:tcPr>
            <w:tcW w:w="868" w:type="dxa"/>
            <w:vAlign w:val="center"/>
          </w:tcPr>
          <w:p w14:paraId="58469D58" w14:textId="77777777" w:rsidR="00C87E1E" w:rsidRPr="00EC5CFB" w:rsidRDefault="00C87E1E" w:rsidP="00C87E1E">
            <w:pPr>
              <w:spacing w:before="20" w:after="20"/>
              <w:jc w:val="right"/>
              <w:rPr>
                <w:noProof/>
                <w:sz w:val="20"/>
                <w:lang w:eastAsia="en-GB"/>
              </w:rPr>
            </w:pPr>
          </w:p>
        </w:tc>
        <w:tc>
          <w:tcPr>
            <w:tcW w:w="868" w:type="dxa"/>
            <w:vAlign w:val="center"/>
          </w:tcPr>
          <w:p w14:paraId="280F29BD" w14:textId="77777777" w:rsidR="00C87E1E" w:rsidRPr="00EC5CFB" w:rsidRDefault="00C87E1E" w:rsidP="00C87E1E">
            <w:pPr>
              <w:spacing w:before="20" w:after="20"/>
              <w:jc w:val="right"/>
              <w:rPr>
                <w:noProof/>
                <w:sz w:val="20"/>
                <w:lang w:eastAsia="en-GB"/>
              </w:rPr>
            </w:pPr>
          </w:p>
        </w:tc>
        <w:tc>
          <w:tcPr>
            <w:tcW w:w="868" w:type="dxa"/>
            <w:vAlign w:val="center"/>
          </w:tcPr>
          <w:p w14:paraId="68C0F94C" w14:textId="77777777" w:rsidR="00C87E1E" w:rsidRPr="00EC5CFB" w:rsidRDefault="00C87E1E" w:rsidP="00C87E1E">
            <w:pPr>
              <w:spacing w:before="20" w:after="20"/>
              <w:jc w:val="right"/>
              <w:rPr>
                <w:noProof/>
                <w:sz w:val="20"/>
                <w:lang w:eastAsia="en-GB"/>
              </w:rPr>
            </w:pPr>
          </w:p>
        </w:tc>
        <w:tc>
          <w:tcPr>
            <w:tcW w:w="868" w:type="dxa"/>
            <w:vAlign w:val="center"/>
          </w:tcPr>
          <w:p w14:paraId="4E28B6F2" w14:textId="77777777" w:rsidR="00C87E1E" w:rsidRPr="00EC5CFB" w:rsidRDefault="00C87E1E" w:rsidP="00C87E1E">
            <w:pPr>
              <w:spacing w:before="20" w:after="20"/>
              <w:jc w:val="right"/>
              <w:rPr>
                <w:noProof/>
                <w:sz w:val="20"/>
                <w:lang w:eastAsia="en-GB"/>
              </w:rPr>
            </w:pPr>
          </w:p>
        </w:tc>
        <w:tc>
          <w:tcPr>
            <w:tcW w:w="868" w:type="dxa"/>
            <w:vAlign w:val="center"/>
          </w:tcPr>
          <w:p w14:paraId="0AFF2FB1" w14:textId="77777777" w:rsidR="00C87E1E" w:rsidRPr="00EC5CFB" w:rsidRDefault="00C87E1E" w:rsidP="00C87E1E">
            <w:pPr>
              <w:spacing w:before="20" w:after="20"/>
              <w:jc w:val="right"/>
              <w:rPr>
                <w:noProof/>
                <w:sz w:val="20"/>
                <w:lang w:eastAsia="en-GB"/>
              </w:rPr>
            </w:pPr>
          </w:p>
        </w:tc>
        <w:tc>
          <w:tcPr>
            <w:tcW w:w="868" w:type="dxa"/>
            <w:vAlign w:val="center"/>
          </w:tcPr>
          <w:p w14:paraId="7AD5619A" w14:textId="77777777" w:rsidR="00C87E1E" w:rsidRPr="00EC5CFB" w:rsidRDefault="00C87E1E" w:rsidP="00C87E1E">
            <w:pPr>
              <w:spacing w:before="20" w:after="20"/>
              <w:jc w:val="right"/>
              <w:rPr>
                <w:noProof/>
                <w:sz w:val="20"/>
                <w:lang w:eastAsia="en-GB"/>
              </w:rPr>
            </w:pPr>
          </w:p>
        </w:tc>
        <w:tc>
          <w:tcPr>
            <w:tcW w:w="868" w:type="dxa"/>
            <w:vAlign w:val="center"/>
          </w:tcPr>
          <w:p w14:paraId="670E5C03" w14:textId="77777777" w:rsidR="00C87E1E" w:rsidRPr="00EC5CFB" w:rsidRDefault="00C87E1E" w:rsidP="00C87E1E">
            <w:pPr>
              <w:spacing w:before="20" w:after="20"/>
              <w:jc w:val="right"/>
              <w:rPr>
                <w:b/>
                <w:noProof/>
                <w:sz w:val="20"/>
                <w:lang w:eastAsia="en-GB"/>
              </w:rPr>
            </w:pPr>
          </w:p>
        </w:tc>
        <w:tc>
          <w:tcPr>
            <w:tcW w:w="1777" w:type="dxa"/>
            <w:vAlign w:val="center"/>
          </w:tcPr>
          <w:p w14:paraId="2CECBDBA" w14:textId="77777777" w:rsidR="00C87E1E" w:rsidRPr="00EC5CFB" w:rsidRDefault="00C87E1E" w:rsidP="00C87E1E">
            <w:pPr>
              <w:spacing w:before="20" w:after="20"/>
              <w:jc w:val="right"/>
              <w:rPr>
                <w:b/>
                <w:noProof/>
                <w:sz w:val="20"/>
                <w:lang w:eastAsia="en-GB"/>
              </w:rPr>
            </w:pPr>
          </w:p>
        </w:tc>
      </w:tr>
      <w:tr w:rsidR="00C87E1E" w:rsidRPr="00EC5CFB" w14:paraId="530315F2" w14:textId="77777777" w:rsidTr="00C87E1E">
        <w:trPr>
          <w:trHeight w:val="351"/>
        </w:trPr>
        <w:tc>
          <w:tcPr>
            <w:tcW w:w="6054" w:type="dxa"/>
            <w:gridSpan w:val="3"/>
            <w:vAlign w:val="center"/>
          </w:tcPr>
          <w:p w14:paraId="1165EEBF" w14:textId="77777777" w:rsidR="00C87E1E" w:rsidRPr="00EC5CFB" w:rsidRDefault="00C87E1E" w:rsidP="00C87E1E">
            <w:pPr>
              <w:spacing w:before="20" w:after="20"/>
              <w:rPr>
                <w:noProof/>
              </w:rPr>
            </w:pPr>
            <w:r w:rsidRPr="00EC5CFB">
              <w:rPr>
                <w:noProof/>
                <w:sz w:val="22"/>
              </w:rPr>
              <w:sym w:font="Wingdings" w:char="F09F"/>
            </w:r>
            <w:r w:rsidRPr="00EC5CFB">
              <w:rPr>
                <w:noProof/>
                <w:sz w:val="22"/>
              </w:rPr>
              <w:t xml:space="preserve">Muud halduskulud </w:t>
            </w:r>
          </w:p>
        </w:tc>
        <w:tc>
          <w:tcPr>
            <w:tcW w:w="868" w:type="dxa"/>
            <w:vAlign w:val="center"/>
          </w:tcPr>
          <w:p w14:paraId="0E84D53B" w14:textId="77777777" w:rsidR="00C87E1E" w:rsidRPr="00EC5CFB" w:rsidRDefault="00C87E1E" w:rsidP="00C87E1E">
            <w:pPr>
              <w:spacing w:before="20" w:after="20"/>
              <w:jc w:val="right"/>
              <w:rPr>
                <w:b/>
                <w:noProof/>
                <w:sz w:val="20"/>
                <w:lang w:eastAsia="en-GB"/>
              </w:rPr>
            </w:pPr>
          </w:p>
        </w:tc>
        <w:tc>
          <w:tcPr>
            <w:tcW w:w="868" w:type="dxa"/>
            <w:vAlign w:val="center"/>
          </w:tcPr>
          <w:p w14:paraId="18F4E29F" w14:textId="77777777" w:rsidR="00C87E1E" w:rsidRPr="00EC5CFB" w:rsidRDefault="00C87E1E" w:rsidP="00C87E1E">
            <w:pPr>
              <w:spacing w:before="20" w:after="20"/>
              <w:jc w:val="right"/>
              <w:rPr>
                <w:b/>
                <w:noProof/>
                <w:sz w:val="20"/>
                <w:lang w:eastAsia="en-GB"/>
              </w:rPr>
            </w:pPr>
          </w:p>
        </w:tc>
        <w:tc>
          <w:tcPr>
            <w:tcW w:w="868" w:type="dxa"/>
            <w:vAlign w:val="center"/>
          </w:tcPr>
          <w:p w14:paraId="05A6AB5B" w14:textId="77777777" w:rsidR="00C87E1E" w:rsidRPr="00EC5CFB" w:rsidRDefault="00C87E1E" w:rsidP="00C87E1E">
            <w:pPr>
              <w:spacing w:before="20" w:after="20"/>
              <w:jc w:val="right"/>
              <w:rPr>
                <w:b/>
                <w:noProof/>
                <w:sz w:val="20"/>
                <w:lang w:eastAsia="en-GB"/>
              </w:rPr>
            </w:pPr>
          </w:p>
        </w:tc>
        <w:tc>
          <w:tcPr>
            <w:tcW w:w="868" w:type="dxa"/>
            <w:vAlign w:val="center"/>
          </w:tcPr>
          <w:p w14:paraId="6608815F" w14:textId="77777777" w:rsidR="00C87E1E" w:rsidRPr="00EC5CFB" w:rsidRDefault="00C87E1E" w:rsidP="00C87E1E">
            <w:pPr>
              <w:spacing w:before="20" w:after="20"/>
              <w:jc w:val="right"/>
              <w:rPr>
                <w:b/>
                <w:noProof/>
                <w:sz w:val="20"/>
                <w:lang w:eastAsia="en-GB"/>
              </w:rPr>
            </w:pPr>
          </w:p>
        </w:tc>
        <w:tc>
          <w:tcPr>
            <w:tcW w:w="868" w:type="dxa"/>
            <w:vAlign w:val="center"/>
          </w:tcPr>
          <w:p w14:paraId="6F580601" w14:textId="77777777" w:rsidR="00C87E1E" w:rsidRPr="00EC5CFB" w:rsidRDefault="00C87E1E" w:rsidP="00C87E1E">
            <w:pPr>
              <w:spacing w:before="20" w:after="20"/>
              <w:jc w:val="right"/>
              <w:rPr>
                <w:b/>
                <w:noProof/>
                <w:sz w:val="20"/>
                <w:lang w:eastAsia="en-GB"/>
              </w:rPr>
            </w:pPr>
          </w:p>
        </w:tc>
        <w:tc>
          <w:tcPr>
            <w:tcW w:w="868" w:type="dxa"/>
            <w:vAlign w:val="center"/>
          </w:tcPr>
          <w:p w14:paraId="1EEB552B" w14:textId="77777777" w:rsidR="00C87E1E" w:rsidRPr="00EC5CFB" w:rsidRDefault="00C87E1E" w:rsidP="00C87E1E">
            <w:pPr>
              <w:spacing w:before="20" w:after="20"/>
              <w:jc w:val="right"/>
              <w:rPr>
                <w:b/>
                <w:noProof/>
                <w:sz w:val="20"/>
                <w:lang w:eastAsia="en-GB"/>
              </w:rPr>
            </w:pPr>
          </w:p>
        </w:tc>
        <w:tc>
          <w:tcPr>
            <w:tcW w:w="868" w:type="dxa"/>
            <w:vAlign w:val="center"/>
          </w:tcPr>
          <w:p w14:paraId="452F0F63" w14:textId="77777777" w:rsidR="00C87E1E" w:rsidRPr="00EC5CFB" w:rsidRDefault="00C87E1E" w:rsidP="00C87E1E">
            <w:pPr>
              <w:spacing w:before="20" w:after="20"/>
              <w:jc w:val="right"/>
              <w:rPr>
                <w:b/>
                <w:noProof/>
                <w:sz w:val="20"/>
                <w:lang w:eastAsia="en-GB"/>
              </w:rPr>
            </w:pPr>
          </w:p>
        </w:tc>
        <w:tc>
          <w:tcPr>
            <w:tcW w:w="1777" w:type="dxa"/>
            <w:vAlign w:val="center"/>
          </w:tcPr>
          <w:p w14:paraId="396E2EB8" w14:textId="77777777" w:rsidR="00C87E1E" w:rsidRPr="00EC5CFB" w:rsidRDefault="00C87E1E" w:rsidP="00C87E1E">
            <w:pPr>
              <w:spacing w:before="20" w:after="20"/>
              <w:jc w:val="right"/>
              <w:rPr>
                <w:b/>
                <w:noProof/>
                <w:sz w:val="20"/>
                <w:lang w:eastAsia="en-GB"/>
              </w:rPr>
            </w:pPr>
          </w:p>
        </w:tc>
      </w:tr>
      <w:tr w:rsidR="00C87E1E" w:rsidRPr="00EC5CFB" w14:paraId="14C64EBA" w14:textId="77777777" w:rsidTr="00C87E1E">
        <w:tc>
          <w:tcPr>
            <w:tcW w:w="3960" w:type="dxa"/>
            <w:vAlign w:val="center"/>
          </w:tcPr>
          <w:p w14:paraId="386DBB3B" w14:textId="77777777" w:rsidR="00C87E1E" w:rsidRPr="00EC5CFB" w:rsidRDefault="00C87E1E" w:rsidP="00C87E1E">
            <w:pPr>
              <w:jc w:val="center"/>
              <w:rPr>
                <w:b/>
                <w:noProof/>
              </w:rPr>
            </w:pPr>
            <w:r w:rsidRPr="00EC5CFB">
              <w:rPr>
                <w:b/>
                <w:noProof/>
                <w:sz w:val="22"/>
              </w:rPr>
              <w:t>DG &lt;…….&gt; KOKKU</w:t>
            </w:r>
          </w:p>
        </w:tc>
        <w:tc>
          <w:tcPr>
            <w:tcW w:w="2094" w:type="dxa"/>
            <w:gridSpan w:val="2"/>
            <w:vAlign w:val="center"/>
          </w:tcPr>
          <w:p w14:paraId="64B4A9DD" w14:textId="77777777" w:rsidR="00C87E1E" w:rsidRPr="00EC5CFB" w:rsidRDefault="00C87E1E" w:rsidP="00C87E1E">
            <w:pPr>
              <w:rPr>
                <w:noProof/>
                <w:sz w:val="14"/>
              </w:rPr>
            </w:pPr>
            <w:r w:rsidRPr="00EC5CFB">
              <w:rPr>
                <w:noProof/>
                <w:sz w:val="18"/>
              </w:rPr>
              <w:t xml:space="preserve">Assigneeringud </w:t>
            </w:r>
          </w:p>
        </w:tc>
        <w:tc>
          <w:tcPr>
            <w:tcW w:w="868" w:type="dxa"/>
            <w:vAlign w:val="center"/>
          </w:tcPr>
          <w:p w14:paraId="01E55E8D" w14:textId="77777777" w:rsidR="00C87E1E" w:rsidRPr="00EC5CFB" w:rsidRDefault="00C87E1E" w:rsidP="00C87E1E">
            <w:pPr>
              <w:spacing w:before="60" w:after="60"/>
              <w:jc w:val="right"/>
              <w:rPr>
                <w:noProof/>
                <w:sz w:val="20"/>
                <w:lang w:eastAsia="en-GB"/>
              </w:rPr>
            </w:pPr>
          </w:p>
        </w:tc>
        <w:tc>
          <w:tcPr>
            <w:tcW w:w="868" w:type="dxa"/>
            <w:vAlign w:val="center"/>
          </w:tcPr>
          <w:p w14:paraId="576903D7" w14:textId="77777777" w:rsidR="00C87E1E" w:rsidRPr="00EC5CFB" w:rsidRDefault="00C87E1E" w:rsidP="00C87E1E">
            <w:pPr>
              <w:spacing w:before="20" w:after="20"/>
              <w:jc w:val="right"/>
              <w:rPr>
                <w:noProof/>
                <w:sz w:val="20"/>
                <w:lang w:eastAsia="en-GB"/>
              </w:rPr>
            </w:pPr>
          </w:p>
        </w:tc>
        <w:tc>
          <w:tcPr>
            <w:tcW w:w="868" w:type="dxa"/>
            <w:vAlign w:val="center"/>
          </w:tcPr>
          <w:p w14:paraId="72C526EC" w14:textId="77777777" w:rsidR="00C87E1E" w:rsidRPr="00EC5CFB" w:rsidRDefault="00C87E1E" w:rsidP="00C87E1E">
            <w:pPr>
              <w:spacing w:before="20" w:after="20"/>
              <w:jc w:val="right"/>
              <w:rPr>
                <w:noProof/>
                <w:sz w:val="20"/>
                <w:lang w:eastAsia="en-GB"/>
              </w:rPr>
            </w:pPr>
          </w:p>
        </w:tc>
        <w:tc>
          <w:tcPr>
            <w:tcW w:w="868" w:type="dxa"/>
            <w:vAlign w:val="center"/>
          </w:tcPr>
          <w:p w14:paraId="10731815" w14:textId="77777777" w:rsidR="00C87E1E" w:rsidRPr="00EC5CFB" w:rsidRDefault="00C87E1E" w:rsidP="00C87E1E">
            <w:pPr>
              <w:spacing w:before="20" w:after="20"/>
              <w:jc w:val="right"/>
              <w:rPr>
                <w:noProof/>
                <w:sz w:val="20"/>
                <w:lang w:eastAsia="en-GB"/>
              </w:rPr>
            </w:pPr>
          </w:p>
        </w:tc>
        <w:tc>
          <w:tcPr>
            <w:tcW w:w="868" w:type="dxa"/>
            <w:vAlign w:val="center"/>
          </w:tcPr>
          <w:p w14:paraId="2A6FAA48" w14:textId="77777777" w:rsidR="00C87E1E" w:rsidRPr="00EC5CFB" w:rsidRDefault="00C87E1E" w:rsidP="00C87E1E">
            <w:pPr>
              <w:spacing w:before="20" w:after="20"/>
              <w:jc w:val="right"/>
              <w:rPr>
                <w:noProof/>
                <w:sz w:val="20"/>
                <w:lang w:eastAsia="en-GB"/>
              </w:rPr>
            </w:pPr>
          </w:p>
        </w:tc>
        <w:tc>
          <w:tcPr>
            <w:tcW w:w="868" w:type="dxa"/>
            <w:vAlign w:val="center"/>
          </w:tcPr>
          <w:p w14:paraId="18E45F08" w14:textId="77777777" w:rsidR="00C87E1E" w:rsidRPr="00EC5CFB" w:rsidRDefault="00C87E1E" w:rsidP="00C87E1E">
            <w:pPr>
              <w:spacing w:before="20" w:after="20"/>
              <w:jc w:val="right"/>
              <w:rPr>
                <w:noProof/>
                <w:sz w:val="20"/>
                <w:lang w:eastAsia="en-GB"/>
              </w:rPr>
            </w:pPr>
          </w:p>
        </w:tc>
        <w:tc>
          <w:tcPr>
            <w:tcW w:w="868" w:type="dxa"/>
            <w:vAlign w:val="center"/>
          </w:tcPr>
          <w:p w14:paraId="0C1E6557" w14:textId="77777777" w:rsidR="00C87E1E" w:rsidRPr="00EC5CFB" w:rsidRDefault="00C87E1E" w:rsidP="00C87E1E">
            <w:pPr>
              <w:spacing w:before="20" w:after="20"/>
              <w:jc w:val="right"/>
              <w:rPr>
                <w:b/>
                <w:noProof/>
                <w:sz w:val="20"/>
                <w:lang w:eastAsia="en-GB"/>
              </w:rPr>
            </w:pPr>
          </w:p>
        </w:tc>
        <w:tc>
          <w:tcPr>
            <w:tcW w:w="1777" w:type="dxa"/>
            <w:vAlign w:val="center"/>
          </w:tcPr>
          <w:p w14:paraId="05226D43" w14:textId="77777777" w:rsidR="00C87E1E" w:rsidRPr="00EC5CFB" w:rsidRDefault="00C87E1E" w:rsidP="00C87E1E">
            <w:pPr>
              <w:spacing w:before="20" w:after="20"/>
              <w:jc w:val="right"/>
              <w:rPr>
                <w:b/>
                <w:noProof/>
                <w:sz w:val="20"/>
                <w:lang w:eastAsia="en-GB"/>
              </w:rPr>
            </w:pPr>
          </w:p>
        </w:tc>
      </w:tr>
    </w:tbl>
    <w:p w14:paraId="16C6EF91" w14:textId="77777777" w:rsidR="00C87E1E" w:rsidRPr="00EC5CFB" w:rsidRDefault="00C87E1E" w:rsidP="00C87E1E">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87E1E" w:rsidRPr="00EC5CFB" w14:paraId="68564316" w14:textId="77777777" w:rsidTr="00C87E1E">
        <w:tc>
          <w:tcPr>
            <w:tcW w:w="3960" w:type="dxa"/>
            <w:shd w:val="thinDiagStripe" w:color="C0C0C0" w:fill="auto"/>
            <w:vAlign w:val="center"/>
          </w:tcPr>
          <w:p w14:paraId="68E157C7" w14:textId="77777777" w:rsidR="00C87E1E" w:rsidRPr="00EC5CFB" w:rsidRDefault="00C87E1E" w:rsidP="00C87E1E">
            <w:pPr>
              <w:jc w:val="center"/>
              <w:rPr>
                <w:b/>
                <w:noProof/>
              </w:rPr>
            </w:pPr>
            <w:r w:rsidRPr="00EC5CFB">
              <w:rPr>
                <w:noProof/>
                <w:sz w:val="22"/>
              </w:rPr>
              <w:t>Mitmeaastase finantsraamistiku</w:t>
            </w:r>
            <w:r w:rsidRPr="00EC5CFB">
              <w:rPr>
                <w:noProof/>
              </w:rPr>
              <w:t xml:space="preserve"> </w:t>
            </w:r>
            <w:r w:rsidRPr="00EC5CFB">
              <w:rPr>
                <w:noProof/>
              </w:rPr>
              <w:br/>
            </w:r>
            <w:r w:rsidRPr="00EC5CFB">
              <w:rPr>
                <w:b/>
                <w:noProof/>
                <w:sz w:val="22"/>
              </w:rPr>
              <w:t>RUBRIIGI 7</w:t>
            </w:r>
            <w:r w:rsidRPr="00EC5CFB">
              <w:rPr>
                <w:noProof/>
              </w:rPr>
              <w:t xml:space="preserve"> </w:t>
            </w:r>
            <w:r w:rsidRPr="00EC5CFB">
              <w:rPr>
                <w:noProof/>
              </w:rPr>
              <w:br/>
            </w:r>
            <w:r w:rsidRPr="00EC5CFB">
              <w:rPr>
                <w:b/>
                <w:bCs/>
                <w:noProof/>
                <w:sz w:val="22"/>
              </w:rPr>
              <w:t>assigneeringud KOKKU</w:t>
            </w:r>
            <w:r w:rsidRPr="00EC5CFB">
              <w:rPr>
                <w:b/>
                <w:noProof/>
                <w:sz w:val="22"/>
              </w:rPr>
              <w:t xml:space="preserve"> </w:t>
            </w:r>
          </w:p>
        </w:tc>
        <w:tc>
          <w:tcPr>
            <w:tcW w:w="2094" w:type="dxa"/>
            <w:vAlign w:val="center"/>
          </w:tcPr>
          <w:p w14:paraId="27F15FC9" w14:textId="77777777" w:rsidR="00C87E1E" w:rsidRPr="00EC5CFB" w:rsidRDefault="00C87E1E" w:rsidP="00C87E1E">
            <w:pPr>
              <w:spacing w:before="40" w:after="40"/>
              <w:rPr>
                <w:noProof/>
              </w:rPr>
            </w:pPr>
            <w:r w:rsidRPr="00EC5CFB">
              <w:rPr>
                <w:noProof/>
                <w:sz w:val="18"/>
              </w:rPr>
              <w:t>(Kulukohustuste kogusumma = maksete kogusumma)</w:t>
            </w:r>
          </w:p>
        </w:tc>
        <w:tc>
          <w:tcPr>
            <w:tcW w:w="868" w:type="dxa"/>
            <w:vAlign w:val="center"/>
          </w:tcPr>
          <w:p w14:paraId="71F46A79" w14:textId="77777777" w:rsidR="00C87E1E" w:rsidRPr="00EC5CFB" w:rsidRDefault="00C87E1E" w:rsidP="00C87E1E">
            <w:pPr>
              <w:spacing w:before="20" w:after="20"/>
              <w:jc w:val="right"/>
              <w:rPr>
                <w:noProof/>
                <w:sz w:val="20"/>
                <w:lang w:eastAsia="en-GB"/>
              </w:rPr>
            </w:pPr>
          </w:p>
        </w:tc>
        <w:tc>
          <w:tcPr>
            <w:tcW w:w="868" w:type="dxa"/>
            <w:vAlign w:val="center"/>
          </w:tcPr>
          <w:p w14:paraId="48A59699" w14:textId="77777777" w:rsidR="00C87E1E" w:rsidRPr="00EC5CFB" w:rsidRDefault="00C87E1E" w:rsidP="00C87E1E">
            <w:pPr>
              <w:spacing w:before="20" w:after="20"/>
              <w:jc w:val="right"/>
              <w:rPr>
                <w:noProof/>
                <w:sz w:val="20"/>
                <w:lang w:eastAsia="en-GB"/>
              </w:rPr>
            </w:pPr>
          </w:p>
        </w:tc>
        <w:tc>
          <w:tcPr>
            <w:tcW w:w="868" w:type="dxa"/>
            <w:vAlign w:val="center"/>
          </w:tcPr>
          <w:p w14:paraId="138F4221" w14:textId="77777777" w:rsidR="00C87E1E" w:rsidRPr="00EC5CFB" w:rsidRDefault="00C87E1E" w:rsidP="00C87E1E">
            <w:pPr>
              <w:spacing w:before="20" w:after="20"/>
              <w:jc w:val="right"/>
              <w:rPr>
                <w:noProof/>
                <w:sz w:val="20"/>
                <w:lang w:eastAsia="en-GB"/>
              </w:rPr>
            </w:pPr>
          </w:p>
        </w:tc>
        <w:tc>
          <w:tcPr>
            <w:tcW w:w="868" w:type="dxa"/>
            <w:vAlign w:val="center"/>
          </w:tcPr>
          <w:p w14:paraId="79E89798" w14:textId="77777777" w:rsidR="00C87E1E" w:rsidRPr="00EC5CFB" w:rsidRDefault="00C87E1E" w:rsidP="00C87E1E">
            <w:pPr>
              <w:spacing w:before="20" w:after="20"/>
              <w:jc w:val="right"/>
              <w:rPr>
                <w:noProof/>
                <w:sz w:val="20"/>
                <w:lang w:eastAsia="en-GB"/>
              </w:rPr>
            </w:pPr>
          </w:p>
        </w:tc>
        <w:tc>
          <w:tcPr>
            <w:tcW w:w="868" w:type="dxa"/>
            <w:vAlign w:val="center"/>
          </w:tcPr>
          <w:p w14:paraId="6B0C977B" w14:textId="77777777" w:rsidR="00C87E1E" w:rsidRPr="00EC5CFB" w:rsidRDefault="00C87E1E" w:rsidP="00C87E1E">
            <w:pPr>
              <w:spacing w:before="20" w:after="20"/>
              <w:jc w:val="right"/>
              <w:rPr>
                <w:noProof/>
                <w:sz w:val="20"/>
                <w:lang w:eastAsia="en-GB"/>
              </w:rPr>
            </w:pPr>
          </w:p>
        </w:tc>
        <w:tc>
          <w:tcPr>
            <w:tcW w:w="868" w:type="dxa"/>
            <w:vAlign w:val="center"/>
          </w:tcPr>
          <w:p w14:paraId="5D1C2DDC" w14:textId="77777777" w:rsidR="00C87E1E" w:rsidRPr="00EC5CFB" w:rsidRDefault="00C87E1E" w:rsidP="00C87E1E">
            <w:pPr>
              <w:spacing w:before="20" w:after="20"/>
              <w:jc w:val="right"/>
              <w:rPr>
                <w:noProof/>
                <w:sz w:val="20"/>
                <w:lang w:eastAsia="en-GB"/>
              </w:rPr>
            </w:pPr>
          </w:p>
        </w:tc>
        <w:tc>
          <w:tcPr>
            <w:tcW w:w="868" w:type="dxa"/>
            <w:vAlign w:val="center"/>
          </w:tcPr>
          <w:p w14:paraId="1D184B95" w14:textId="77777777" w:rsidR="00C87E1E" w:rsidRPr="00EC5CFB" w:rsidRDefault="00C87E1E" w:rsidP="00C87E1E">
            <w:pPr>
              <w:spacing w:before="20" w:after="20"/>
              <w:jc w:val="right"/>
              <w:rPr>
                <w:b/>
                <w:noProof/>
                <w:sz w:val="20"/>
                <w:lang w:eastAsia="en-GB"/>
              </w:rPr>
            </w:pPr>
          </w:p>
        </w:tc>
        <w:tc>
          <w:tcPr>
            <w:tcW w:w="1777" w:type="dxa"/>
            <w:vAlign w:val="center"/>
          </w:tcPr>
          <w:p w14:paraId="481853DE" w14:textId="77777777" w:rsidR="00C87E1E" w:rsidRPr="00EC5CFB" w:rsidRDefault="00C87E1E" w:rsidP="00C87E1E">
            <w:pPr>
              <w:spacing w:before="20" w:after="20"/>
              <w:jc w:val="right"/>
              <w:rPr>
                <w:b/>
                <w:noProof/>
                <w:sz w:val="20"/>
                <w:lang w:eastAsia="en-GB"/>
              </w:rPr>
            </w:pPr>
          </w:p>
        </w:tc>
      </w:tr>
    </w:tbl>
    <w:p w14:paraId="5058A238" w14:textId="77777777" w:rsidR="00C87E1E" w:rsidRPr="00EC5CFB" w:rsidRDefault="00C87E1E" w:rsidP="00C87E1E">
      <w:pPr>
        <w:jc w:val="right"/>
        <w:rPr>
          <w:noProof/>
          <w:sz w:val="20"/>
        </w:rPr>
      </w:pPr>
      <w:r w:rsidRPr="00EC5CFB">
        <w:rPr>
          <w:noProof/>
          <w:sz w:val="20"/>
        </w:rPr>
        <w:t>miljonites eurodes (kolm kohta pärast koma)</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38"/>
        <w:gridCol w:w="698"/>
        <w:gridCol w:w="1134"/>
        <w:gridCol w:w="1134"/>
        <w:gridCol w:w="992"/>
        <w:gridCol w:w="850"/>
        <w:gridCol w:w="1134"/>
        <w:gridCol w:w="1276"/>
        <w:gridCol w:w="1134"/>
      </w:tblGrid>
      <w:tr w:rsidR="00841AC1" w:rsidRPr="00EC5CFB" w14:paraId="5EA3841B" w14:textId="77777777" w:rsidTr="00A27D48">
        <w:tc>
          <w:tcPr>
            <w:tcW w:w="3960" w:type="dxa"/>
            <w:tcBorders>
              <w:top w:val="nil"/>
              <w:left w:val="nil"/>
              <w:right w:val="nil"/>
            </w:tcBorders>
            <w:vAlign w:val="center"/>
          </w:tcPr>
          <w:p w14:paraId="73542884" w14:textId="77777777" w:rsidR="00841AC1" w:rsidRPr="00EC5CFB" w:rsidRDefault="00841AC1" w:rsidP="00841AC1">
            <w:pPr>
              <w:jc w:val="center"/>
              <w:rPr>
                <w:noProof/>
                <w:lang w:eastAsia="en-GB"/>
              </w:rPr>
            </w:pPr>
          </w:p>
        </w:tc>
        <w:tc>
          <w:tcPr>
            <w:tcW w:w="1560" w:type="dxa"/>
            <w:tcBorders>
              <w:top w:val="nil"/>
              <w:left w:val="nil"/>
              <w:right w:val="nil"/>
            </w:tcBorders>
          </w:tcPr>
          <w:p w14:paraId="7EA3388D" w14:textId="77777777" w:rsidR="00841AC1" w:rsidRPr="00EC5CFB" w:rsidRDefault="00841AC1" w:rsidP="00841AC1">
            <w:pPr>
              <w:rPr>
                <w:noProof/>
                <w:sz w:val="20"/>
                <w:lang w:eastAsia="en-GB"/>
              </w:rPr>
            </w:pPr>
          </w:p>
        </w:tc>
        <w:tc>
          <w:tcPr>
            <w:tcW w:w="238" w:type="dxa"/>
            <w:tcBorders>
              <w:top w:val="nil"/>
              <w:left w:val="nil"/>
            </w:tcBorders>
          </w:tcPr>
          <w:p w14:paraId="56BD68F1" w14:textId="77777777" w:rsidR="00841AC1" w:rsidRPr="00EC5CFB" w:rsidRDefault="00841AC1" w:rsidP="00841AC1">
            <w:pPr>
              <w:jc w:val="center"/>
              <w:rPr>
                <w:noProof/>
                <w:sz w:val="20"/>
                <w:lang w:eastAsia="en-GB"/>
              </w:rPr>
            </w:pPr>
          </w:p>
        </w:tc>
        <w:tc>
          <w:tcPr>
            <w:tcW w:w="698" w:type="dxa"/>
            <w:vAlign w:val="center"/>
          </w:tcPr>
          <w:p w14:paraId="3B6FB8CC" w14:textId="77777777" w:rsidR="00841AC1" w:rsidRPr="00EC5CFB" w:rsidRDefault="00841AC1" w:rsidP="00841AC1">
            <w:pPr>
              <w:jc w:val="center"/>
              <w:rPr>
                <w:noProof/>
                <w:sz w:val="20"/>
              </w:rPr>
            </w:pPr>
            <w:r w:rsidRPr="00EC5CFB">
              <w:rPr>
                <w:b/>
                <w:noProof/>
                <w:sz w:val="20"/>
              </w:rPr>
              <w:t>2021</w:t>
            </w:r>
          </w:p>
        </w:tc>
        <w:tc>
          <w:tcPr>
            <w:tcW w:w="1134" w:type="dxa"/>
            <w:vAlign w:val="center"/>
          </w:tcPr>
          <w:p w14:paraId="48113C61" w14:textId="77777777" w:rsidR="00841AC1" w:rsidRPr="00EC5CFB" w:rsidRDefault="00841AC1" w:rsidP="00841AC1">
            <w:pPr>
              <w:jc w:val="center"/>
              <w:rPr>
                <w:noProof/>
                <w:sz w:val="20"/>
              </w:rPr>
            </w:pPr>
            <w:r w:rsidRPr="00EC5CFB">
              <w:rPr>
                <w:b/>
                <w:noProof/>
                <w:sz w:val="20"/>
              </w:rPr>
              <w:t>2022</w:t>
            </w:r>
          </w:p>
        </w:tc>
        <w:tc>
          <w:tcPr>
            <w:tcW w:w="1134" w:type="dxa"/>
            <w:vAlign w:val="center"/>
          </w:tcPr>
          <w:p w14:paraId="58464003" w14:textId="77777777" w:rsidR="00841AC1" w:rsidRPr="00EC5CFB" w:rsidRDefault="00841AC1" w:rsidP="00841AC1">
            <w:pPr>
              <w:jc w:val="center"/>
              <w:rPr>
                <w:noProof/>
                <w:sz w:val="20"/>
              </w:rPr>
            </w:pPr>
            <w:r w:rsidRPr="00EC5CFB">
              <w:rPr>
                <w:b/>
                <w:noProof/>
                <w:sz w:val="20"/>
              </w:rPr>
              <w:t>2023</w:t>
            </w:r>
          </w:p>
        </w:tc>
        <w:tc>
          <w:tcPr>
            <w:tcW w:w="992" w:type="dxa"/>
            <w:vAlign w:val="center"/>
          </w:tcPr>
          <w:p w14:paraId="1A1286B6" w14:textId="77777777" w:rsidR="00841AC1" w:rsidRPr="00EC5CFB" w:rsidRDefault="00841AC1" w:rsidP="00841AC1">
            <w:pPr>
              <w:jc w:val="center"/>
              <w:rPr>
                <w:noProof/>
                <w:sz w:val="20"/>
              </w:rPr>
            </w:pPr>
            <w:r w:rsidRPr="00EC5CFB">
              <w:rPr>
                <w:b/>
                <w:noProof/>
                <w:sz w:val="20"/>
              </w:rPr>
              <w:t>2024</w:t>
            </w:r>
          </w:p>
        </w:tc>
        <w:tc>
          <w:tcPr>
            <w:tcW w:w="850" w:type="dxa"/>
          </w:tcPr>
          <w:p w14:paraId="53C6C2DE" w14:textId="77777777" w:rsidR="00841AC1" w:rsidRPr="00EC5CFB" w:rsidRDefault="00841AC1" w:rsidP="00841AC1">
            <w:pPr>
              <w:jc w:val="center"/>
              <w:rPr>
                <w:b/>
                <w:noProof/>
                <w:sz w:val="20"/>
                <w:szCs w:val="20"/>
              </w:rPr>
            </w:pPr>
            <w:r w:rsidRPr="00EC5CFB">
              <w:rPr>
                <w:b/>
                <w:noProof/>
                <w:sz w:val="20"/>
              </w:rPr>
              <w:t>2025</w:t>
            </w:r>
          </w:p>
        </w:tc>
        <w:tc>
          <w:tcPr>
            <w:tcW w:w="1134" w:type="dxa"/>
          </w:tcPr>
          <w:p w14:paraId="0B2E94D2" w14:textId="77777777" w:rsidR="00841AC1" w:rsidRPr="00EC5CFB" w:rsidRDefault="00841AC1" w:rsidP="00841AC1">
            <w:pPr>
              <w:jc w:val="center"/>
              <w:rPr>
                <w:b/>
                <w:noProof/>
                <w:sz w:val="20"/>
              </w:rPr>
            </w:pPr>
            <w:r w:rsidRPr="00EC5CFB">
              <w:rPr>
                <w:b/>
                <w:noProof/>
                <w:sz w:val="20"/>
              </w:rPr>
              <w:t>2026</w:t>
            </w:r>
          </w:p>
        </w:tc>
        <w:tc>
          <w:tcPr>
            <w:tcW w:w="1276" w:type="dxa"/>
          </w:tcPr>
          <w:p w14:paraId="150FEB6C" w14:textId="77777777" w:rsidR="00841AC1" w:rsidRPr="00EC5CFB" w:rsidRDefault="00841AC1" w:rsidP="00841AC1">
            <w:pPr>
              <w:jc w:val="center"/>
              <w:rPr>
                <w:b/>
                <w:noProof/>
                <w:sz w:val="20"/>
              </w:rPr>
            </w:pPr>
            <w:r w:rsidRPr="00EC5CFB">
              <w:rPr>
                <w:b/>
                <w:noProof/>
                <w:sz w:val="20"/>
              </w:rPr>
              <w:t>2027</w:t>
            </w:r>
          </w:p>
        </w:tc>
        <w:tc>
          <w:tcPr>
            <w:tcW w:w="1134" w:type="dxa"/>
            <w:vAlign w:val="center"/>
          </w:tcPr>
          <w:p w14:paraId="1EC74B61" w14:textId="77777777" w:rsidR="00841AC1" w:rsidRPr="00EC5CFB" w:rsidRDefault="00841AC1" w:rsidP="00841AC1">
            <w:pPr>
              <w:jc w:val="center"/>
              <w:rPr>
                <w:b/>
                <w:noProof/>
                <w:sz w:val="20"/>
              </w:rPr>
            </w:pPr>
            <w:r w:rsidRPr="00EC5CFB">
              <w:rPr>
                <w:b/>
                <w:noProof/>
                <w:sz w:val="20"/>
              </w:rPr>
              <w:t>KOKKU</w:t>
            </w:r>
          </w:p>
        </w:tc>
      </w:tr>
      <w:tr w:rsidR="00841AC1" w:rsidRPr="00EC5CFB" w14:paraId="27BC6D69" w14:textId="77777777" w:rsidTr="00A27D48">
        <w:tc>
          <w:tcPr>
            <w:tcW w:w="3960" w:type="dxa"/>
            <w:vMerge w:val="restart"/>
            <w:shd w:val="clear" w:color="auto" w:fill="C0C0C0"/>
            <w:vAlign w:val="center"/>
          </w:tcPr>
          <w:p w14:paraId="420FDEAB" w14:textId="77777777" w:rsidR="00841AC1" w:rsidRPr="00EC5CFB" w:rsidRDefault="00841AC1" w:rsidP="00841AC1">
            <w:pPr>
              <w:jc w:val="center"/>
              <w:rPr>
                <w:b/>
                <w:noProof/>
              </w:rPr>
            </w:pPr>
            <w:r w:rsidRPr="00EC5CFB">
              <w:rPr>
                <w:bCs/>
                <w:noProof/>
              </w:rPr>
              <w:t>Mitmeaastase finantsraamistiku</w:t>
            </w:r>
            <w:r w:rsidRPr="00EC5CFB">
              <w:rPr>
                <w:noProof/>
              </w:rPr>
              <w:t xml:space="preserve"> </w:t>
            </w:r>
            <w:r w:rsidRPr="00EC5CFB">
              <w:rPr>
                <w:b/>
                <w:noProof/>
                <w:sz w:val="22"/>
              </w:rPr>
              <w:t>RUBRIIKIDE 1–7</w:t>
            </w:r>
            <w:r w:rsidRPr="00EC5CFB">
              <w:rPr>
                <w:noProof/>
              </w:rPr>
              <w:t xml:space="preserve"> </w:t>
            </w:r>
            <w:r w:rsidRPr="00EC5CFB">
              <w:rPr>
                <w:noProof/>
              </w:rPr>
              <w:br/>
            </w:r>
            <w:r w:rsidRPr="00EC5CFB">
              <w:rPr>
                <w:b/>
                <w:bCs/>
                <w:noProof/>
                <w:sz w:val="22"/>
              </w:rPr>
              <w:t>assigneeringud KOKKU</w:t>
            </w:r>
            <w:r w:rsidRPr="00EC5CFB">
              <w:rPr>
                <w:b/>
                <w:noProof/>
                <w:sz w:val="22"/>
              </w:rPr>
              <w:t xml:space="preserve"> </w:t>
            </w:r>
          </w:p>
        </w:tc>
        <w:tc>
          <w:tcPr>
            <w:tcW w:w="1798" w:type="dxa"/>
            <w:gridSpan w:val="2"/>
            <w:vAlign w:val="center"/>
          </w:tcPr>
          <w:p w14:paraId="75DE1E4F" w14:textId="77777777" w:rsidR="00841AC1" w:rsidRPr="00EC5CFB" w:rsidRDefault="00841AC1" w:rsidP="00841AC1">
            <w:pPr>
              <w:rPr>
                <w:noProof/>
                <w:sz w:val="14"/>
              </w:rPr>
            </w:pPr>
            <w:r w:rsidRPr="00EC5CFB">
              <w:rPr>
                <w:noProof/>
                <w:sz w:val="18"/>
              </w:rPr>
              <w:t>Kulukohustused</w:t>
            </w:r>
          </w:p>
        </w:tc>
        <w:tc>
          <w:tcPr>
            <w:tcW w:w="698" w:type="dxa"/>
            <w:vAlign w:val="center"/>
          </w:tcPr>
          <w:p w14:paraId="653DB4E2" w14:textId="77777777" w:rsidR="00841AC1" w:rsidRPr="00EC5CFB" w:rsidRDefault="00841AC1" w:rsidP="00841AC1">
            <w:pPr>
              <w:spacing w:before="60" w:after="60"/>
              <w:jc w:val="right"/>
              <w:rPr>
                <w:noProof/>
                <w:sz w:val="22"/>
                <w:lang w:eastAsia="en-GB"/>
              </w:rPr>
            </w:pPr>
          </w:p>
        </w:tc>
        <w:tc>
          <w:tcPr>
            <w:tcW w:w="1134" w:type="dxa"/>
            <w:vAlign w:val="center"/>
          </w:tcPr>
          <w:p w14:paraId="0B51296E" w14:textId="77777777" w:rsidR="00841AC1" w:rsidRPr="00EC5CFB" w:rsidRDefault="00841AC1" w:rsidP="00841AC1">
            <w:pPr>
              <w:spacing w:before="60" w:after="60"/>
              <w:jc w:val="right"/>
              <w:rPr>
                <w:noProof/>
                <w:sz w:val="22"/>
                <w:lang w:eastAsia="en-GB"/>
              </w:rPr>
            </w:pPr>
          </w:p>
        </w:tc>
        <w:tc>
          <w:tcPr>
            <w:tcW w:w="1134" w:type="dxa"/>
            <w:vAlign w:val="center"/>
          </w:tcPr>
          <w:p w14:paraId="43AF26F2" w14:textId="77777777" w:rsidR="00841AC1" w:rsidRPr="00EC5CFB" w:rsidRDefault="00841AC1" w:rsidP="00841AC1">
            <w:pPr>
              <w:spacing w:before="60" w:after="60"/>
              <w:jc w:val="right"/>
              <w:rPr>
                <w:noProof/>
                <w:sz w:val="22"/>
                <w:lang w:eastAsia="en-GB"/>
              </w:rPr>
            </w:pPr>
          </w:p>
        </w:tc>
        <w:tc>
          <w:tcPr>
            <w:tcW w:w="992" w:type="dxa"/>
            <w:vAlign w:val="center"/>
          </w:tcPr>
          <w:p w14:paraId="3175DE6B" w14:textId="77777777" w:rsidR="00841AC1" w:rsidRPr="00EC5CFB" w:rsidRDefault="00841AC1" w:rsidP="00841AC1">
            <w:pPr>
              <w:spacing w:before="60" w:after="60"/>
              <w:jc w:val="right"/>
              <w:rPr>
                <w:noProof/>
                <w:sz w:val="22"/>
                <w:lang w:eastAsia="en-GB"/>
              </w:rPr>
            </w:pPr>
          </w:p>
        </w:tc>
        <w:tc>
          <w:tcPr>
            <w:tcW w:w="850" w:type="dxa"/>
            <w:vAlign w:val="center"/>
          </w:tcPr>
          <w:p w14:paraId="11E273CF" w14:textId="77777777" w:rsidR="00841AC1" w:rsidRPr="00EC5CFB" w:rsidRDefault="00841AC1" w:rsidP="00841AC1">
            <w:pPr>
              <w:spacing w:before="60" w:after="60"/>
              <w:jc w:val="right"/>
              <w:rPr>
                <w:noProof/>
                <w:sz w:val="22"/>
                <w:lang w:eastAsia="en-GB"/>
              </w:rPr>
            </w:pPr>
          </w:p>
        </w:tc>
        <w:tc>
          <w:tcPr>
            <w:tcW w:w="1134" w:type="dxa"/>
            <w:vAlign w:val="center"/>
          </w:tcPr>
          <w:p w14:paraId="378183DF" w14:textId="77777777" w:rsidR="00841AC1" w:rsidRPr="00EC5CFB" w:rsidRDefault="00841AC1" w:rsidP="00841AC1">
            <w:pPr>
              <w:spacing w:before="60" w:after="60"/>
              <w:jc w:val="center"/>
              <w:rPr>
                <w:b/>
                <w:noProof/>
                <w:sz w:val="22"/>
                <w:lang w:eastAsia="en-GB"/>
              </w:rPr>
            </w:pPr>
          </w:p>
        </w:tc>
        <w:tc>
          <w:tcPr>
            <w:tcW w:w="1276" w:type="dxa"/>
            <w:vAlign w:val="center"/>
          </w:tcPr>
          <w:p w14:paraId="7EACDA46" w14:textId="77777777" w:rsidR="00841AC1" w:rsidRPr="00EC5CFB" w:rsidRDefault="00841AC1" w:rsidP="00841AC1">
            <w:pPr>
              <w:spacing w:before="60" w:after="60"/>
              <w:jc w:val="center"/>
              <w:rPr>
                <w:b/>
                <w:noProof/>
                <w:sz w:val="22"/>
                <w:lang w:eastAsia="en-GB"/>
              </w:rPr>
            </w:pPr>
          </w:p>
        </w:tc>
        <w:tc>
          <w:tcPr>
            <w:tcW w:w="1134" w:type="dxa"/>
            <w:vAlign w:val="center"/>
          </w:tcPr>
          <w:p w14:paraId="483EAE95" w14:textId="77777777" w:rsidR="00841AC1" w:rsidRPr="00EC5CFB" w:rsidRDefault="00841AC1" w:rsidP="00841AC1">
            <w:pPr>
              <w:spacing w:before="60" w:after="60"/>
              <w:jc w:val="center"/>
              <w:rPr>
                <w:noProof/>
                <w:sz w:val="22"/>
              </w:rPr>
            </w:pPr>
            <w:r w:rsidRPr="00EC5CFB">
              <w:rPr>
                <w:b/>
                <w:noProof/>
                <w:sz w:val="22"/>
              </w:rPr>
              <w:t>0,000</w:t>
            </w:r>
          </w:p>
        </w:tc>
      </w:tr>
      <w:tr w:rsidR="00841AC1" w:rsidRPr="00EC5CFB" w14:paraId="66405CD5" w14:textId="77777777" w:rsidTr="00841AC1">
        <w:tc>
          <w:tcPr>
            <w:tcW w:w="3960" w:type="dxa"/>
            <w:vMerge/>
            <w:shd w:val="clear" w:color="auto" w:fill="C0C0C0"/>
          </w:tcPr>
          <w:p w14:paraId="02BE2279" w14:textId="77777777" w:rsidR="00841AC1" w:rsidRPr="00EC5CFB" w:rsidRDefault="00841AC1" w:rsidP="00841AC1">
            <w:pPr>
              <w:rPr>
                <w:noProof/>
                <w:sz w:val="20"/>
                <w:lang w:eastAsia="en-GB"/>
              </w:rPr>
            </w:pPr>
          </w:p>
        </w:tc>
        <w:tc>
          <w:tcPr>
            <w:tcW w:w="1798" w:type="dxa"/>
            <w:gridSpan w:val="2"/>
            <w:vAlign w:val="center"/>
          </w:tcPr>
          <w:p w14:paraId="533D40D1" w14:textId="77777777" w:rsidR="00841AC1" w:rsidRPr="00EC5CFB" w:rsidRDefault="00841AC1" w:rsidP="00841AC1">
            <w:pPr>
              <w:rPr>
                <w:noProof/>
                <w:sz w:val="14"/>
              </w:rPr>
            </w:pPr>
            <w:r w:rsidRPr="00EC5CFB">
              <w:rPr>
                <w:noProof/>
                <w:sz w:val="18"/>
              </w:rPr>
              <w:t>Maksed</w:t>
            </w:r>
          </w:p>
        </w:tc>
        <w:tc>
          <w:tcPr>
            <w:tcW w:w="698" w:type="dxa"/>
            <w:vAlign w:val="center"/>
          </w:tcPr>
          <w:p w14:paraId="6FEC68FE" w14:textId="77777777" w:rsidR="00841AC1" w:rsidRPr="00EC5CFB" w:rsidRDefault="00841AC1" w:rsidP="00841AC1">
            <w:pPr>
              <w:spacing w:before="60" w:after="60"/>
              <w:jc w:val="right"/>
              <w:rPr>
                <w:noProof/>
                <w:sz w:val="22"/>
                <w:lang w:eastAsia="en-GB"/>
              </w:rPr>
            </w:pPr>
          </w:p>
        </w:tc>
        <w:tc>
          <w:tcPr>
            <w:tcW w:w="1134" w:type="dxa"/>
            <w:vAlign w:val="center"/>
          </w:tcPr>
          <w:p w14:paraId="5B84CBA9" w14:textId="77777777" w:rsidR="00841AC1" w:rsidRPr="00EC5CFB" w:rsidRDefault="00841AC1" w:rsidP="00841AC1">
            <w:pPr>
              <w:spacing w:before="60" w:after="60"/>
              <w:jc w:val="right"/>
              <w:rPr>
                <w:noProof/>
                <w:sz w:val="22"/>
              </w:rPr>
            </w:pPr>
            <w:r w:rsidRPr="00EC5CFB">
              <w:rPr>
                <w:noProof/>
                <w:sz w:val="22"/>
              </w:rPr>
              <w:t>1 743,000</w:t>
            </w:r>
          </w:p>
        </w:tc>
        <w:tc>
          <w:tcPr>
            <w:tcW w:w="1134" w:type="dxa"/>
            <w:vAlign w:val="center"/>
          </w:tcPr>
          <w:p w14:paraId="1086081C" w14:textId="77777777" w:rsidR="00841AC1" w:rsidRPr="00EC5CFB" w:rsidRDefault="00841AC1" w:rsidP="00841AC1">
            <w:pPr>
              <w:spacing w:before="60" w:after="60"/>
              <w:jc w:val="right"/>
              <w:rPr>
                <w:noProof/>
                <w:sz w:val="22"/>
              </w:rPr>
            </w:pPr>
            <w:r w:rsidRPr="00EC5CFB">
              <w:rPr>
                <w:noProof/>
                <w:sz w:val="22"/>
              </w:rPr>
              <w:t>1 743,000</w:t>
            </w:r>
          </w:p>
        </w:tc>
        <w:tc>
          <w:tcPr>
            <w:tcW w:w="992" w:type="dxa"/>
            <w:vAlign w:val="center"/>
          </w:tcPr>
          <w:p w14:paraId="00F1DB5D" w14:textId="77777777" w:rsidR="00841AC1" w:rsidRPr="00EC5CFB" w:rsidRDefault="00841AC1" w:rsidP="00841AC1">
            <w:pPr>
              <w:spacing w:before="60" w:after="60"/>
              <w:jc w:val="right"/>
              <w:rPr>
                <w:noProof/>
                <w:sz w:val="22"/>
                <w:lang w:eastAsia="en-GB"/>
              </w:rPr>
            </w:pPr>
          </w:p>
        </w:tc>
        <w:tc>
          <w:tcPr>
            <w:tcW w:w="850" w:type="dxa"/>
            <w:vAlign w:val="center"/>
          </w:tcPr>
          <w:p w14:paraId="5979334F" w14:textId="77777777" w:rsidR="00841AC1" w:rsidRPr="00EC5CFB" w:rsidRDefault="00841AC1" w:rsidP="00841AC1">
            <w:pPr>
              <w:spacing w:before="60" w:after="60"/>
              <w:jc w:val="right"/>
              <w:rPr>
                <w:noProof/>
                <w:sz w:val="22"/>
              </w:rPr>
            </w:pPr>
          </w:p>
        </w:tc>
        <w:tc>
          <w:tcPr>
            <w:tcW w:w="1134" w:type="dxa"/>
            <w:vAlign w:val="center"/>
          </w:tcPr>
          <w:p w14:paraId="19B24434" w14:textId="77777777" w:rsidR="00841AC1" w:rsidRPr="00EC5CFB" w:rsidRDefault="00841AC1" w:rsidP="00841AC1">
            <w:pPr>
              <w:spacing w:before="60" w:after="60"/>
              <w:jc w:val="center"/>
              <w:rPr>
                <w:b/>
                <w:noProof/>
                <w:sz w:val="22"/>
                <w:lang w:eastAsia="en-GB"/>
              </w:rPr>
            </w:pPr>
          </w:p>
        </w:tc>
        <w:tc>
          <w:tcPr>
            <w:tcW w:w="1276" w:type="dxa"/>
            <w:vAlign w:val="center"/>
          </w:tcPr>
          <w:p w14:paraId="66EF5069" w14:textId="77777777" w:rsidR="00841AC1" w:rsidRPr="00EC5CFB" w:rsidRDefault="00841AC1" w:rsidP="00841AC1">
            <w:pPr>
              <w:spacing w:before="60" w:after="60"/>
              <w:jc w:val="center"/>
              <w:rPr>
                <w:noProof/>
                <w:sz w:val="22"/>
              </w:rPr>
            </w:pPr>
            <w:r w:rsidRPr="00EC5CFB">
              <w:rPr>
                <w:noProof/>
                <w:sz w:val="22"/>
              </w:rPr>
              <w:t>-3 486,000</w:t>
            </w:r>
          </w:p>
        </w:tc>
        <w:tc>
          <w:tcPr>
            <w:tcW w:w="1134" w:type="dxa"/>
            <w:vAlign w:val="center"/>
          </w:tcPr>
          <w:p w14:paraId="05ECBDF7" w14:textId="77777777" w:rsidR="00841AC1" w:rsidRPr="00EC5CFB" w:rsidRDefault="00841AC1" w:rsidP="00841AC1">
            <w:pPr>
              <w:spacing w:before="60" w:after="60"/>
              <w:jc w:val="center"/>
              <w:rPr>
                <w:b/>
                <w:noProof/>
                <w:sz w:val="22"/>
              </w:rPr>
            </w:pPr>
            <w:r w:rsidRPr="00EC5CFB">
              <w:rPr>
                <w:b/>
                <w:noProof/>
                <w:sz w:val="22"/>
              </w:rPr>
              <w:t>0,000</w:t>
            </w:r>
          </w:p>
        </w:tc>
      </w:tr>
    </w:tbl>
    <w:p w14:paraId="4E3648BF" w14:textId="77777777" w:rsidR="00C87E1E" w:rsidRPr="00EC5CFB" w:rsidRDefault="00C87E1E" w:rsidP="00C87E1E">
      <w:pPr>
        <w:rPr>
          <w:noProof/>
          <w:lang w:eastAsia="en-GB"/>
        </w:rPr>
      </w:pPr>
    </w:p>
    <w:p w14:paraId="13919A69" w14:textId="77777777" w:rsidR="00C87E1E" w:rsidRPr="00EC5CFB" w:rsidRDefault="00C87E1E" w:rsidP="00FB18F4">
      <w:pPr>
        <w:keepNext/>
        <w:outlineLvl w:val="2"/>
        <w:rPr>
          <w:rFonts w:eastAsiaTheme="majorEastAsia"/>
          <w:bCs/>
          <w:i/>
          <w:noProof/>
        </w:rPr>
      </w:pPr>
      <w:bookmarkStart w:id="57" w:name="_Toc514938054"/>
      <w:bookmarkStart w:id="58" w:name="_Toc520485053"/>
      <w:r w:rsidRPr="00EC5CFB">
        <w:rPr>
          <w:i/>
          <w:noProof/>
        </w:rPr>
        <w:t>Tegevusassigneeringutest rahastatav väljund (hinnang)</w:t>
      </w:r>
      <w:bookmarkEnd w:id="57"/>
      <w:bookmarkEnd w:id="58"/>
      <w:r w:rsidRPr="00EC5CFB">
        <w:rPr>
          <w:i/>
          <w:noProof/>
        </w:rPr>
        <w:t xml:space="preserve"> </w:t>
      </w:r>
    </w:p>
    <w:p w14:paraId="53DD6B83" w14:textId="77777777" w:rsidR="00C87E1E" w:rsidRPr="00EC5CFB" w:rsidRDefault="00C87E1E" w:rsidP="00C87E1E">
      <w:pPr>
        <w:tabs>
          <w:tab w:val="num" w:pos="1134"/>
        </w:tabs>
        <w:ind w:left="1134" w:hanging="283"/>
        <w:rPr>
          <w:noProof/>
        </w:rPr>
      </w:pPr>
      <w:r w:rsidRPr="00EC5CFB">
        <w:rPr>
          <w:noProof/>
        </w:rPr>
        <w:t>Ettepanek/algatus hõlmab olemasolevate tegevusassigneeringute kasutamist (muudatusi ei ole):</w:t>
      </w:r>
    </w:p>
    <w:p w14:paraId="7072515C" w14:textId="77777777" w:rsidR="00C87E1E" w:rsidRPr="00EC5CFB" w:rsidRDefault="00C87E1E" w:rsidP="00FB18F4">
      <w:pPr>
        <w:rPr>
          <w:bCs/>
          <w:noProof/>
          <w:lang w:eastAsia="en-GB"/>
        </w:rPr>
      </w:pPr>
    </w:p>
    <w:p w14:paraId="6CA82F47" w14:textId="77777777" w:rsidR="00C87E1E" w:rsidRPr="00EC5CFB" w:rsidRDefault="00C87E1E" w:rsidP="00C87E1E">
      <w:pPr>
        <w:jc w:val="right"/>
        <w:rPr>
          <w:noProof/>
          <w:sz w:val="20"/>
        </w:rPr>
      </w:pPr>
      <w:r w:rsidRPr="00EC5CFB">
        <w:rPr>
          <w:noProof/>
          <w:sz w:val="20"/>
        </w:rPr>
        <w:t>kulukohustuste assigneeringud miljonites eurodes (kolm kohta pärast koma)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87E1E" w:rsidRPr="00EC5CFB" w14:paraId="71A88C1B" w14:textId="77777777" w:rsidTr="00C87E1E">
        <w:trPr>
          <w:jc w:val="center"/>
        </w:trPr>
        <w:tc>
          <w:tcPr>
            <w:tcW w:w="1423" w:type="dxa"/>
            <w:vMerge w:val="restart"/>
            <w:vAlign w:val="center"/>
          </w:tcPr>
          <w:p w14:paraId="0B2AB68D" w14:textId="77777777" w:rsidR="00C87E1E" w:rsidRPr="00EC5CFB" w:rsidRDefault="00C87E1E" w:rsidP="00C87E1E">
            <w:pPr>
              <w:ind w:right="-29"/>
              <w:jc w:val="center"/>
              <w:rPr>
                <w:b/>
                <w:noProof/>
                <w:sz w:val="18"/>
                <w:szCs w:val="18"/>
              </w:rPr>
            </w:pPr>
            <w:r w:rsidRPr="00EC5CFB">
              <w:rPr>
                <w:b/>
                <w:noProof/>
                <w:sz w:val="18"/>
              </w:rPr>
              <w:t xml:space="preserve">Märkige eesmärgid ja väljundid </w:t>
            </w:r>
          </w:p>
          <w:p w14:paraId="00A9E72A" w14:textId="77777777" w:rsidR="00C87E1E" w:rsidRPr="00EC5CFB" w:rsidRDefault="00C87E1E" w:rsidP="00C87E1E">
            <w:pPr>
              <w:ind w:right="-29"/>
              <w:jc w:val="center"/>
              <w:rPr>
                <w:b/>
                <w:noProof/>
                <w:sz w:val="18"/>
                <w:szCs w:val="18"/>
                <w:lang w:eastAsia="en-GB"/>
              </w:rPr>
            </w:pPr>
          </w:p>
          <w:p w14:paraId="1115E29E" w14:textId="77777777" w:rsidR="00C87E1E" w:rsidRPr="00EC5CFB" w:rsidRDefault="00C87E1E" w:rsidP="00C87E1E">
            <w:pPr>
              <w:ind w:right="-29"/>
              <w:jc w:val="center"/>
              <w:rPr>
                <w:noProof/>
                <w:sz w:val="18"/>
                <w:szCs w:val="18"/>
              </w:rPr>
            </w:pPr>
            <w:r w:rsidRPr="00EC5CFB">
              <w:rPr>
                <w:noProof/>
                <w:sz w:val="18"/>
              </w:rPr>
              <w:sym w:font="Wingdings" w:char="F0F2"/>
            </w:r>
          </w:p>
        </w:tc>
        <w:tc>
          <w:tcPr>
            <w:tcW w:w="720" w:type="dxa"/>
            <w:vAlign w:val="center"/>
          </w:tcPr>
          <w:p w14:paraId="0FA38F42" w14:textId="77777777" w:rsidR="00C87E1E" w:rsidRPr="00EC5CFB" w:rsidRDefault="00C87E1E" w:rsidP="00C87E1E">
            <w:pPr>
              <w:ind w:right="-29"/>
              <w:jc w:val="center"/>
              <w:rPr>
                <w:noProof/>
                <w:sz w:val="18"/>
                <w:szCs w:val="18"/>
                <w:lang w:eastAsia="en-GB"/>
              </w:rPr>
            </w:pPr>
          </w:p>
        </w:tc>
        <w:tc>
          <w:tcPr>
            <w:tcW w:w="701" w:type="dxa"/>
            <w:vAlign w:val="center"/>
          </w:tcPr>
          <w:p w14:paraId="10BB9D60" w14:textId="77777777" w:rsidR="00C87E1E" w:rsidRPr="00EC5CFB" w:rsidRDefault="00C87E1E" w:rsidP="00C87E1E">
            <w:pPr>
              <w:ind w:right="-29"/>
              <w:jc w:val="center"/>
              <w:rPr>
                <w:noProof/>
                <w:sz w:val="18"/>
                <w:szCs w:val="18"/>
                <w:lang w:eastAsia="en-GB"/>
              </w:rPr>
            </w:pPr>
          </w:p>
        </w:tc>
        <w:tc>
          <w:tcPr>
            <w:tcW w:w="1224" w:type="dxa"/>
            <w:gridSpan w:val="2"/>
            <w:tcBorders>
              <w:left w:val="nil"/>
            </w:tcBorders>
            <w:vAlign w:val="center"/>
          </w:tcPr>
          <w:p w14:paraId="08912529" w14:textId="77777777" w:rsidR="00C87E1E" w:rsidRPr="00EC5CFB" w:rsidRDefault="00C87E1E" w:rsidP="00C87E1E">
            <w:pPr>
              <w:ind w:right="-29"/>
              <w:jc w:val="center"/>
              <w:rPr>
                <w:noProof/>
                <w:sz w:val="18"/>
                <w:szCs w:val="18"/>
              </w:rPr>
            </w:pPr>
            <w:r w:rsidRPr="00EC5CFB">
              <w:rPr>
                <w:noProof/>
                <w:sz w:val="18"/>
              </w:rPr>
              <w:t>Aasta</w:t>
            </w:r>
            <w:r w:rsidRPr="00EC5CFB">
              <w:rPr>
                <w:noProof/>
              </w:rPr>
              <w:t xml:space="preserve"> </w:t>
            </w:r>
            <w:r w:rsidRPr="00EC5CFB">
              <w:rPr>
                <w:noProof/>
              </w:rPr>
              <w:br/>
            </w:r>
            <w:r w:rsidRPr="00EC5CFB">
              <w:rPr>
                <w:b/>
                <w:noProof/>
                <w:sz w:val="18"/>
              </w:rPr>
              <w:t>N</w:t>
            </w:r>
          </w:p>
        </w:tc>
        <w:tc>
          <w:tcPr>
            <w:tcW w:w="1260" w:type="dxa"/>
            <w:gridSpan w:val="2"/>
            <w:vAlign w:val="center"/>
          </w:tcPr>
          <w:p w14:paraId="434B5758" w14:textId="77777777" w:rsidR="00C87E1E" w:rsidRPr="00EC5CFB" w:rsidRDefault="00C87E1E" w:rsidP="00C87E1E">
            <w:pPr>
              <w:ind w:right="-29"/>
              <w:jc w:val="center"/>
              <w:rPr>
                <w:noProof/>
                <w:sz w:val="18"/>
                <w:szCs w:val="18"/>
              </w:rPr>
            </w:pPr>
            <w:r w:rsidRPr="00EC5CFB">
              <w:rPr>
                <w:noProof/>
                <w:sz w:val="18"/>
              </w:rPr>
              <w:t>Aasta</w:t>
            </w:r>
            <w:r w:rsidRPr="00EC5CFB">
              <w:rPr>
                <w:noProof/>
              </w:rPr>
              <w:t xml:space="preserve"> </w:t>
            </w:r>
            <w:r w:rsidRPr="00EC5CFB">
              <w:rPr>
                <w:noProof/>
              </w:rPr>
              <w:br/>
            </w:r>
            <w:r w:rsidRPr="00EC5CFB">
              <w:rPr>
                <w:b/>
                <w:noProof/>
                <w:sz w:val="18"/>
              </w:rPr>
              <w:t>N + 1</w:t>
            </w:r>
          </w:p>
        </w:tc>
        <w:tc>
          <w:tcPr>
            <w:tcW w:w="1440" w:type="dxa"/>
            <w:gridSpan w:val="2"/>
            <w:vAlign w:val="center"/>
          </w:tcPr>
          <w:p w14:paraId="3C62AB11" w14:textId="77777777" w:rsidR="00C87E1E" w:rsidRPr="00EC5CFB" w:rsidRDefault="00C87E1E" w:rsidP="00C87E1E">
            <w:pPr>
              <w:ind w:right="-29"/>
              <w:jc w:val="center"/>
              <w:rPr>
                <w:noProof/>
                <w:sz w:val="18"/>
                <w:szCs w:val="18"/>
              </w:rPr>
            </w:pPr>
            <w:r w:rsidRPr="00EC5CFB">
              <w:rPr>
                <w:noProof/>
                <w:sz w:val="18"/>
              </w:rPr>
              <w:t>Aasta</w:t>
            </w:r>
            <w:r w:rsidRPr="00EC5CFB">
              <w:rPr>
                <w:noProof/>
              </w:rPr>
              <w:t xml:space="preserve"> </w:t>
            </w:r>
            <w:r w:rsidRPr="00EC5CFB">
              <w:rPr>
                <w:noProof/>
              </w:rPr>
              <w:br/>
            </w:r>
            <w:r w:rsidRPr="00EC5CFB">
              <w:rPr>
                <w:b/>
                <w:noProof/>
                <w:sz w:val="18"/>
              </w:rPr>
              <w:t>N + 2</w:t>
            </w:r>
          </w:p>
        </w:tc>
        <w:tc>
          <w:tcPr>
            <w:tcW w:w="1620" w:type="dxa"/>
            <w:gridSpan w:val="3"/>
            <w:vAlign w:val="center"/>
          </w:tcPr>
          <w:p w14:paraId="3049701C" w14:textId="77777777" w:rsidR="00C87E1E" w:rsidRPr="00EC5CFB" w:rsidRDefault="00C87E1E" w:rsidP="00C87E1E">
            <w:pPr>
              <w:ind w:right="-29"/>
              <w:jc w:val="center"/>
              <w:rPr>
                <w:noProof/>
                <w:sz w:val="18"/>
                <w:szCs w:val="18"/>
              </w:rPr>
            </w:pPr>
            <w:r w:rsidRPr="00EC5CFB">
              <w:rPr>
                <w:noProof/>
                <w:sz w:val="18"/>
              </w:rPr>
              <w:t>Aasta</w:t>
            </w:r>
            <w:r w:rsidRPr="00EC5CFB">
              <w:rPr>
                <w:noProof/>
              </w:rPr>
              <w:t xml:space="preserve"> </w:t>
            </w:r>
            <w:r w:rsidRPr="00EC5CFB">
              <w:rPr>
                <w:noProof/>
              </w:rPr>
              <w:br/>
            </w:r>
            <w:r w:rsidRPr="00EC5CFB">
              <w:rPr>
                <w:b/>
                <w:noProof/>
                <w:sz w:val="18"/>
              </w:rPr>
              <w:t>N + 3</w:t>
            </w:r>
          </w:p>
        </w:tc>
        <w:tc>
          <w:tcPr>
            <w:tcW w:w="3600" w:type="dxa"/>
            <w:gridSpan w:val="6"/>
            <w:vAlign w:val="center"/>
          </w:tcPr>
          <w:p w14:paraId="0C5EC036" w14:textId="77777777" w:rsidR="00C87E1E" w:rsidRPr="00EC5CFB" w:rsidRDefault="00C87E1E" w:rsidP="00C87E1E">
            <w:pPr>
              <w:jc w:val="center"/>
              <w:rPr>
                <w:noProof/>
                <w:sz w:val="18"/>
                <w:szCs w:val="18"/>
              </w:rPr>
            </w:pPr>
            <w:r w:rsidRPr="00EC5CFB">
              <w:rPr>
                <w:noProof/>
                <w:sz w:val="18"/>
              </w:rPr>
              <w:t>Lisage vajalik arv aastaid, et kajastada kogu finantsmõju kestust (vt punkt 1.6)</w:t>
            </w:r>
          </w:p>
        </w:tc>
        <w:tc>
          <w:tcPr>
            <w:tcW w:w="1620" w:type="dxa"/>
            <w:gridSpan w:val="2"/>
            <w:tcBorders>
              <w:left w:val="nil"/>
              <w:bottom w:val="nil"/>
            </w:tcBorders>
            <w:vAlign w:val="center"/>
          </w:tcPr>
          <w:p w14:paraId="2A008985" w14:textId="77777777" w:rsidR="00C87E1E" w:rsidRPr="00EC5CFB" w:rsidRDefault="00C87E1E" w:rsidP="00C87E1E">
            <w:pPr>
              <w:ind w:right="-29"/>
              <w:jc w:val="center"/>
              <w:rPr>
                <w:noProof/>
                <w:sz w:val="18"/>
                <w:szCs w:val="18"/>
              </w:rPr>
            </w:pPr>
            <w:r w:rsidRPr="00EC5CFB">
              <w:rPr>
                <w:b/>
                <w:noProof/>
                <w:sz w:val="18"/>
              </w:rPr>
              <w:t>KOKKU</w:t>
            </w:r>
          </w:p>
        </w:tc>
      </w:tr>
      <w:tr w:rsidR="00C87E1E" w:rsidRPr="00EC5CFB" w14:paraId="468ADA8B" w14:textId="77777777" w:rsidTr="00C87E1E">
        <w:trPr>
          <w:jc w:val="center"/>
        </w:trPr>
        <w:tc>
          <w:tcPr>
            <w:tcW w:w="1423" w:type="dxa"/>
            <w:vMerge/>
            <w:vAlign w:val="center"/>
          </w:tcPr>
          <w:p w14:paraId="6A13CB03" w14:textId="77777777" w:rsidR="00C87E1E" w:rsidRPr="00EC5CFB" w:rsidRDefault="00C87E1E" w:rsidP="00C87E1E">
            <w:pPr>
              <w:ind w:right="-29"/>
              <w:jc w:val="center"/>
              <w:rPr>
                <w:noProof/>
                <w:sz w:val="18"/>
                <w:szCs w:val="18"/>
                <w:lang w:eastAsia="en-GB"/>
              </w:rPr>
            </w:pPr>
          </w:p>
        </w:tc>
        <w:tc>
          <w:tcPr>
            <w:tcW w:w="12185" w:type="dxa"/>
            <w:gridSpan w:val="19"/>
            <w:vAlign w:val="center"/>
          </w:tcPr>
          <w:p w14:paraId="14601ED0" w14:textId="77777777" w:rsidR="00C87E1E" w:rsidRPr="00EC5CFB" w:rsidRDefault="00C87E1E" w:rsidP="00C87E1E">
            <w:pPr>
              <w:spacing w:before="60" w:after="60"/>
              <w:ind w:right="-29"/>
              <w:jc w:val="center"/>
              <w:rPr>
                <w:noProof/>
                <w:sz w:val="18"/>
                <w:szCs w:val="18"/>
              </w:rPr>
            </w:pPr>
            <w:r w:rsidRPr="00EC5CFB">
              <w:rPr>
                <w:b/>
                <w:noProof/>
                <w:sz w:val="18"/>
              </w:rPr>
              <w:t>VÄLJUNDID</w:t>
            </w:r>
          </w:p>
        </w:tc>
      </w:tr>
      <w:tr w:rsidR="00C87E1E" w:rsidRPr="00EC5CFB" w14:paraId="20BD9DED" w14:textId="77777777" w:rsidTr="00C87E1E">
        <w:trPr>
          <w:cantSplit/>
          <w:trHeight w:val="1134"/>
          <w:jc w:val="center"/>
        </w:trPr>
        <w:tc>
          <w:tcPr>
            <w:tcW w:w="1423" w:type="dxa"/>
            <w:vMerge/>
            <w:vAlign w:val="center"/>
          </w:tcPr>
          <w:p w14:paraId="57EEDD30" w14:textId="77777777" w:rsidR="00C87E1E" w:rsidRPr="00EC5CFB" w:rsidRDefault="00C87E1E" w:rsidP="00C87E1E">
            <w:pPr>
              <w:rPr>
                <w:noProof/>
                <w:sz w:val="18"/>
                <w:szCs w:val="18"/>
                <w:lang w:eastAsia="en-GB"/>
              </w:rPr>
            </w:pPr>
          </w:p>
        </w:tc>
        <w:tc>
          <w:tcPr>
            <w:tcW w:w="720" w:type="dxa"/>
            <w:vAlign w:val="center"/>
          </w:tcPr>
          <w:p w14:paraId="01A85A5A" w14:textId="77777777" w:rsidR="00C87E1E" w:rsidRPr="00EC5CFB" w:rsidRDefault="00C87E1E" w:rsidP="00C87E1E">
            <w:pPr>
              <w:jc w:val="center"/>
              <w:rPr>
                <w:noProof/>
                <w:sz w:val="18"/>
                <w:szCs w:val="18"/>
              </w:rPr>
            </w:pPr>
            <w:r w:rsidRPr="00EC5CFB">
              <w:rPr>
                <w:noProof/>
                <w:sz w:val="18"/>
              </w:rPr>
              <w:t>Väljundi liik</w:t>
            </w:r>
            <w:r w:rsidRPr="00EC5CFB">
              <w:rPr>
                <w:rStyle w:val="FootnoteReference"/>
                <w:noProof/>
              </w:rPr>
              <w:footnoteReference w:id="26"/>
            </w:r>
          </w:p>
          <w:p w14:paraId="329ECEFE" w14:textId="77777777" w:rsidR="00C87E1E" w:rsidRPr="00EC5CFB" w:rsidRDefault="00C87E1E" w:rsidP="00C87E1E">
            <w:pPr>
              <w:spacing w:before="0" w:after="0"/>
              <w:jc w:val="center"/>
              <w:rPr>
                <w:noProof/>
                <w:sz w:val="18"/>
                <w:szCs w:val="18"/>
                <w:lang w:eastAsia="en-GB"/>
              </w:rPr>
            </w:pPr>
          </w:p>
        </w:tc>
        <w:tc>
          <w:tcPr>
            <w:tcW w:w="701" w:type="dxa"/>
            <w:vAlign w:val="center"/>
          </w:tcPr>
          <w:p w14:paraId="1177A4C5" w14:textId="77777777" w:rsidR="00C87E1E" w:rsidRPr="00EC5CFB" w:rsidRDefault="00C87E1E" w:rsidP="00C87E1E">
            <w:pPr>
              <w:jc w:val="center"/>
              <w:rPr>
                <w:noProof/>
                <w:sz w:val="18"/>
                <w:szCs w:val="18"/>
              </w:rPr>
            </w:pPr>
            <w:r w:rsidRPr="00EC5CFB">
              <w:rPr>
                <w:noProof/>
                <w:sz w:val="18"/>
              </w:rPr>
              <w:t>Keskmine kulu</w:t>
            </w:r>
          </w:p>
        </w:tc>
        <w:tc>
          <w:tcPr>
            <w:tcW w:w="504" w:type="dxa"/>
            <w:tcBorders>
              <w:left w:val="nil"/>
              <w:right w:val="dashSmallGap" w:sz="4" w:space="0" w:color="auto"/>
            </w:tcBorders>
            <w:shd w:val="pct10" w:color="auto" w:fill="auto"/>
            <w:textDirection w:val="btLr"/>
            <w:vAlign w:val="center"/>
          </w:tcPr>
          <w:p w14:paraId="35F8C4EA" w14:textId="77777777" w:rsidR="00C87E1E" w:rsidRPr="00EC5CFB" w:rsidRDefault="00C87E1E" w:rsidP="00C87E1E">
            <w:pPr>
              <w:ind w:left="113" w:right="113"/>
              <w:jc w:val="center"/>
              <w:rPr>
                <w:noProof/>
                <w:sz w:val="18"/>
                <w:szCs w:val="18"/>
              </w:rPr>
            </w:pPr>
            <w:r w:rsidRPr="00EC5CFB">
              <w:rPr>
                <w:noProof/>
                <w:sz w:val="18"/>
              </w:rPr>
              <w:t>Arv</w:t>
            </w:r>
          </w:p>
        </w:tc>
        <w:tc>
          <w:tcPr>
            <w:tcW w:w="720" w:type="dxa"/>
            <w:tcBorders>
              <w:left w:val="dashSmallGap" w:sz="4" w:space="0" w:color="auto"/>
            </w:tcBorders>
            <w:shd w:val="pct10" w:color="auto" w:fill="auto"/>
            <w:vAlign w:val="center"/>
          </w:tcPr>
          <w:p w14:paraId="23A70EB4" w14:textId="77777777" w:rsidR="00C87E1E" w:rsidRPr="00EC5CFB" w:rsidRDefault="00C87E1E" w:rsidP="00C87E1E">
            <w:pPr>
              <w:jc w:val="center"/>
              <w:rPr>
                <w:noProof/>
                <w:sz w:val="18"/>
                <w:szCs w:val="18"/>
              </w:rPr>
            </w:pPr>
            <w:r w:rsidRPr="00EC5CFB">
              <w:rPr>
                <w:noProof/>
                <w:sz w:val="18"/>
              </w:rPr>
              <w:t>Kulu</w:t>
            </w:r>
          </w:p>
        </w:tc>
        <w:tc>
          <w:tcPr>
            <w:tcW w:w="540" w:type="dxa"/>
            <w:tcBorders>
              <w:right w:val="dashSmallGap" w:sz="4" w:space="0" w:color="auto"/>
            </w:tcBorders>
            <w:shd w:val="pct10" w:color="auto" w:fill="auto"/>
            <w:textDirection w:val="btLr"/>
            <w:vAlign w:val="center"/>
          </w:tcPr>
          <w:p w14:paraId="5AEBC856" w14:textId="77777777" w:rsidR="00C87E1E" w:rsidRPr="00EC5CFB" w:rsidRDefault="00C87E1E" w:rsidP="00C87E1E">
            <w:pPr>
              <w:ind w:left="113" w:right="113"/>
              <w:jc w:val="center"/>
              <w:rPr>
                <w:noProof/>
                <w:sz w:val="18"/>
                <w:szCs w:val="18"/>
              </w:rPr>
            </w:pPr>
            <w:r w:rsidRPr="00EC5CFB">
              <w:rPr>
                <w:noProof/>
                <w:sz w:val="18"/>
              </w:rPr>
              <w:t>Arv</w:t>
            </w:r>
          </w:p>
        </w:tc>
        <w:tc>
          <w:tcPr>
            <w:tcW w:w="720" w:type="dxa"/>
            <w:tcBorders>
              <w:left w:val="dashSmallGap" w:sz="4" w:space="0" w:color="auto"/>
            </w:tcBorders>
            <w:shd w:val="pct10" w:color="auto" w:fill="auto"/>
            <w:vAlign w:val="center"/>
          </w:tcPr>
          <w:p w14:paraId="227166E2" w14:textId="77777777" w:rsidR="00C87E1E" w:rsidRPr="00EC5CFB" w:rsidRDefault="00C87E1E" w:rsidP="00C87E1E">
            <w:pPr>
              <w:jc w:val="center"/>
              <w:rPr>
                <w:noProof/>
                <w:sz w:val="18"/>
                <w:szCs w:val="18"/>
              </w:rPr>
            </w:pPr>
            <w:r w:rsidRPr="00EC5CFB">
              <w:rPr>
                <w:noProof/>
                <w:sz w:val="18"/>
              </w:rPr>
              <w:t>Kulu</w:t>
            </w:r>
          </w:p>
        </w:tc>
        <w:tc>
          <w:tcPr>
            <w:tcW w:w="720" w:type="dxa"/>
            <w:tcBorders>
              <w:right w:val="dashSmallGap" w:sz="4" w:space="0" w:color="auto"/>
            </w:tcBorders>
            <w:shd w:val="pct10" w:color="auto" w:fill="auto"/>
            <w:textDirection w:val="btLr"/>
            <w:vAlign w:val="center"/>
          </w:tcPr>
          <w:p w14:paraId="7384A532" w14:textId="77777777" w:rsidR="00C87E1E" w:rsidRPr="00EC5CFB" w:rsidRDefault="00C87E1E" w:rsidP="00C87E1E">
            <w:pPr>
              <w:ind w:left="113" w:right="113"/>
              <w:jc w:val="center"/>
              <w:rPr>
                <w:noProof/>
                <w:sz w:val="18"/>
                <w:szCs w:val="18"/>
              </w:rPr>
            </w:pPr>
            <w:r w:rsidRPr="00EC5CFB">
              <w:rPr>
                <w:noProof/>
                <w:sz w:val="18"/>
              </w:rPr>
              <w:t>Arv</w:t>
            </w:r>
          </w:p>
        </w:tc>
        <w:tc>
          <w:tcPr>
            <w:tcW w:w="720" w:type="dxa"/>
            <w:tcBorders>
              <w:left w:val="dashSmallGap" w:sz="4" w:space="0" w:color="auto"/>
            </w:tcBorders>
            <w:shd w:val="pct10" w:color="auto" w:fill="auto"/>
            <w:vAlign w:val="center"/>
          </w:tcPr>
          <w:p w14:paraId="42C258BD" w14:textId="77777777" w:rsidR="00C87E1E" w:rsidRPr="00EC5CFB" w:rsidRDefault="00C87E1E" w:rsidP="00C87E1E">
            <w:pPr>
              <w:jc w:val="center"/>
              <w:rPr>
                <w:noProof/>
                <w:sz w:val="18"/>
                <w:szCs w:val="18"/>
              </w:rPr>
            </w:pPr>
            <w:r w:rsidRPr="00EC5CFB">
              <w:rPr>
                <w:noProof/>
                <w:sz w:val="18"/>
              </w:rPr>
              <w:t>Kulu</w:t>
            </w:r>
          </w:p>
        </w:tc>
        <w:tc>
          <w:tcPr>
            <w:tcW w:w="900" w:type="dxa"/>
            <w:tcBorders>
              <w:right w:val="dashSmallGap" w:sz="4" w:space="0" w:color="auto"/>
            </w:tcBorders>
            <w:shd w:val="pct10" w:color="auto" w:fill="auto"/>
            <w:textDirection w:val="btLr"/>
            <w:vAlign w:val="center"/>
          </w:tcPr>
          <w:p w14:paraId="34D321F4" w14:textId="77777777" w:rsidR="00C87E1E" w:rsidRPr="00EC5CFB" w:rsidRDefault="00C87E1E" w:rsidP="00C87E1E">
            <w:pPr>
              <w:ind w:left="113" w:right="113"/>
              <w:jc w:val="center"/>
              <w:rPr>
                <w:noProof/>
                <w:sz w:val="18"/>
                <w:szCs w:val="18"/>
              </w:rPr>
            </w:pPr>
            <w:r w:rsidRPr="00EC5CFB">
              <w:rPr>
                <w:noProof/>
                <w:sz w:val="18"/>
              </w:rPr>
              <w:t>Arv</w:t>
            </w:r>
          </w:p>
        </w:tc>
        <w:tc>
          <w:tcPr>
            <w:tcW w:w="720" w:type="dxa"/>
            <w:gridSpan w:val="2"/>
            <w:tcBorders>
              <w:left w:val="dashSmallGap" w:sz="4" w:space="0" w:color="auto"/>
            </w:tcBorders>
            <w:shd w:val="pct10" w:color="auto" w:fill="auto"/>
            <w:vAlign w:val="center"/>
          </w:tcPr>
          <w:p w14:paraId="22CA5892" w14:textId="77777777" w:rsidR="00C87E1E" w:rsidRPr="00EC5CFB" w:rsidRDefault="00C87E1E" w:rsidP="00C87E1E">
            <w:pPr>
              <w:jc w:val="center"/>
              <w:rPr>
                <w:noProof/>
                <w:sz w:val="18"/>
                <w:szCs w:val="18"/>
              </w:rPr>
            </w:pPr>
            <w:r w:rsidRPr="00EC5CFB">
              <w:rPr>
                <w:noProof/>
                <w:sz w:val="18"/>
              </w:rPr>
              <w:t>Kulu</w:t>
            </w:r>
          </w:p>
        </w:tc>
        <w:tc>
          <w:tcPr>
            <w:tcW w:w="540" w:type="dxa"/>
            <w:tcBorders>
              <w:right w:val="dashSmallGap" w:sz="4" w:space="0" w:color="auto"/>
            </w:tcBorders>
            <w:shd w:val="pct10" w:color="auto" w:fill="auto"/>
            <w:textDirection w:val="btLr"/>
            <w:vAlign w:val="center"/>
          </w:tcPr>
          <w:p w14:paraId="47B4A517" w14:textId="77777777" w:rsidR="00C87E1E" w:rsidRPr="00EC5CFB" w:rsidRDefault="00C87E1E" w:rsidP="00C87E1E">
            <w:pPr>
              <w:ind w:left="113" w:right="113"/>
              <w:jc w:val="center"/>
              <w:rPr>
                <w:noProof/>
                <w:sz w:val="18"/>
                <w:szCs w:val="18"/>
              </w:rPr>
            </w:pPr>
            <w:r w:rsidRPr="00EC5CFB">
              <w:rPr>
                <w:noProof/>
                <w:sz w:val="18"/>
              </w:rPr>
              <w:t>Arv</w:t>
            </w:r>
          </w:p>
        </w:tc>
        <w:tc>
          <w:tcPr>
            <w:tcW w:w="648" w:type="dxa"/>
            <w:tcBorders>
              <w:left w:val="dashSmallGap" w:sz="4" w:space="0" w:color="auto"/>
            </w:tcBorders>
            <w:shd w:val="pct10" w:color="auto" w:fill="auto"/>
            <w:vAlign w:val="center"/>
          </w:tcPr>
          <w:p w14:paraId="782E4B34" w14:textId="77777777" w:rsidR="00C87E1E" w:rsidRPr="00EC5CFB" w:rsidRDefault="00C87E1E" w:rsidP="00C87E1E">
            <w:pPr>
              <w:jc w:val="center"/>
              <w:rPr>
                <w:noProof/>
                <w:sz w:val="18"/>
                <w:szCs w:val="18"/>
              </w:rPr>
            </w:pPr>
            <w:r w:rsidRPr="00EC5CFB">
              <w:rPr>
                <w:noProof/>
                <w:sz w:val="18"/>
              </w:rPr>
              <w:t>Kulu</w:t>
            </w:r>
          </w:p>
        </w:tc>
        <w:tc>
          <w:tcPr>
            <w:tcW w:w="432" w:type="dxa"/>
            <w:tcBorders>
              <w:right w:val="dashSmallGap" w:sz="4" w:space="0" w:color="auto"/>
            </w:tcBorders>
            <w:shd w:val="pct10" w:color="auto" w:fill="auto"/>
            <w:textDirection w:val="btLr"/>
            <w:vAlign w:val="center"/>
          </w:tcPr>
          <w:p w14:paraId="230800A7" w14:textId="77777777" w:rsidR="00C87E1E" w:rsidRPr="00EC5CFB" w:rsidRDefault="00C87E1E" w:rsidP="00C87E1E">
            <w:pPr>
              <w:ind w:left="113" w:right="113"/>
              <w:jc w:val="center"/>
              <w:rPr>
                <w:noProof/>
                <w:sz w:val="18"/>
                <w:szCs w:val="18"/>
              </w:rPr>
            </w:pPr>
            <w:r w:rsidRPr="00EC5CFB">
              <w:rPr>
                <w:noProof/>
                <w:sz w:val="18"/>
              </w:rPr>
              <w:t>Arv</w:t>
            </w:r>
          </w:p>
        </w:tc>
        <w:tc>
          <w:tcPr>
            <w:tcW w:w="720" w:type="dxa"/>
            <w:tcBorders>
              <w:left w:val="dashSmallGap" w:sz="4" w:space="0" w:color="auto"/>
            </w:tcBorders>
            <w:shd w:val="pct10" w:color="auto" w:fill="auto"/>
            <w:vAlign w:val="center"/>
          </w:tcPr>
          <w:p w14:paraId="050DDCC4" w14:textId="77777777" w:rsidR="00C87E1E" w:rsidRPr="00EC5CFB" w:rsidRDefault="00C87E1E" w:rsidP="00C87E1E">
            <w:pPr>
              <w:jc w:val="center"/>
              <w:rPr>
                <w:noProof/>
                <w:sz w:val="18"/>
                <w:szCs w:val="18"/>
              </w:rPr>
            </w:pPr>
            <w:r w:rsidRPr="00EC5CFB">
              <w:rPr>
                <w:noProof/>
                <w:sz w:val="18"/>
              </w:rPr>
              <w:t>Kulu</w:t>
            </w:r>
          </w:p>
        </w:tc>
        <w:tc>
          <w:tcPr>
            <w:tcW w:w="540" w:type="dxa"/>
            <w:tcBorders>
              <w:right w:val="dashSmallGap" w:sz="4" w:space="0" w:color="auto"/>
            </w:tcBorders>
            <w:shd w:val="pct10" w:color="auto" w:fill="auto"/>
            <w:textDirection w:val="btLr"/>
            <w:vAlign w:val="center"/>
          </w:tcPr>
          <w:p w14:paraId="7FDAF35C" w14:textId="77777777" w:rsidR="00C87E1E" w:rsidRPr="00EC5CFB" w:rsidRDefault="00C87E1E" w:rsidP="00C87E1E">
            <w:pPr>
              <w:ind w:left="113" w:right="113"/>
              <w:jc w:val="center"/>
              <w:rPr>
                <w:noProof/>
                <w:sz w:val="18"/>
                <w:szCs w:val="18"/>
              </w:rPr>
            </w:pPr>
            <w:r w:rsidRPr="00EC5CFB">
              <w:rPr>
                <w:noProof/>
                <w:sz w:val="18"/>
              </w:rPr>
              <w:t>Arv</w:t>
            </w:r>
          </w:p>
        </w:tc>
        <w:tc>
          <w:tcPr>
            <w:tcW w:w="720" w:type="dxa"/>
            <w:tcBorders>
              <w:left w:val="dashSmallGap" w:sz="4" w:space="0" w:color="auto"/>
            </w:tcBorders>
            <w:shd w:val="pct10" w:color="auto" w:fill="auto"/>
            <w:vAlign w:val="center"/>
          </w:tcPr>
          <w:p w14:paraId="0DB71E6A" w14:textId="77777777" w:rsidR="00C87E1E" w:rsidRPr="00EC5CFB" w:rsidRDefault="00C87E1E" w:rsidP="00C87E1E">
            <w:pPr>
              <w:jc w:val="center"/>
              <w:rPr>
                <w:noProof/>
                <w:sz w:val="18"/>
                <w:szCs w:val="18"/>
              </w:rPr>
            </w:pPr>
            <w:r w:rsidRPr="00EC5CFB">
              <w:rPr>
                <w:noProof/>
                <w:sz w:val="18"/>
              </w:rPr>
              <w:t>Kulu</w:t>
            </w:r>
          </w:p>
        </w:tc>
        <w:tc>
          <w:tcPr>
            <w:tcW w:w="720" w:type="dxa"/>
            <w:tcBorders>
              <w:right w:val="dashSmallGap" w:sz="4" w:space="0" w:color="auto"/>
            </w:tcBorders>
            <w:shd w:val="pct10" w:color="auto" w:fill="auto"/>
            <w:vAlign w:val="center"/>
          </w:tcPr>
          <w:p w14:paraId="45168413" w14:textId="77777777" w:rsidR="00C87E1E" w:rsidRPr="00EC5CFB" w:rsidRDefault="00C87E1E" w:rsidP="00C87E1E">
            <w:pPr>
              <w:jc w:val="center"/>
              <w:rPr>
                <w:noProof/>
                <w:sz w:val="18"/>
                <w:szCs w:val="18"/>
              </w:rPr>
            </w:pPr>
            <w:r w:rsidRPr="00EC5CFB">
              <w:rPr>
                <w:noProof/>
                <w:sz w:val="18"/>
              </w:rPr>
              <w:t>Väljundite arv kokku</w:t>
            </w:r>
          </w:p>
        </w:tc>
        <w:tc>
          <w:tcPr>
            <w:tcW w:w="900" w:type="dxa"/>
            <w:tcBorders>
              <w:left w:val="dashSmallGap" w:sz="4" w:space="0" w:color="auto"/>
            </w:tcBorders>
            <w:shd w:val="pct10" w:color="auto" w:fill="auto"/>
            <w:vAlign w:val="center"/>
          </w:tcPr>
          <w:p w14:paraId="0BD5B641" w14:textId="77777777" w:rsidR="00C87E1E" w:rsidRPr="00EC5CFB" w:rsidRDefault="00C87E1E" w:rsidP="00C87E1E">
            <w:pPr>
              <w:jc w:val="center"/>
              <w:rPr>
                <w:noProof/>
                <w:sz w:val="18"/>
                <w:szCs w:val="18"/>
              </w:rPr>
            </w:pPr>
            <w:r w:rsidRPr="00EC5CFB">
              <w:rPr>
                <w:noProof/>
                <w:sz w:val="18"/>
              </w:rPr>
              <w:t>Kulud kokku</w:t>
            </w:r>
          </w:p>
        </w:tc>
      </w:tr>
      <w:tr w:rsidR="00C87E1E" w:rsidRPr="00EC5CFB" w14:paraId="7FEFDAF9" w14:textId="77777777" w:rsidTr="00C87E1E">
        <w:trPr>
          <w:jc w:val="center"/>
        </w:trPr>
        <w:tc>
          <w:tcPr>
            <w:tcW w:w="2844" w:type="dxa"/>
            <w:gridSpan w:val="3"/>
            <w:vAlign w:val="center"/>
          </w:tcPr>
          <w:p w14:paraId="25605D6C" w14:textId="77777777" w:rsidR="00C87E1E" w:rsidRPr="00EC5CFB" w:rsidRDefault="00C87E1E" w:rsidP="00C87E1E">
            <w:pPr>
              <w:spacing w:before="60" w:after="60"/>
              <w:ind w:right="-29"/>
              <w:jc w:val="center"/>
              <w:rPr>
                <w:noProof/>
                <w:sz w:val="18"/>
                <w:szCs w:val="18"/>
              </w:rPr>
            </w:pPr>
            <w:r w:rsidRPr="00EC5CFB">
              <w:rPr>
                <w:noProof/>
                <w:sz w:val="18"/>
              </w:rPr>
              <w:t>ERIEESMÄRK nr 1</w:t>
            </w:r>
            <w:r w:rsidRPr="00EC5CFB">
              <w:rPr>
                <w:rStyle w:val="FootnoteReference"/>
                <w:noProof/>
              </w:rPr>
              <w:footnoteReference w:id="27"/>
            </w:r>
            <w:r w:rsidRPr="00EC5CFB">
              <w:rPr>
                <w:noProof/>
                <w:sz w:val="18"/>
              </w:rPr>
              <w:t>...</w:t>
            </w:r>
          </w:p>
        </w:tc>
        <w:tc>
          <w:tcPr>
            <w:tcW w:w="504" w:type="dxa"/>
            <w:tcBorders>
              <w:top w:val="nil"/>
              <w:left w:val="nil"/>
              <w:bottom w:val="nil"/>
              <w:right w:val="nil"/>
            </w:tcBorders>
          </w:tcPr>
          <w:p w14:paraId="7CECC748"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22A60733" w14:textId="77777777" w:rsidR="00C87E1E" w:rsidRPr="00EC5CFB"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566EF4AF"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9ADD083"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C2523DC"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7DD628C" w14:textId="77777777" w:rsidR="00C87E1E" w:rsidRPr="00EC5CFB"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31A7477" w14:textId="77777777" w:rsidR="00C87E1E" w:rsidRPr="00EC5CFB"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08F2F0BF" w14:textId="77777777" w:rsidR="00C87E1E" w:rsidRPr="00EC5CFB"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B0A77FF" w14:textId="77777777" w:rsidR="00C87E1E" w:rsidRPr="00EC5CFB"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0BAA5CB6" w14:textId="77777777" w:rsidR="00C87E1E" w:rsidRPr="00EC5CFB"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1B37B53"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D8EE462" w14:textId="77777777" w:rsidR="00C87E1E" w:rsidRPr="00EC5CFB"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DDC7D82"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EC7D272"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2E140C0" w14:textId="77777777" w:rsidR="00C87E1E" w:rsidRPr="00EC5CFB"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67DB75A" w14:textId="77777777" w:rsidR="00C87E1E" w:rsidRPr="00EC5CFB" w:rsidRDefault="00C87E1E" w:rsidP="00C87E1E">
            <w:pPr>
              <w:spacing w:before="60" w:after="60"/>
              <w:ind w:right="-29"/>
              <w:jc w:val="center"/>
              <w:rPr>
                <w:noProof/>
                <w:sz w:val="18"/>
                <w:szCs w:val="18"/>
                <w:lang w:eastAsia="en-GB"/>
              </w:rPr>
            </w:pPr>
          </w:p>
        </w:tc>
      </w:tr>
      <w:tr w:rsidR="00C87E1E" w:rsidRPr="00EC5CFB" w14:paraId="2012CE82" w14:textId="77777777" w:rsidTr="00C87E1E">
        <w:trPr>
          <w:trHeight w:hRule="exact" w:val="369"/>
          <w:jc w:val="center"/>
        </w:trPr>
        <w:tc>
          <w:tcPr>
            <w:tcW w:w="1423" w:type="dxa"/>
          </w:tcPr>
          <w:p w14:paraId="2FB07626" w14:textId="77777777" w:rsidR="00C87E1E" w:rsidRPr="00EC5CFB" w:rsidRDefault="00C87E1E" w:rsidP="00C87E1E">
            <w:pPr>
              <w:ind w:right="-29"/>
              <w:jc w:val="center"/>
              <w:rPr>
                <w:noProof/>
                <w:sz w:val="18"/>
                <w:szCs w:val="18"/>
              </w:rPr>
            </w:pPr>
            <w:r w:rsidRPr="00EC5CFB">
              <w:rPr>
                <w:noProof/>
                <w:sz w:val="18"/>
              </w:rPr>
              <w:t>- Väljund</w:t>
            </w:r>
          </w:p>
        </w:tc>
        <w:tc>
          <w:tcPr>
            <w:tcW w:w="720" w:type="dxa"/>
          </w:tcPr>
          <w:p w14:paraId="1FB154AB" w14:textId="77777777" w:rsidR="00C87E1E" w:rsidRPr="00EC5CFB" w:rsidRDefault="00C87E1E" w:rsidP="00C87E1E">
            <w:pPr>
              <w:ind w:right="-29"/>
              <w:jc w:val="center"/>
              <w:rPr>
                <w:noProof/>
                <w:sz w:val="18"/>
                <w:szCs w:val="18"/>
                <w:lang w:eastAsia="en-GB"/>
              </w:rPr>
            </w:pPr>
          </w:p>
        </w:tc>
        <w:tc>
          <w:tcPr>
            <w:tcW w:w="701" w:type="dxa"/>
          </w:tcPr>
          <w:p w14:paraId="7109D4D2" w14:textId="77777777" w:rsidR="00C87E1E" w:rsidRPr="00EC5CFB" w:rsidRDefault="00C87E1E" w:rsidP="00C87E1E">
            <w:pPr>
              <w:ind w:right="-29"/>
              <w:jc w:val="center"/>
              <w:rPr>
                <w:noProof/>
                <w:sz w:val="18"/>
                <w:szCs w:val="18"/>
                <w:lang w:eastAsia="en-GB"/>
              </w:rPr>
            </w:pPr>
          </w:p>
        </w:tc>
        <w:tc>
          <w:tcPr>
            <w:tcW w:w="504" w:type="dxa"/>
            <w:tcBorders>
              <w:right w:val="dashSmallGap" w:sz="4" w:space="0" w:color="auto"/>
            </w:tcBorders>
          </w:tcPr>
          <w:p w14:paraId="21367F0B"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42B47B20" w14:textId="77777777" w:rsidR="00C87E1E" w:rsidRPr="00EC5CFB" w:rsidRDefault="00C87E1E" w:rsidP="00C87E1E">
            <w:pPr>
              <w:ind w:right="-29"/>
              <w:jc w:val="center"/>
              <w:rPr>
                <w:noProof/>
                <w:sz w:val="18"/>
                <w:szCs w:val="18"/>
                <w:lang w:eastAsia="en-GB"/>
              </w:rPr>
            </w:pPr>
          </w:p>
        </w:tc>
        <w:tc>
          <w:tcPr>
            <w:tcW w:w="540" w:type="dxa"/>
            <w:tcBorders>
              <w:right w:val="dashSmallGap" w:sz="4" w:space="0" w:color="auto"/>
            </w:tcBorders>
          </w:tcPr>
          <w:p w14:paraId="20E441F5"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6FC32AD8" w14:textId="77777777" w:rsidR="00C87E1E" w:rsidRPr="00EC5CFB" w:rsidRDefault="00C87E1E" w:rsidP="00C87E1E">
            <w:pPr>
              <w:ind w:right="-29"/>
              <w:jc w:val="center"/>
              <w:rPr>
                <w:noProof/>
                <w:sz w:val="18"/>
                <w:szCs w:val="18"/>
                <w:lang w:eastAsia="en-GB"/>
              </w:rPr>
            </w:pPr>
          </w:p>
        </w:tc>
        <w:tc>
          <w:tcPr>
            <w:tcW w:w="720" w:type="dxa"/>
            <w:tcBorders>
              <w:right w:val="dashSmallGap" w:sz="4" w:space="0" w:color="auto"/>
            </w:tcBorders>
          </w:tcPr>
          <w:p w14:paraId="2D4F8E51"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601377FD" w14:textId="77777777" w:rsidR="00C87E1E" w:rsidRPr="00EC5CFB" w:rsidRDefault="00C87E1E" w:rsidP="00C87E1E">
            <w:pPr>
              <w:ind w:right="-29"/>
              <w:jc w:val="center"/>
              <w:rPr>
                <w:noProof/>
                <w:sz w:val="18"/>
                <w:szCs w:val="18"/>
                <w:lang w:eastAsia="en-GB"/>
              </w:rPr>
            </w:pPr>
          </w:p>
        </w:tc>
        <w:tc>
          <w:tcPr>
            <w:tcW w:w="900" w:type="dxa"/>
            <w:tcBorders>
              <w:right w:val="dashSmallGap" w:sz="4" w:space="0" w:color="auto"/>
            </w:tcBorders>
          </w:tcPr>
          <w:p w14:paraId="65EF1873" w14:textId="77777777" w:rsidR="00C87E1E" w:rsidRPr="00EC5CFB"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2089D111" w14:textId="77777777" w:rsidR="00C87E1E" w:rsidRPr="00EC5CFB" w:rsidRDefault="00C87E1E" w:rsidP="00C87E1E">
            <w:pPr>
              <w:ind w:right="-29"/>
              <w:jc w:val="center"/>
              <w:rPr>
                <w:noProof/>
                <w:sz w:val="18"/>
                <w:szCs w:val="18"/>
                <w:lang w:eastAsia="en-GB"/>
              </w:rPr>
            </w:pPr>
          </w:p>
        </w:tc>
        <w:tc>
          <w:tcPr>
            <w:tcW w:w="540" w:type="dxa"/>
            <w:tcBorders>
              <w:right w:val="dashSmallGap" w:sz="4" w:space="0" w:color="auto"/>
            </w:tcBorders>
          </w:tcPr>
          <w:p w14:paraId="6226321F" w14:textId="77777777" w:rsidR="00C87E1E" w:rsidRPr="00EC5CFB" w:rsidRDefault="00C87E1E" w:rsidP="00C87E1E">
            <w:pPr>
              <w:ind w:right="-29"/>
              <w:jc w:val="center"/>
              <w:rPr>
                <w:noProof/>
                <w:sz w:val="18"/>
                <w:szCs w:val="18"/>
                <w:lang w:eastAsia="en-GB"/>
              </w:rPr>
            </w:pPr>
          </w:p>
        </w:tc>
        <w:tc>
          <w:tcPr>
            <w:tcW w:w="648" w:type="dxa"/>
            <w:tcBorders>
              <w:left w:val="dashSmallGap" w:sz="4" w:space="0" w:color="auto"/>
            </w:tcBorders>
          </w:tcPr>
          <w:p w14:paraId="6E5DAAE6" w14:textId="77777777" w:rsidR="00C87E1E" w:rsidRPr="00EC5CFB" w:rsidRDefault="00C87E1E" w:rsidP="00C87E1E">
            <w:pPr>
              <w:ind w:right="-29"/>
              <w:jc w:val="center"/>
              <w:rPr>
                <w:noProof/>
                <w:sz w:val="18"/>
                <w:szCs w:val="18"/>
                <w:lang w:eastAsia="en-GB"/>
              </w:rPr>
            </w:pPr>
          </w:p>
        </w:tc>
        <w:tc>
          <w:tcPr>
            <w:tcW w:w="432" w:type="dxa"/>
            <w:tcBorders>
              <w:right w:val="dashSmallGap" w:sz="4" w:space="0" w:color="auto"/>
            </w:tcBorders>
          </w:tcPr>
          <w:p w14:paraId="1A721904"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263671D1" w14:textId="77777777" w:rsidR="00C87E1E" w:rsidRPr="00EC5CFB" w:rsidRDefault="00C87E1E" w:rsidP="00C87E1E">
            <w:pPr>
              <w:ind w:right="-29"/>
              <w:jc w:val="center"/>
              <w:rPr>
                <w:noProof/>
                <w:sz w:val="18"/>
                <w:szCs w:val="18"/>
                <w:lang w:eastAsia="en-GB"/>
              </w:rPr>
            </w:pPr>
          </w:p>
        </w:tc>
        <w:tc>
          <w:tcPr>
            <w:tcW w:w="540" w:type="dxa"/>
            <w:tcBorders>
              <w:right w:val="dashSmallGap" w:sz="4" w:space="0" w:color="auto"/>
            </w:tcBorders>
          </w:tcPr>
          <w:p w14:paraId="11B91DB8"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05B5D791" w14:textId="77777777" w:rsidR="00C87E1E" w:rsidRPr="00EC5CFB" w:rsidRDefault="00C87E1E" w:rsidP="00C87E1E">
            <w:pPr>
              <w:ind w:right="-29"/>
              <w:jc w:val="center"/>
              <w:rPr>
                <w:noProof/>
                <w:sz w:val="18"/>
                <w:szCs w:val="18"/>
                <w:lang w:eastAsia="en-GB"/>
              </w:rPr>
            </w:pPr>
          </w:p>
        </w:tc>
        <w:tc>
          <w:tcPr>
            <w:tcW w:w="720" w:type="dxa"/>
          </w:tcPr>
          <w:p w14:paraId="2C1B803D" w14:textId="77777777" w:rsidR="00C87E1E" w:rsidRPr="00EC5CFB" w:rsidRDefault="00C87E1E" w:rsidP="00C87E1E">
            <w:pPr>
              <w:ind w:right="-29"/>
              <w:jc w:val="center"/>
              <w:rPr>
                <w:noProof/>
                <w:sz w:val="18"/>
                <w:szCs w:val="18"/>
                <w:lang w:eastAsia="en-GB"/>
              </w:rPr>
            </w:pPr>
          </w:p>
        </w:tc>
        <w:tc>
          <w:tcPr>
            <w:tcW w:w="900" w:type="dxa"/>
          </w:tcPr>
          <w:p w14:paraId="36135E3B" w14:textId="77777777" w:rsidR="00C87E1E" w:rsidRPr="00EC5CFB" w:rsidRDefault="00C87E1E" w:rsidP="00C87E1E">
            <w:pPr>
              <w:ind w:right="-29"/>
              <w:jc w:val="center"/>
              <w:rPr>
                <w:noProof/>
                <w:sz w:val="18"/>
                <w:szCs w:val="18"/>
                <w:lang w:eastAsia="en-GB"/>
              </w:rPr>
            </w:pPr>
          </w:p>
        </w:tc>
      </w:tr>
      <w:tr w:rsidR="00C87E1E" w:rsidRPr="00EC5CFB" w14:paraId="0925942F" w14:textId="77777777" w:rsidTr="00C87E1E">
        <w:trPr>
          <w:trHeight w:hRule="exact" w:val="369"/>
          <w:jc w:val="center"/>
        </w:trPr>
        <w:tc>
          <w:tcPr>
            <w:tcW w:w="1423" w:type="dxa"/>
          </w:tcPr>
          <w:p w14:paraId="0C89193C" w14:textId="77777777" w:rsidR="00C87E1E" w:rsidRPr="00EC5CFB" w:rsidRDefault="00C87E1E" w:rsidP="00C87E1E">
            <w:pPr>
              <w:ind w:right="-29"/>
              <w:jc w:val="center"/>
              <w:rPr>
                <w:noProof/>
                <w:sz w:val="18"/>
                <w:szCs w:val="18"/>
              </w:rPr>
            </w:pPr>
            <w:r w:rsidRPr="00EC5CFB">
              <w:rPr>
                <w:noProof/>
                <w:sz w:val="18"/>
              </w:rPr>
              <w:t>- Väljund</w:t>
            </w:r>
          </w:p>
        </w:tc>
        <w:tc>
          <w:tcPr>
            <w:tcW w:w="720" w:type="dxa"/>
          </w:tcPr>
          <w:p w14:paraId="0299DBA2" w14:textId="77777777" w:rsidR="00C87E1E" w:rsidRPr="00EC5CFB" w:rsidRDefault="00C87E1E" w:rsidP="00C87E1E">
            <w:pPr>
              <w:ind w:right="-29"/>
              <w:jc w:val="center"/>
              <w:rPr>
                <w:noProof/>
                <w:sz w:val="18"/>
                <w:szCs w:val="18"/>
                <w:lang w:eastAsia="en-GB"/>
              </w:rPr>
            </w:pPr>
          </w:p>
        </w:tc>
        <w:tc>
          <w:tcPr>
            <w:tcW w:w="701" w:type="dxa"/>
          </w:tcPr>
          <w:p w14:paraId="638B783E" w14:textId="77777777" w:rsidR="00C87E1E" w:rsidRPr="00EC5CFB" w:rsidRDefault="00C87E1E" w:rsidP="00C87E1E">
            <w:pPr>
              <w:ind w:right="-29"/>
              <w:jc w:val="center"/>
              <w:rPr>
                <w:noProof/>
                <w:sz w:val="18"/>
                <w:szCs w:val="18"/>
                <w:lang w:eastAsia="en-GB"/>
              </w:rPr>
            </w:pPr>
          </w:p>
        </w:tc>
        <w:tc>
          <w:tcPr>
            <w:tcW w:w="504" w:type="dxa"/>
            <w:tcBorders>
              <w:right w:val="dashSmallGap" w:sz="4" w:space="0" w:color="auto"/>
            </w:tcBorders>
          </w:tcPr>
          <w:p w14:paraId="7890CAAC"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65BC2BC2" w14:textId="77777777" w:rsidR="00C87E1E" w:rsidRPr="00EC5CFB" w:rsidRDefault="00C87E1E" w:rsidP="00C87E1E">
            <w:pPr>
              <w:ind w:right="-29"/>
              <w:jc w:val="center"/>
              <w:rPr>
                <w:noProof/>
                <w:sz w:val="18"/>
                <w:szCs w:val="18"/>
                <w:lang w:eastAsia="en-GB"/>
              </w:rPr>
            </w:pPr>
          </w:p>
        </w:tc>
        <w:tc>
          <w:tcPr>
            <w:tcW w:w="540" w:type="dxa"/>
            <w:tcBorders>
              <w:right w:val="dashSmallGap" w:sz="4" w:space="0" w:color="auto"/>
            </w:tcBorders>
          </w:tcPr>
          <w:p w14:paraId="7EE7944E"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15316495" w14:textId="77777777" w:rsidR="00C87E1E" w:rsidRPr="00EC5CFB" w:rsidRDefault="00C87E1E" w:rsidP="00C87E1E">
            <w:pPr>
              <w:ind w:right="-29"/>
              <w:jc w:val="center"/>
              <w:rPr>
                <w:noProof/>
                <w:sz w:val="18"/>
                <w:szCs w:val="18"/>
                <w:lang w:eastAsia="en-GB"/>
              </w:rPr>
            </w:pPr>
          </w:p>
        </w:tc>
        <w:tc>
          <w:tcPr>
            <w:tcW w:w="720" w:type="dxa"/>
            <w:tcBorders>
              <w:right w:val="dashSmallGap" w:sz="4" w:space="0" w:color="auto"/>
            </w:tcBorders>
          </w:tcPr>
          <w:p w14:paraId="22EC5F81"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61189441" w14:textId="77777777" w:rsidR="00C87E1E" w:rsidRPr="00EC5CFB" w:rsidRDefault="00C87E1E" w:rsidP="00C87E1E">
            <w:pPr>
              <w:ind w:right="-29"/>
              <w:jc w:val="center"/>
              <w:rPr>
                <w:noProof/>
                <w:sz w:val="18"/>
                <w:szCs w:val="18"/>
                <w:lang w:eastAsia="en-GB"/>
              </w:rPr>
            </w:pPr>
          </w:p>
        </w:tc>
        <w:tc>
          <w:tcPr>
            <w:tcW w:w="900" w:type="dxa"/>
            <w:tcBorders>
              <w:right w:val="dashSmallGap" w:sz="4" w:space="0" w:color="auto"/>
            </w:tcBorders>
          </w:tcPr>
          <w:p w14:paraId="06FC6AE4" w14:textId="77777777" w:rsidR="00C87E1E" w:rsidRPr="00EC5CFB"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1C9D682C" w14:textId="77777777" w:rsidR="00C87E1E" w:rsidRPr="00EC5CFB" w:rsidRDefault="00C87E1E" w:rsidP="00C87E1E">
            <w:pPr>
              <w:ind w:right="-29"/>
              <w:jc w:val="center"/>
              <w:rPr>
                <w:noProof/>
                <w:sz w:val="18"/>
                <w:szCs w:val="18"/>
                <w:lang w:eastAsia="en-GB"/>
              </w:rPr>
            </w:pPr>
          </w:p>
        </w:tc>
        <w:tc>
          <w:tcPr>
            <w:tcW w:w="540" w:type="dxa"/>
            <w:tcBorders>
              <w:right w:val="dashSmallGap" w:sz="4" w:space="0" w:color="auto"/>
            </w:tcBorders>
          </w:tcPr>
          <w:p w14:paraId="5DB2346D" w14:textId="77777777" w:rsidR="00C87E1E" w:rsidRPr="00EC5CFB" w:rsidRDefault="00C87E1E" w:rsidP="00C87E1E">
            <w:pPr>
              <w:ind w:right="-29"/>
              <w:jc w:val="center"/>
              <w:rPr>
                <w:noProof/>
                <w:sz w:val="18"/>
                <w:szCs w:val="18"/>
                <w:lang w:eastAsia="en-GB"/>
              </w:rPr>
            </w:pPr>
          </w:p>
        </w:tc>
        <w:tc>
          <w:tcPr>
            <w:tcW w:w="648" w:type="dxa"/>
            <w:tcBorders>
              <w:left w:val="dashSmallGap" w:sz="4" w:space="0" w:color="auto"/>
            </w:tcBorders>
          </w:tcPr>
          <w:p w14:paraId="18922EA3" w14:textId="77777777" w:rsidR="00C87E1E" w:rsidRPr="00EC5CFB" w:rsidRDefault="00C87E1E" w:rsidP="00C87E1E">
            <w:pPr>
              <w:ind w:right="-29"/>
              <w:jc w:val="center"/>
              <w:rPr>
                <w:noProof/>
                <w:sz w:val="18"/>
                <w:szCs w:val="18"/>
                <w:lang w:eastAsia="en-GB"/>
              </w:rPr>
            </w:pPr>
          </w:p>
        </w:tc>
        <w:tc>
          <w:tcPr>
            <w:tcW w:w="432" w:type="dxa"/>
            <w:tcBorders>
              <w:right w:val="dashSmallGap" w:sz="4" w:space="0" w:color="auto"/>
            </w:tcBorders>
          </w:tcPr>
          <w:p w14:paraId="3B13F26A"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0747A620" w14:textId="77777777" w:rsidR="00C87E1E" w:rsidRPr="00EC5CFB" w:rsidRDefault="00C87E1E" w:rsidP="00C87E1E">
            <w:pPr>
              <w:ind w:right="-29"/>
              <w:jc w:val="center"/>
              <w:rPr>
                <w:noProof/>
                <w:sz w:val="18"/>
                <w:szCs w:val="18"/>
                <w:lang w:eastAsia="en-GB"/>
              </w:rPr>
            </w:pPr>
          </w:p>
        </w:tc>
        <w:tc>
          <w:tcPr>
            <w:tcW w:w="540" w:type="dxa"/>
            <w:tcBorders>
              <w:right w:val="dashSmallGap" w:sz="4" w:space="0" w:color="auto"/>
            </w:tcBorders>
          </w:tcPr>
          <w:p w14:paraId="62BCD664" w14:textId="77777777" w:rsidR="00C87E1E" w:rsidRPr="00EC5CFB" w:rsidRDefault="00C87E1E" w:rsidP="00C87E1E">
            <w:pPr>
              <w:ind w:right="-29"/>
              <w:jc w:val="center"/>
              <w:rPr>
                <w:noProof/>
                <w:sz w:val="18"/>
                <w:szCs w:val="18"/>
                <w:lang w:eastAsia="en-GB"/>
              </w:rPr>
            </w:pPr>
          </w:p>
        </w:tc>
        <w:tc>
          <w:tcPr>
            <w:tcW w:w="720" w:type="dxa"/>
            <w:tcBorders>
              <w:left w:val="dashSmallGap" w:sz="4" w:space="0" w:color="auto"/>
            </w:tcBorders>
          </w:tcPr>
          <w:p w14:paraId="0179A016" w14:textId="77777777" w:rsidR="00C87E1E" w:rsidRPr="00EC5CFB" w:rsidRDefault="00C87E1E" w:rsidP="00C87E1E">
            <w:pPr>
              <w:ind w:right="-29"/>
              <w:jc w:val="center"/>
              <w:rPr>
                <w:noProof/>
                <w:sz w:val="18"/>
                <w:szCs w:val="18"/>
                <w:lang w:eastAsia="en-GB"/>
              </w:rPr>
            </w:pPr>
          </w:p>
        </w:tc>
        <w:tc>
          <w:tcPr>
            <w:tcW w:w="720" w:type="dxa"/>
          </w:tcPr>
          <w:p w14:paraId="31FF12BB" w14:textId="77777777" w:rsidR="00C87E1E" w:rsidRPr="00EC5CFB" w:rsidRDefault="00C87E1E" w:rsidP="00C87E1E">
            <w:pPr>
              <w:ind w:right="-29"/>
              <w:jc w:val="center"/>
              <w:rPr>
                <w:noProof/>
                <w:sz w:val="18"/>
                <w:szCs w:val="18"/>
                <w:lang w:eastAsia="en-GB"/>
              </w:rPr>
            </w:pPr>
          </w:p>
        </w:tc>
        <w:tc>
          <w:tcPr>
            <w:tcW w:w="900" w:type="dxa"/>
          </w:tcPr>
          <w:p w14:paraId="217E6641" w14:textId="77777777" w:rsidR="00C87E1E" w:rsidRPr="00EC5CFB" w:rsidRDefault="00C87E1E" w:rsidP="00C87E1E">
            <w:pPr>
              <w:ind w:right="-29"/>
              <w:jc w:val="center"/>
              <w:rPr>
                <w:noProof/>
                <w:sz w:val="18"/>
                <w:szCs w:val="18"/>
                <w:lang w:eastAsia="en-GB"/>
              </w:rPr>
            </w:pPr>
          </w:p>
        </w:tc>
      </w:tr>
      <w:tr w:rsidR="00C87E1E" w:rsidRPr="00EC5CFB" w14:paraId="53759D69" w14:textId="77777777" w:rsidTr="00C87E1E">
        <w:trPr>
          <w:trHeight w:hRule="exact" w:val="369"/>
          <w:jc w:val="center"/>
        </w:trPr>
        <w:tc>
          <w:tcPr>
            <w:tcW w:w="1423" w:type="dxa"/>
          </w:tcPr>
          <w:p w14:paraId="01B292A0" w14:textId="77777777" w:rsidR="00C87E1E" w:rsidRPr="00EC5CFB" w:rsidRDefault="00C87E1E" w:rsidP="00C87E1E">
            <w:pPr>
              <w:ind w:right="-29"/>
              <w:jc w:val="center"/>
              <w:rPr>
                <w:noProof/>
                <w:sz w:val="18"/>
                <w:szCs w:val="18"/>
              </w:rPr>
            </w:pPr>
            <w:r w:rsidRPr="00EC5CFB">
              <w:rPr>
                <w:noProof/>
                <w:sz w:val="18"/>
              </w:rPr>
              <w:t>- Väljund</w:t>
            </w:r>
          </w:p>
        </w:tc>
        <w:tc>
          <w:tcPr>
            <w:tcW w:w="720" w:type="dxa"/>
          </w:tcPr>
          <w:p w14:paraId="3AAFC128" w14:textId="77777777" w:rsidR="00C87E1E" w:rsidRPr="00EC5CFB" w:rsidRDefault="00C87E1E" w:rsidP="00C87E1E">
            <w:pPr>
              <w:ind w:right="-29"/>
              <w:jc w:val="center"/>
              <w:rPr>
                <w:noProof/>
                <w:sz w:val="18"/>
                <w:szCs w:val="18"/>
                <w:lang w:eastAsia="en-GB"/>
              </w:rPr>
            </w:pPr>
          </w:p>
        </w:tc>
        <w:tc>
          <w:tcPr>
            <w:tcW w:w="701" w:type="dxa"/>
          </w:tcPr>
          <w:p w14:paraId="0391E022" w14:textId="77777777" w:rsidR="00C87E1E" w:rsidRPr="00EC5CFB" w:rsidRDefault="00C87E1E" w:rsidP="00C87E1E">
            <w:pPr>
              <w:ind w:right="-29"/>
              <w:jc w:val="center"/>
              <w:rPr>
                <w:noProof/>
                <w:sz w:val="18"/>
                <w:szCs w:val="18"/>
                <w:lang w:eastAsia="en-GB"/>
              </w:rPr>
            </w:pPr>
          </w:p>
        </w:tc>
        <w:tc>
          <w:tcPr>
            <w:tcW w:w="504" w:type="dxa"/>
          </w:tcPr>
          <w:p w14:paraId="0E503AD1" w14:textId="77777777" w:rsidR="00C87E1E" w:rsidRPr="00EC5CFB" w:rsidRDefault="00C87E1E" w:rsidP="00C87E1E">
            <w:pPr>
              <w:ind w:right="-29"/>
              <w:jc w:val="center"/>
              <w:rPr>
                <w:noProof/>
                <w:sz w:val="18"/>
                <w:szCs w:val="18"/>
                <w:lang w:eastAsia="en-GB"/>
              </w:rPr>
            </w:pPr>
          </w:p>
        </w:tc>
        <w:tc>
          <w:tcPr>
            <w:tcW w:w="720" w:type="dxa"/>
          </w:tcPr>
          <w:p w14:paraId="36ED1BD3" w14:textId="77777777" w:rsidR="00C87E1E" w:rsidRPr="00EC5CFB" w:rsidRDefault="00C87E1E" w:rsidP="00C87E1E">
            <w:pPr>
              <w:ind w:right="-29"/>
              <w:jc w:val="center"/>
              <w:rPr>
                <w:noProof/>
                <w:sz w:val="18"/>
                <w:szCs w:val="18"/>
                <w:lang w:eastAsia="en-GB"/>
              </w:rPr>
            </w:pPr>
          </w:p>
        </w:tc>
        <w:tc>
          <w:tcPr>
            <w:tcW w:w="540" w:type="dxa"/>
          </w:tcPr>
          <w:p w14:paraId="41513476" w14:textId="77777777" w:rsidR="00C87E1E" w:rsidRPr="00EC5CFB" w:rsidRDefault="00C87E1E" w:rsidP="00C87E1E">
            <w:pPr>
              <w:ind w:right="-29"/>
              <w:jc w:val="center"/>
              <w:rPr>
                <w:noProof/>
                <w:sz w:val="18"/>
                <w:szCs w:val="18"/>
                <w:lang w:eastAsia="en-GB"/>
              </w:rPr>
            </w:pPr>
          </w:p>
        </w:tc>
        <w:tc>
          <w:tcPr>
            <w:tcW w:w="720" w:type="dxa"/>
          </w:tcPr>
          <w:p w14:paraId="63565F4B" w14:textId="77777777" w:rsidR="00C87E1E" w:rsidRPr="00EC5CFB" w:rsidRDefault="00C87E1E" w:rsidP="00C87E1E">
            <w:pPr>
              <w:ind w:right="-29"/>
              <w:jc w:val="center"/>
              <w:rPr>
                <w:noProof/>
                <w:sz w:val="18"/>
                <w:szCs w:val="18"/>
                <w:lang w:eastAsia="en-GB"/>
              </w:rPr>
            </w:pPr>
          </w:p>
        </w:tc>
        <w:tc>
          <w:tcPr>
            <w:tcW w:w="720" w:type="dxa"/>
          </w:tcPr>
          <w:p w14:paraId="0392A494" w14:textId="77777777" w:rsidR="00C87E1E" w:rsidRPr="00EC5CFB" w:rsidRDefault="00C87E1E" w:rsidP="00C87E1E">
            <w:pPr>
              <w:ind w:right="-29"/>
              <w:jc w:val="center"/>
              <w:rPr>
                <w:noProof/>
                <w:sz w:val="18"/>
                <w:szCs w:val="18"/>
                <w:lang w:eastAsia="en-GB"/>
              </w:rPr>
            </w:pPr>
          </w:p>
        </w:tc>
        <w:tc>
          <w:tcPr>
            <w:tcW w:w="720" w:type="dxa"/>
          </w:tcPr>
          <w:p w14:paraId="2BC07D8F" w14:textId="77777777" w:rsidR="00C87E1E" w:rsidRPr="00EC5CFB" w:rsidRDefault="00C87E1E" w:rsidP="00C87E1E">
            <w:pPr>
              <w:ind w:right="-29"/>
              <w:jc w:val="center"/>
              <w:rPr>
                <w:noProof/>
                <w:sz w:val="18"/>
                <w:szCs w:val="18"/>
                <w:lang w:eastAsia="en-GB"/>
              </w:rPr>
            </w:pPr>
          </w:p>
        </w:tc>
        <w:tc>
          <w:tcPr>
            <w:tcW w:w="900" w:type="dxa"/>
          </w:tcPr>
          <w:p w14:paraId="129DAED8" w14:textId="77777777" w:rsidR="00C87E1E" w:rsidRPr="00EC5CFB" w:rsidRDefault="00C87E1E" w:rsidP="00C87E1E">
            <w:pPr>
              <w:ind w:right="-29"/>
              <w:jc w:val="center"/>
              <w:rPr>
                <w:noProof/>
                <w:sz w:val="18"/>
                <w:szCs w:val="18"/>
                <w:lang w:eastAsia="en-GB"/>
              </w:rPr>
            </w:pPr>
          </w:p>
        </w:tc>
        <w:tc>
          <w:tcPr>
            <w:tcW w:w="720" w:type="dxa"/>
            <w:gridSpan w:val="2"/>
          </w:tcPr>
          <w:p w14:paraId="46494A6B" w14:textId="77777777" w:rsidR="00C87E1E" w:rsidRPr="00EC5CFB" w:rsidRDefault="00C87E1E" w:rsidP="00C87E1E">
            <w:pPr>
              <w:ind w:right="-29"/>
              <w:jc w:val="center"/>
              <w:rPr>
                <w:noProof/>
                <w:sz w:val="18"/>
                <w:szCs w:val="18"/>
                <w:lang w:eastAsia="en-GB"/>
              </w:rPr>
            </w:pPr>
          </w:p>
        </w:tc>
        <w:tc>
          <w:tcPr>
            <w:tcW w:w="540" w:type="dxa"/>
          </w:tcPr>
          <w:p w14:paraId="04B8BC52" w14:textId="77777777" w:rsidR="00C87E1E" w:rsidRPr="00EC5CFB" w:rsidRDefault="00C87E1E" w:rsidP="00C87E1E">
            <w:pPr>
              <w:ind w:right="-29"/>
              <w:jc w:val="center"/>
              <w:rPr>
                <w:noProof/>
                <w:sz w:val="18"/>
                <w:szCs w:val="18"/>
                <w:lang w:eastAsia="en-GB"/>
              </w:rPr>
            </w:pPr>
          </w:p>
        </w:tc>
        <w:tc>
          <w:tcPr>
            <w:tcW w:w="648" w:type="dxa"/>
          </w:tcPr>
          <w:p w14:paraId="3E1D5A46" w14:textId="77777777" w:rsidR="00C87E1E" w:rsidRPr="00EC5CFB" w:rsidRDefault="00C87E1E" w:rsidP="00C87E1E">
            <w:pPr>
              <w:ind w:right="-29"/>
              <w:jc w:val="center"/>
              <w:rPr>
                <w:noProof/>
                <w:sz w:val="18"/>
                <w:szCs w:val="18"/>
                <w:lang w:eastAsia="en-GB"/>
              </w:rPr>
            </w:pPr>
          </w:p>
        </w:tc>
        <w:tc>
          <w:tcPr>
            <w:tcW w:w="432" w:type="dxa"/>
          </w:tcPr>
          <w:p w14:paraId="071D0A06" w14:textId="77777777" w:rsidR="00C87E1E" w:rsidRPr="00EC5CFB" w:rsidRDefault="00C87E1E" w:rsidP="00C87E1E">
            <w:pPr>
              <w:ind w:right="-29"/>
              <w:jc w:val="center"/>
              <w:rPr>
                <w:noProof/>
                <w:sz w:val="18"/>
                <w:szCs w:val="18"/>
                <w:lang w:eastAsia="en-GB"/>
              </w:rPr>
            </w:pPr>
          </w:p>
        </w:tc>
        <w:tc>
          <w:tcPr>
            <w:tcW w:w="720" w:type="dxa"/>
          </w:tcPr>
          <w:p w14:paraId="00162C73" w14:textId="77777777" w:rsidR="00C87E1E" w:rsidRPr="00EC5CFB" w:rsidRDefault="00C87E1E" w:rsidP="00C87E1E">
            <w:pPr>
              <w:ind w:right="-29"/>
              <w:jc w:val="center"/>
              <w:rPr>
                <w:noProof/>
                <w:sz w:val="18"/>
                <w:szCs w:val="18"/>
                <w:lang w:eastAsia="en-GB"/>
              </w:rPr>
            </w:pPr>
          </w:p>
        </w:tc>
        <w:tc>
          <w:tcPr>
            <w:tcW w:w="540" w:type="dxa"/>
          </w:tcPr>
          <w:p w14:paraId="6DB3E7F4" w14:textId="77777777" w:rsidR="00C87E1E" w:rsidRPr="00EC5CFB" w:rsidRDefault="00C87E1E" w:rsidP="00C87E1E">
            <w:pPr>
              <w:ind w:right="-29"/>
              <w:jc w:val="center"/>
              <w:rPr>
                <w:noProof/>
                <w:sz w:val="18"/>
                <w:szCs w:val="18"/>
                <w:lang w:eastAsia="en-GB"/>
              </w:rPr>
            </w:pPr>
          </w:p>
        </w:tc>
        <w:tc>
          <w:tcPr>
            <w:tcW w:w="720" w:type="dxa"/>
          </w:tcPr>
          <w:p w14:paraId="29D673FB" w14:textId="77777777" w:rsidR="00C87E1E" w:rsidRPr="00EC5CFB" w:rsidRDefault="00C87E1E" w:rsidP="00C87E1E">
            <w:pPr>
              <w:ind w:right="-29"/>
              <w:jc w:val="center"/>
              <w:rPr>
                <w:noProof/>
                <w:sz w:val="18"/>
                <w:szCs w:val="18"/>
                <w:lang w:eastAsia="en-GB"/>
              </w:rPr>
            </w:pPr>
          </w:p>
        </w:tc>
        <w:tc>
          <w:tcPr>
            <w:tcW w:w="720" w:type="dxa"/>
          </w:tcPr>
          <w:p w14:paraId="232C1A82" w14:textId="77777777" w:rsidR="00C87E1E" w:rsidRPr="00EC5CFB" w:rsidRDefault="00C87E1E" w:rsidP="00C87E1E">
            <w:pPr>
              <w:ind w:right="-29"/>
              <w:jc w:val="center"/>
              <w:rPr>
                <w:noProof/>
                <w:sz w:val="18"/>
                <w:szCs w:val="18"/>
                <w:lang w:eastAsia="en-GB"/>
              </w:rPr>
            </w:pPr>
          </w:p>
        </w:tc>
        <w:tc>
          <w:tcPr>
            <w:tcW w:w="900" w:type="dxa"/>
          </w:tcPr>
          <w:p w14:paraId="6E01BB26" w14:textId="77777777" w:rsidR="00C87E1E" w:rsidRPr="00EC5CFB" w:rsidRDefault="00C87E1E" w:rsidP="00C87E1E">
            <w:pPr>
              <w:ind w:right="-29"/>
              <w:jc w:val="center"/>
              <w:rPr>
                <w:noProof/>
                <w:sz w:val="18"/>
                <w:szCs w:val="18"/>
                <w:lang w:eastAsia="en-GB"/>
              </w:rPr>
            </w:pPr>
          </w:p>
        </w:tc>
      </w:tr>
      <w:tr w:rsidR="00C87E1E" w:rsidRPr="00EC5CFB" w14:paraId="4C1A5067" w14:textId="77777777" w:rsidTr="00C87E1E">
        <w:trPr>
          <w:trHeight w:val="77"/>
          <w:jc w:val="center"/>
        </w:trPr>
        <w:tc>
          <w:tcPr>
            <w:tcW w:w="2844" w:type="dxa"/>
            <w:gridSpan w:val="3"/>
            <w:tcBorders>
              <w:bottom w:val="single" w:sz="12" w:space="0" w:color="auto"/>
            </w:tcBorders>
            <w:vAlign w:val="center"/>
          </w:tcPr>
          <w:p w14:paraId="6224A1AE" w14:textId="77777777" w:rsidR="00C87E1E" w:rsidRPr="00EC5CFB" w:rsidRDefault="00C87E1E" w:rsidP="00C87E1E">
            <w:pPr>
              <w:ind w:right="-29"/>
              <w:jc w:val="center"/>
              <w:rPr>
                <w:noProof/>
                <w:sz w:val="18"/>
                <w:szCs w:val="18"/>
              </w:rPr>
            </w:pPr>
            <w:r w:rsidRPr="00EC5CFB">
              <w:rPr>
                <w:noProof/>
                <w:sz w:val="18"/>
              </w:rPr>
              <w:t>Erieesmärk nr 1 kokku</w:t>
            </w:r>
          </w:p>
        </w:tc>
        <w:tc>
          <w:tcPr>
            <w:tcW w:w="504" w:type="dxa"/>
            <w:tcBorders>
              <w:bottom w:val="single" w:sz="12" w:space="0" w:color="auto"/>
            </w:tcBorders>
          </w:tcPr>
          <w:p w14:paraId="325B7690"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79E050CB" w14:textId="77777777" w:rsidR="00C87E1E" w:rsidRPr="00EC5CFB" w:rsidRDefault="00C87E1E" w:rsidP="00C87E1E">
            <w:pPr>
              <w:ind w:right="-29"/>
              <w:jc w:val="center"/>
              <w:rPr>
                <w:noProof/>
                <w:sz w:val="18"/>
                <w:szCs w:val="18"/>
                <w:lang w:eastAsia="en-GB"/>
              </w:rPr>
            </w:pPr>
          </w:p>
        </w:tc>
        <w:tc>
          <w:tcPr>
            <w:tcW w:w="540" w:type="dxa"/>
            <w:tcBorders>
              <w:bottom w:val="single" w:sz="12" w:space="0" w:color="auto"/>
            </w:tcBorders>
          </w:tcPr>
          <w:p w14:paraId="2D887DD3"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684FC7B7"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57AD9CEF"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3A6A546B" w14:textId="77777777" w:rsidR="00C87E1E" w:rsidRPr="00EC5CFB" w:rsidRDefault="00C87E1E" w:rsidP="00C87E1E">
            <w:pPr>
              <w:ind w:right="-29"/>
              <w:jc w:val="center"/>
              <w:rPr>
                <w:noProof/>
                <w:sz w:val="18"/>
                <w:szCs w:val="18"/>
                <w:lang w:eastAsia="en-GB"/>
              </w:rPr>
            </w:pPr>
          </w:p>
        </w:tc>
        <w:tc>
          <w:tcPr>
            <w:tcW w:w="900" w:type="dxa"/>
            <w:tcBorders>
              <w:bottom w:val="single" w:sz="12" w:space="0" w:color="auto"/>
            </w:tcBorders>
          </w:tcPr>
          <w:p w14:paraId="1C354D50" w14:textId="77777777" w:rsidR="00C87E1E" w:rsidRPr="00EC5CFB" w:rsidRDefault="00C87E1E" w:rsidP="00C87E1E">
            <w:pPr>
              <w:ind w:right="-29"/>
              <w:jc w:val="center"/>
              <w:rPr>
                <w:noProof/>
                <w:sz w:val="18"/>
                <w:szCs w:val="18"/>
                <w:lang w:eastAsia="en-GB"/>
              </w:rPr>
            </w:pPr>
          </w:p>
        </w:tc>
        <w:tc>
          <w:tcPr>
            <w:tcW w:w="720" w:type="dxa"/>
            <w:gridSpan w:val="2"/>
            <w:tcBorders>
              <w:bottom w:val="single" w:sz="12" w:space="0" w:color="auto"/>
            </w:tcBorders>
          </w:tcPr>
          <w:p w14:paraId="43E3B1A1" w14:textId="77777777" w:rsidR="00C87E1E" w:rsidRPr="00EC5CFB" w:rsidRDefault="00C87E1E" w:rsidP="00C87E1E">
            <w:pPr>
              <w:ind w:right="-29"/>
              <w:jc w:val="center"/>
              <w:rPr>
                <w:noProof/>
                <w:sz w:val="18"/>
                <w:szCs w:val="18"/>
                <w:lang w:eastAsia="en-GB"/>
              </w:rPr>
            </w:pPr>
          </w:p>
        </w:tc>
        <w:tc>
          <w:tcPr>
            <w:tcW w:w="540" w:type="dxa"/>
            <w:tcBorders>
              <w:bottom w:val="single" w:sz="12" w:space="0" w:color="auto"/>
            </w:tcBorders>
          </w:tcPr>
          <w:p w14:paraId="112256D7" w14:textId="77777777" w:rsidR="00C87E1E" w:rsidRPr="00EC5CFB" w:rsidRDefault="00C87E1E" w:rsidP="00C87E1E">
            <w:pPr>
              <w:ind w:right="-29"/>
              <w:jc w:val="center"/>
              <w:rPr>
                <w:noProof/>
                <w:sz w:val="18"/>
                <w:szCs w:val="18"/>
                <w:lang w:eastAsia="en-GB"/>
              </w:rPr>
            </w:pPr>
          </w:p>
        </w:tc>
        <w:tc>
          <w:tcPr>
            <w:tcW w:w="648" w:type="dxa"/>
            <w:tcBorders>
              <w:bottom w:val="single" w:sz="12" w:space="0" w:color="auto"/>
            </w:tcBorders>
          </w:tcPr>
          <w:p w14:paraId="6D6A386A" w14:textId="77777777" w:rsidR="00C87E1E" w:rsidRPr="00EC5CFB" w:rsidRDefault="00C87E1E" w:rsidP="00C87E1E">
            <w:pPr>
              <w:ind w:right="-29"/>
              <w:jc w:val="center"/>
              <w:rPr>
                <w:noProof/>
                <w:sz w:val="18"/>
                <w:szCs w:val="18"/>
                <w:lang w:eastAsia="en-GB"/>
              </w:rPr>
            </w:pPr>
          </w:p>
        </w:tc>
        <w:tc>
          <w:tcPr>
            <w:tcW w:w="432" w:type="dxa"/>
            <w:tcBorders>
              <w:bottom w:val="single" w:sz="12" w:space="0" w:color="auto"/>
            </w:tcBorders>
          </w:tcPr>
          <w:p w14:paraId="1F033132"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58831A36" w14:textId="77777777" w:rsidR="00C87E1E" w:rsidRPr="00EC5CFB" w:rsidRDefault="00C87E1E" w:rsidP="00C87E1E">
            <w:pPr>
              <w:ind w:right="-29"/>
              <w:jc w:val="center"/>
              <w:rPr>
                <w:noProof/>
                <w:sz w:val="18"/>
                <w:szCs w:val="18"/>
                <w:lang w:eastAsia="en-GB"/>
              </w:rPr>
            </w:pPr>
          </w:p>
        </w:tc>
        <w:tc>
          <w:tcPr>
            <w:tcW w:w="540" w:type="dxa"/>
            <w:tcBorders>
              <w:bottom w:val="single" w:sz="12" w:space="0" w:color="auto"/>
            </w:tcBorders>
          </w:tcPr>
          <w:p w14:paraId="38917BA9"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4041C767"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368B9F6C" w14:textId="77777777" w:rsidR="00C87E1E" w:rsidRPr="00EC5CFB" w:rsidRDefault="00C87E1E" w:rsidP="00C87E1E">
            <w:pPr>
              <w:ind w:right="-29"/>
              <w:jc w:val="center"/>
              <w:rPr>
                <w:noProof/>
                <w:sz w:val="18"/>
                <w:szCs w:val="18"/>
                <w:lang w:eastAsia="en-GB"/>
              </w:rPr>
            </w:pPr>
          </w:p>
        </w:tc>
        <w:tc>
          <w:tcPr>
            <w:tcW w:w="900" w:type="dxa"/>
            <w:tcBorders>
              <w:bottom w:val="single" w:sz="12" w:space="0" w:color="auto"/>
            </w:tcBorders>
          </w:tcPr>
          <w:p w14:paraId="256FC661" w14:textId="77777777" w:rsidR="00C87E1E" w:rsidRPr="00EC5CFB" w:rsidRDefault="00C87E1E" w:rsidP="00C87E1E">
            <w:pPr>
              <w:ind w:right="-29"/>
              <w:jc w:val="center"/>
              <w:rPr>
                <w:noProof/>
                <w:sz w:val="18"/>
                <w:szCs w:val="18"/>
                <w:lang w:eastAsia="en-GB"/>
              </w:rPr>
            </w:pPr>
          </w:p>
        </w:tc>
      </w:tr>
      <w:tr w:rsidR="00C87E1E" w:rsidRPr="00EC5CFB" w14:paraId="23AEC987" w14:textId="77777777" w:rsidTr="00C87E1E">
        <w:trPr>
          <w:jc w:val="center"/>
        </w:trPr>
        <w:tc>
          <w:tcPr>
            <w:tcW w:w="2844" w:type="dxa"/>
            <w:gridSpan w:val="3"/>
            <w:vAlign w:val="center"/>
          </w:tcPr>
          <w:p w14:paraId="288B5F1A" w14:textId="77777777" w:rsidR="00C87E1E" w:rsidRPr="00EC5CFB" w:rsidRDefault="00C87E1E" w:rsidP="00C87E1E">
            <w:pPr>
              <w:spacing w:before="60" w:after="60"/>
              <w:ind w:right="-29"/>
              <w:jc w:val="center"/>
              <w:rPr>
                <w:noProof/>
                <w:sz w:val="18"/>
                <w:szCs w:val="18"/>
              </w:rPr>
            </w:pPr>
            <w:r w:rsidRPr="00EC5CFB">
              <w:rPr>
                <w:noProof/>
                <w:sz w:val="18"/>
              </w:rPr>
              <w:t>ERIEESMÄRK nr 2 ...</w:t>
            </w:r>
          </w:p>
        </w:tc>
        <w:tc>
          <w:tcPr>
            <w:tcW w:w="504" w:type="dxa"/>
            <w:tcBorders>
              <w:top w:val="nil"/>
              <w:left w:val="nil"/>
              <w:bottom w:val="nil"/>
              <w:right w:val="nil"/>
            </w:tcBorders>
          </w:tcPr>
          <w:p w14:paraId="05CC4091"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7D59F2B" w14:textId="77777777" w:rsidR="00C87E1E" w:rsidRPr="00EC5CFB"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2947F9B5"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49435A5D"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7EE71CF"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190EBBD" w14:textId="77777777" w:rsidR="00C87E1E" w:rsidRPr="00EC5CFB"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3FB08DD3" w14:textId="77777777" w:rsidR="00C87E1E" w:rsidRPr="00EC5CFB"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733D9B29" w14:textId="77777777" w:rsidR="00C87E1E" w:rsidRPr="00EC5CFB"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1D7666FD" w14:textId="77777777" w:rsidR="00C87E1E" w:rsidRPr="00EC5CFB"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6259AB62" w14:textId="77777777" w:rsidR="00C87E1E" w:rsidRPr="00EC5CFB"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510C6A3"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FA1349C" w14:textId="77777777" w:rsidR="00C87E1E" w:rsidRPr="00EC5CFB"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366BEC89"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55E0F85" w14:textId="77777777" w:rsidR="00C87E1E" w:rsidRPr="00EC5CFB"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48653A8" w14:textId="77777777" w:rsidR="00C87E1E" w:rsidRPr="00EC5CFB"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104434EB" w14:textId="77777777" w:rsidR="00C87E1E" w:rsidRPr="00EC5CFB" w:rsidRDefault="00C87E1E" w:rsidP="00C87E1E">
            <w:pPr>
              <w:spacing w:before="60" w:after="60"/>
              <w:ind w:right="-29"/>
              <w:jc w:val="center"/>
              <w:rPr>
                <w:noProof/>
                <w:sz w:val="18"/>
                <w:szCs w:val="18"/>
                <w:lang w:eastAsia="en-GB"/>
              </w:rPr>
            </w:pPr>
          </w:p>
        </w:tc>
      </w:tr>
      <w:tr w:rsidR="00C87E1E" w:rsidRPr="00EC5CFB" w14:paraId="2C76CD03" w14:textId="77777777" w:rsidTr="00C87E1E">
        <w:trPr>
          <w:trHeight w:hRule="exact" w:val="369"/>
          <w:jc w:val="center"/>
        </w:trPr>
        <w:tc>
          <w:tcPr>
            <w:tcW w:w="1423" w:type="dxa"/>
          </w:tcPr>
          <w:p w14:paraId="037615B1" w14:textId="77777777" w:rsidR="00C87E1E" w:rsidRPr="00EC5CFB" w:rsidRDefault="00C87E1E" w:rsidP="00C87E1E">
            <w:pPr>
              <w:ind w:right="-29"/>
              <w:jc w:val="center"/>
              <w:rPr>
                <w:noProof/>
                <w:sz w:val="18"/>
                <w:szCs w:val="18"/>
              </w:rPr>
            </w:pPr>
            <w:r w:rsidRPr="00EC5CFB">
              <w:rPr>
                <w:noProof/>
                <w:sz w:val="18"/>
              </w:rPr>
              <w:t>- Väljund</w:t>
            </w:r>
          </w:p>
        </w:tc>
        <w:tc>
          <w:tcPr>
            <w:tcW w:w="720" w:type="dxa"/>
          </w:tcPr>
          <w:p w14:paraId="642ACC04" w14:textId="77777777" w:rsidR="00C87E1E" w:rsidRPr="00EC5CFB" w:rsidRDefault="00C87E1E" w:rsidP="00C87E1E">
            <w:pPr>
              <w:ind w:right="-29"/>
              <w:jc w:val="center"/>
              <w:rPr>
                <w:noProof/>
                <w:sz w:val="18"/>
                <w:szCs w:val="18"/>
                <w:lang w:eastAsia="en-GB"/>
              </w:rPr>
            </w:pPr>
          </w:p>
        </w:tc>
        <w:tc>
          <w:tcPr>
            <w:tcW w:w="701" w:type="dxa"/>
          </w:tcPr>
          <w:p w14:paraId="58E18F71" w14:textId="77777777" w:rsidR="00C87E1E" w:rsidRPr="00EC5CFB" w:rsidRDefault="00C87E1E" w:rsidP="00C87E1E">
            <w:pPr>
              <w:ind w:right="-29"/>
              <w:jc w:val="center"/>
              <w:rPr>
                <w:noProof/>
                <w:sz w:val="18"/>
                <w:szCs w:val="18"/>
                <w:lang w:eastAsia="en-GB"/>
              </w:rPr>
            </w:pPr>
          </w:p>
        </w:tc>
        <w:tc>
          <w:tcPr>
            <w:tcW w:w="504" w:type="dxa"/>
          </w:tcPr>
          <w:p w14:paraId="6048C1A8" w14:textId="77777777" w:rsidR="00C87E1E" w:rsidRPr="00EC5CFB" w:rsidRDefault="00C87E1E" w:rsidP="00C87E1E">
            <w:pPr>
              <w:ind w:right="-29"/>
              <w:jc w:val="center"/>
              <w:rPr>
                <w:noProof/>
                <w:sz w:val="18"/>
                <w:szCs w:val="18"/>
                <w:lang w:eastAsia="en-GB"/>
              </w:rPr>
            </w:pPr>
          </w:p>
        </w:tc>
        <w:tc>
          <w:tcPr>
            <w:tcW w:w="720" w:type="dxa"/>
          </w:tcPr>
          <w:p w14:paraId="623A418A" w14:textId="77777777" w:rsidR="00C87E1E" w:rsidRPr="00EC5CFB" w:rsidRDefault="00C87E1E" w:rsidP="00C87E1E">
            <w:pPr>
              <w:ind w:right="-29"/>
              <w:jc w:val="center"/>
              <w:rPr>
                <w:noProof/>
                <w:sz w:val="18"/>
                <w:szCs w:val="18"/>
                <w:lang w:eastAsia="en-GB"/>
              </w:rPr>
            </w:pPr>
          </w:p>
        </w:tc>
        <w:tc>
          <w:tcPr>
            <w:tcW w:w="540" w:type="dxa"/>
          </w:tcPr>
          <w:p w14:paraId="6FF14078" w14:textId="77777777" w:rsidR="00C87E1E" w:rsidRPr="00EC5CFB" w:rsidRDefault="00C87E1E" w:rsidP="00C87E1E">
            <w:pPr>
              <w:ind w:right="-29"/>
              <w:jc w:val="center"/>
              <w:rPr>
                <w:noProof/>
                <w:sz w:val="18"/>
                <w:szCs w:val="18"/>
                <w:lang w:eastAsia="en-GB"/>
              </w:rPr>
            </w:pPr>
          </w:p>
        </w:tc>
        <w:tc>
          <w:tcPr>
            <w:tcW w:w="720" w:type="dxa"/>
          </w:tcPr>
          <w:p w14:paraId="154326AB" w14:textId="77777777" w:rsidR="00C87E1E" w:rsidRPr="00EC5CFB" w:rsidRDefault="00C87E1E" w:rsidP="00C87E1E">
            <w:pPr>
              <w:ind w:right="-29"/>
              <w:jc w:val="center"/>
              <w:rPr>
                <w:noProof/>
                <w:sz w:val="18"/>
                <w:szCs w:val="18"/>
                <w:lang w:eastAsia="en-GB"/>
              </w:rPr>
            </w:pPr>
          </w:p>
        </w:tc>
        <w:tc>
          <w:tcPr>
            <w:tcW w:w="720" w:type="dxa"/>
          </w:tcPr>
          <w:p w14:paraId="4C2F3753" w14:textId="77777777" w:rsidR="00C87E1E" w:rsidRPr="00EC5CFB" w:rsidRDefault="00C87E1E" w:rsidP="00C87E1E">
            <w:pPr>
              <w:ind w:right="-29"/>
              <w:jc w:val="center"/>
              <w:rPr>
                <w:noProof/>
                <w:sz w:val="18"/>
                <w:szCs w:val="18"/>
                <w:lang w:eastAsia="en-GB"/>
              </w:rPr>
            </w:pPr>
          </w:p>
        </w:tc>
        <w:tc>
          <w:tcPr>
            <w:tcW w:w="720" w:type="dxa"/>
          </w:tcPr>
          <w:p w14:paraId="4A6A56C0" w14:textId="77777777" w:rsidR="00C87E1E" w:rsidRPr="00EC5CFB" w:rsidRDefault="00C87E1E" w:rsidP="00C87E1E">
            <w:pPr>
              <w:ind w:right="-29"/>
              <w:jc w:val="center"/>
              <w:rPr>
                <w:noProof/>
                <w:sz w:val="18"/>
                <w:szCs w:val="18"/>
                <w:lang w:eastAsia="en-GB"/>
              </w:rPr>
            </w:pPr>
          </w:p>
        </w:tc>
        <w:tc>
          <w:tcPr>
            <w:tcW w:w="900" w:type="dxa"/>
          </w:tcPr>
          <w:p w14:paraId="6C8ED74B" w14:textId="77777777" w:rsidR="00C87E1E" w:rsidRPr="00EC5CFB" w:rsidRDefault="00C87E1E" w:rsidP="00C87E1E">
            <w:pPr>
              <w:ind w:right="-29"/>
              <w:jc w:val="center"/>
              <w:rPr>
                <w:noProof/>
                <w:sz w:val="18"/>
                <w:szCs w:val="18"/>
                <w:lang w:eastAsia="en-GB"/>
              </w:rPr>
            </w:pPr>
          </w:p>
        </w:tc>
        <w:tc>
          <w:tcPr>
            <w:tcW w:w="720" w:type="dxa"/>
            <w:gridSpan w:val="2"/>
          </w:tcPr>
          <w:p w14:paraId="3EE64664" w14:textId="77777777" w:rsidR="00C87E1E" w:rsidRPr="00EC5CFB" w:rsidRDefault="00C87E1E" w:rsidP="00C87E1E">
            <w:pPr>
              <w:ind w:right="-29"/>
              <w:jc w:val="center"/>
              <w:rPr>
                <w:noProof/>
                <w:sz w:val="18"/>
                <w:szCs w:val="18"/>
                <w:lang w:eastAsia="en-GB"/>
              </w:rPr>
            </w:pPr>
          </w:p>
        </w:tc>
        <w:tc>
          <w:tcPr>
            <w:tcW w:w="540" w:type="dxa"/>
          </w:tcPr>
          <w:p w14:paraId="232744C5" w14:textId="77777777" w:rsidR="00C87E1E" w:rsidRPr="00EC5CFB" w:rsidRDefault="00C87E1E" w:rsidP="00C87E1E">
            <w:pPr>
              <w:ind w:right="-29"/>
              <w:jc w:val="center"/>
              <w:rPr>
                <w:noProof/>
                <w:sz w:val="18"/>
                <w:szCs w:val="18"/>
                <w:lang w:eastAsia="en-GB"/>
              </w:rPr>
            </w:pPr>
          </w:p>
        </w:tc>
        <w:tc>
          <w:tcPr>
            <w:tcW w:w="648" w:type="dxa"/>
          </w:tcPr>
          <w:p w14:paraId="3485F642" w14:textId="77777777" w:rsidR="00C87E1E" w:rsidRPr="00EC5CFB" w:rsidRDefault="00C87E1E" w:rsidP="00C87E1E">
            <w:pPr>
              <w:ind w:right="-29"/>
              <w:jc w:val="center"/>
              <w:rPr>
                <w:noProof/>
                <w:sz w:val="18"/>
                <w:szCs w:val="18"/>
                <w:lang w:eastAsia="en-GB"/>
              </w:rPr>
            </w:pPr>
          </w:p>
        </w:tc>
        <w:tc>
          <w:tcPr>
            <w:tcW w:w="432" w:type="dxa"/>
          </w:tcPr>
          <w:p w14:paraId="124520C4" w14:textId="77777777" w:rsidR="00C87E1E" w:rsidRPr="00EC5CFB" w:rsidRDefault="00C87E1E" w:rsidP="00C87E1E">
            <w:pPr>
              <w:ind w:right="-29"/>
              <w:jc w:val="center"/>
              <w:rPr>
                <w:noProof/>
                <w:sz w:val="18"/>
                <w:szCs w:val="18"/>
                <w:lang w:eastAsia="en-GB"/>
              </w:rPr>
            </w:pPr>
          </w:p>
        </w:tc>
        <w:tc>
          <w:tcPr>
            <w:tcW w:w="720" w:type="dxa"/>
          </w:tcPr>
          <w:p w14:paraId="0106AA11" w14:textId="77777777" w:rsidR="00C87E1E" w:rsidRPr="00EC5CFB" w:rsidRDefault="00C87E1E" w:rsidP="00C87E1E">
            <w:pPr>
              <w:ind w:right="-29"/>
              <w:jc w:val="center"/>
              <w:rPr>
                <w:noProof/>
                <w:sz w:val="18"/>
                <w:szCs w:val="18"/>
                <w:lang w:eastAsia="en-GB"/>
              </w:rPr>
            </w:pPr>
          </w:p>
        </w:tc>
        <w:tc>
          <w:tcPr>
            <w:tcW w:w="540" w:type="dxa"/>
          </w:tcPr>
          <w:p w14:paraId="77B6FDC1" w14:textId="77777777" w:rsidR="00C87E1E" w:rsidRPr="00EC5CFB" w:rsidRDefault="00C87E1E" w:rsidP="00C87E1E">
            <w:pPr>
              <w:ind w:right="-29"/>
              <w:jc w:val="center"/>
              <w:rPr>
                <w:noProof/>
                <w:sz w:val="18"/>
                <w:szCs w:val="18"/>
                <w:lang w:eastAsia="en-GB"/>
              </w:rPr>
            </w:pPr>
          </w:p>
        </w:tc>
        <w:tc>
          <w:tcPr>
            <w:tcW w:w="720" w:type="dxa"/>
          </w:tcPr>
          <w:p w14:paraId="4231BC11" w14:textId="77777777" w:rsidR="00C87E1E" w:rsidRPr="00EC5CFB" w:rsidRDefault="00C87E1E" w:rsidP="00C87E1E">
            <w:pPr>
              <w:ind w:right="-29"/>
              <w:jc w:val="center"/>
              <w:rPr>
                <w:noProof/>
                <w:sz w:val="18"/>
                <w:szCs w:val="18"/>
                <w:lang w:eastAsia="en-GB"/>
              </w:rPr>
            </w:pPr>
          </w:p>
        </w:tc>
        <w:tc>
          <w:tcPr>
            <w:tcW w:w="720" w:type="dxa"/>
          </w:tcPr>
          <w:p w14:paraId="0908AD39" w14:textId="77777777" w:rsidR="00C87E1E" w:rsidRPr="00EC5CFB" w:rsidRDefault="00C87E1E" w:rsidP="00C87E1E">
            <w:pPr>
              <w:ind w:right="-29"/>
              <w:jc w:val="center"/>
              <w:rPr>
                <w:noProof/>
                <w:sz w:val="18"/>
                <w:szCs w:val="18"/>
                <w:lang w:eastAsia="en-GB"/>
              </w:rPr>
            </w:pPr>
          </w:p>
        </w:tc>
        <w:tc>
          <w:tcPr>
            <w:tcW w:w="900" w:type="dxa"/>
          </w:tcPr>
          <w:p w14:paraId="2CEA1D67" w14:textId="77777777" w:rsidR="00C87E1E" w:rsidRPr="00EC5CFB" w:rsidRDefault="00C87E1E" w:rsidP="00C87E1E">
            <w:pPr>
              <w:ind w:right="-29"/>
              <w:jc w:val="center"/>
              <w:rPr>
                <w:noProof/>
                <w:sz w:val="18"/>
                <w:szCs w:val="18"/>
                <w:lang w:eastAsia="en-GB"/>
              </w:rPr>
            </w:pPr>
          </w:p>
        </w:tc>
      </w:tr>
      <w:tr w:rsidR="00C87E1E" w:rsidRPr="00EC5CFB" w14:paraId="758E9BD9" w14:textId="77777777" w:rsidTr="00C87E1E">
        <w:trPr>
          <w:jc w:val="center"/>
        </w:trPr>
        <w:tc>
          <w:tcPr>
            <w:tcW w:w="2844" w:type="dxa"/>
            <w:gridSpan w:val="3"/>
            <w:tcBorders>
              <w:bottom w:val="single" w:sz="12" w:space="0" w:color="auto"/>
            </w:tcBorders>
            <w:vAlign w:val="center"/>
          </w:tcPr>
          <w:p w14:paraId="64A3C8B3" w14:textId="77777777" w:rsidR="00C87E1E" w:rsidRPr="00EC5CFB" w:rsidRDefault="00C87E1E" w:rsidP="00C87E1E">
            <w:pPr>
              <w:jc w:val="center"/>
              <w:rPr>
                <w:noProof/>
                <w:sz w:val="18"/>
                <w:szCs w:val="18"/>
              </w:rPr>
            </w:pPr>
            <w:r w:rsidRPr="00EC5CFB">
              <w:rPr>
                <w:noProof/>
                <w:sz w:val="18"/>
              </w:rPr>
              <w:t>Erieesmärk nr 2 kokku</w:t>
            </w:r>
          </w:p>
        </w:tc>
        <w:tc>
          <w:tcPr>
            <w:tcW w:w="504" w:type="dxa"/>
            <w:tcBorders>
              <w:bottom w:val="single" w:sz="12" w:space="0" w:color="auto"/>
            </w:tcBorders>
          </w:tcPr>
          <w:p w14:paraId="7A576858"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064AF8B3" w14:textId="77777777" w:rsidR="00C87E1E" w:rsidRPr="00EC5CFB" w:rsidRDefault="00C87E1E" w:rsidP="00C87E1E">
            <w:pPr>
              <w:ind w:right="-29"/>
              <w:jc w:val="center"/>
              <w:rPr>
                <w:noProof/>
                <w:sz w:val="18"/>
                <w:szCs w:val="18"/>
                <w:lang w:eastAsia="en-GB"/>
              </w:rPr>
            </w:pPr>
          </w:p>
        </w:tc>
        <w:tc>
          <w:tcPr>
            <w:tcW w:w="540" w:type="dxa"/>
            <w:tcBorders>
              <w:bottom w:val="single" w:sz="12" w:space="0" w:color="auto"/>
            </w:tcBorders>
          </w:tcPr>
          <w:p w14:paraId="0533A0E8"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28B08866"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176D79AA"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5DE1229B" w14:textId="77777777" w:rsidR="00C87E1E" w:rsidRPr="00EC5CFB" w:rsidRDefault="00C87E1E" w:rsidP="00C87E1E">
            <w:pPr>
              <w:ind w:right="-29"/>
              <w:jc w:val="center"/>
              <w:rPr>
                <w:noProof/>
                <w:sz w:val="18"/>
                <w:szCs w:val="18"/>
                <w:lang w:eastAsia="en-GB"/>
              </w:rPr>
            </w:pPr>
          </w:p>
        </w:tc>
        <w:tc>
          <w:tcPr>
            <w:tcW w:w="951" w:type="dxa"/>
            <w:gridSpan w:val="2"/>
            <w:tcBorders>
              <w:bottom w:val="single" w:sz="12" w:space="0" w:color="auto"/>
            </w:tcBorders>
          </w:tcPr>
          <w:p w14:paraId="20F988D3" w14:textId="77777777" w:rsidR="00C87E1E" w:rsidRPr="00EC5CFB" w:rsidRDefault="00C87E1E" w:rsidP="00C87E1E">
            <w:pPr>
              <w:ind w:right="-29"/>
              <w:jc w:val="center"/>
              <w:rPr>
                <w:noProof/>
                <w:sz w:val="18"/>
                <w:szCs w:val="18"/>
                <w:lang w:eastAsia="en-GB"/>
              </w:rPr>
            </w:pPr>
          </w:p>
        </w:tc>
        <w:tc>
          <w:tcPr>
            <w:tcW w:w="669" w:type="dxa"/>
            <w:tcBorders>
              <w:bottom w:val="single" w:sz="12" w:space="0" w:color="auto"/>
            </w:tcBorders>
          </w:tcPr>
          <w:p w14:paraId="2002CB70" w14:textId="77777777" w:rsidR="00C87E1E" w:rsidRPr="00EC5CFB" w:rsidRDefault="00C87E1E" w:rsidP="00C87E1E">
            <w:pPr>
              <w:ind w:right="-29"/>
              <w:jc w:val="center"/>
              <w:rPr>
                <w:noProof/>
                <w:sz w:val="18"/>
                <w:szCs w:val="18"/>
                <w:lang w:eastAsia="en-GB"/>
              </w:rPr>
            </w:pPr>
          </w:p>
        </w:tc>
        <w:tc>
          <w:tcPr>
            <w:tcW w:w="540" w:type="dxa"/>
            <w:tcBorders>
              <w:bottom w:val="single" w:sz="12" w:space="0" w:color="auto"/>
            </w:tcBorders>
          </w:tcPr>
          <w:p w14:paraId="264357CA" w14:textId="77777777" w:rsidR="00C87E1E" w:rsidRPr="00EC5CFB" w:rsidRDefault="00C87E1E" w:rsidP="00C87E1E">
            <w:pPr>
              <w:ind w:right="-29"/>
              <w:jc w:val="center"/>
              <w:rPr>
                <w:noProof/>
                <w:sz w:val="18"/>
                <w:szCs w:val="18"/>
                <w:lang w:eastAsia="en-GB"/>
              </w:rPr>
            </w:pPr>
          </w:p>
        </w:tc>
        <w:tc>
          <w:tcPr>
            <w:tcW w:w="648" w:type="dxa"/>
            <w:tcBorders>
              <w:bottom w:val="single" w:sz="12" w:space="0" w:color="auto"/>
            </w:tcBorders>
          </w:tcPr>
          <w:p w14:paraId="008B9A88" w14:textId="77777777" w:rsidR="00C87E1E" w:rsidRPr="00EC5CFB" w:rsidRDefault="00C87E1E" w:rsidP="00C87E1E">
            <w:pPr>
              <w:ind w:right="-29"/>
              <w:jc w:val="center"/>
              <w:rPr>
                <w:noProof/>
                <w:sz w:val="18"/>
                <w:szCs w:val="18"/>
                <w:lang w:eastAsia="en-GB"/>
              </w:rPr>
            </w:pPr>
          </w:p>
        </w:tc>
        <w:tc>
          <w:tcPr>
            <w:tcW w:w="432" w:type="dxa"/>
            <w:tcBorders>
              <w:bottom w:val="single" w:sz="12" w:space="0" w:color="auto"/>
            </w:tcBorders>
          </w:tcPr>
          <w:p w14:paraId="06B40516"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4333E0E1" w14:textId="77777777" w:rsidR="00C87E1E" w:rsidRPr="00EC5CFB" w:rsidRDefault="00C87E1E" w:rsidP="00C87E1E">
            <w:pPr>
              <w:ind w:right="-29"/>
              <w:jc w:val="center"/>
              <w:rPr>
                <w:noProof/>
                <w:sz w:val="18"/>
                <w:szCs w:val="18"/>
                <w:lang w:eastAsia="en-GB"/>
              </w:rPr>
            </w:pPr>
          </w:p>
        </w:tc>
        <w:tc>
          <w:tcPr>
            <w:tcW w:w="540" w:type="dxa"/>
            <w:tcBorders>
              <w:bottom w:val="single" w:sz="12" w:space="0" w:color="auto"/>
            </w:tcBorders>
          </w:tcPr>
          <w:p w14:paraId="3846EC72"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13E9A556" w14:textId="77777777" w:rsidR="00C87E1E" w:rsidRPr="00EC5CFB" w:rsidRDefault="00C87E1E" w:rsidP="00C87E1E">
            <w:pPr>
              <w:ind w:right="-29"/>
              <w:jc w:val="center"/>
              <w:rPr>
                <w:noProof/>
                <w:sz w:val="18"/>
                <w:szCs w:val="18"/>
                <w:lang w:eastAsia="en-GB"/>
              </w:rPr>
            </w:pPr>
          </w:p>
        </w:tc>
        <w:tc>
          <w:tcPr>
            <w:tcW w:w="720" w:type="dxa"/>
            <w:tcBorders>
              <w:bottom w:val="single" w:sz="12" w:space="0" w:color="auto"/>
            </w:tcBorders>
          </w:tcPr>
          <w:p w14:paraId="05789881" w14:textId="77777777" w:rsidR="00C87E1E" w:rsidRPr="00EC5CFB" w:rsidRDefault="00C87E1E" w:rsidP="00C87E1E">
            <w:pPr>
              <w:ind w:right="-29"/>
              <w:jc w:val="center"/>
              <w:rPr>
                <w:noProof/>
                <w:sz w:val="18"/>
                <w:szCs w:val="18"/>
                <w:lang w:eastAsia="en-GB"/>
              </w:rPr>
            </w:pPr>
          </w:p>
        </w:tc>
        <w:tc>
          <w:tcPr>
            <w:tcW w:w="900" w:type="dxa"/>
            <w:tcBorders>
              <w:bottom w:val="single" w:sz="12" w:space="0" w:color="auto"/>
            </w:tcBorders>
          </w:tcPr>
          <w:p w14:paraId="7E7F528B" w14:textId="77777777" w:rsidR="00C87E1E" w:rsidRPr="00EC5CFB" w:rsidRDefault="00C87E1E" w:rsidP="00C87E1E">
            <w:pPr>
              <w:ind w:right="-29"/>
              <w:jc w:val="center"/>
              <w:rPr>
                <w:noProof/>
                <w:sz w:val="18"/>
                <w:szCs w:val="18"/>
                <w:lang w:eastAsia="en-GB"/>
              </w:rPr>
            </w:pPr>
          </w:p>
        </w:tc>
      </w:tr>
      <w:tr w:rsidR="00C87E1E" w:rsidRPr="00EC5CFB" w14:paraId="7A92B444" w14:textId="77777777" w:rsidTr="00C87E1E">
        <w:trPr>
          <w:jc w:val="center"/>
        </w:trPr>
        <w:tc>
          <w:tcPr>
            <w:tcW w:w="2844" w:type="dxa"/>
            <w:gridSpan w:val="3"/>
            <w:tcBorders>
              <w:top w:val="single" w:sz="12" w:space="0" w:color="auto"/>
              <w:left w:val="single" w:sz="12" w:space="0" w:color="auto"/>
              <w:bottom w:val="single" w:sz="12" w:space="0" w:color="auto"/>
            </w:tcBorders>
            <w:vAlign w:val="center"/>
          </w:tcPr>
          <w:p w14:paraId="7AFDCFAF" w14:textId="77777777" w:rsidR="00C87E1E" w:rsidRPr="00EC5CFB" w:rsidRDefault="00C87E1E" w:rsidP="00C87E1E">
            <w:pPr>
              <w:ind w:right="-29"/>
              <w:jc w:val="center"/>
              <w:rPr>
                <w:noProof/>
                <w:sz w:val="18"/>
                <w:szCs w:val="18"/>
              </w:rPr>
            </w:pPr>
            <w:r w:rsidRPr="00EC5CFB">
              <w:rPr>
                <w:b/>
                <w:noProof/>
                <w:sz w:val="18"/>
              </w:rPr>
              <w:t>KOKKU</w:t>
            </w:r>
          </w:p>
        </w:tc>
        <w:tc>
          <w:tcPr>
            <w:tcW w:w="504" w:type="dxa"/>
            <w:tcBorders>
              <w:top w:val="single" w:sz="12" w:space="0" w:color="auto"/>
              <w:bottom w:val="single" w:sz="12" w:space="0" w:color="auto"/>
            </w:tcBorders>
          </w:tcPr>
          <w:p w14:paraId="76157684"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30708F3B" w14:textId="77777777" w:rsidR="00C87E1E" w:rsidRPr="00EC5CFB"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693385D9"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78A2D79B"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1A36463A"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30EEB8" w14:textId="77777777" w:rsidR="00C87E1E" w:rsidRPr="00EC5CFB"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0342E5E9" w14:textId="77777777" w:rsidR="00C87E1E" w:rsidRPr="00EC5CFB" w:rsidRDefault="00C87E1E" w:rsidP="00C87E1E">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387ABFB0" w14:textId="77777777" w:rsidR="00C87E1E" w:rsidRPr="00EC5CFB"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8188493" w14:textId="77777777" w:rsidR="00C87E1E" w:rsidRPr="00EC5CFB" w:rsidRDefault="00C87E1E" w:rsidP="00C87E1E">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3FA2F0BE" w14:textId="77777777" w:rsidR="00C87E1E" w:rsidRPr="00EC5CFB" w:rsidRDefault="00C87E1E" w:rsidP="00C87E1E">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68FA6DBB"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6A508E6D" w14:textId="77777777" w:rsidR="00C87E1E" w:rsidRPr="00EC5CFB"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2F74D03A"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6518BD" w14:textId="77777777" w:rsidR="00C87E1E" w:rsidRPr="00EC5CFB"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472D211" w14:textId="77777777" w:rsidR="00C87E1E" w:rsidRPr="00EC5CFB"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53F1B3FC" w14:textId="77777777" w:rsidR="00C87E1E" w:rsidRPr="00EC5CFB" w:rsidRDefault="00C87E1E" w:rsidP="00C87E1E">
            <w:pPr>
              <w:spacing w:before="180" w:after="180"/>
              <w:ind w:right="-29"/>
              <w:jc w:val="center"/>
              <w:rPr>
                <w:noProof/>
                <w:sz w:val="18"/>
                <w:szCs w:val="18"/>
                <w:lang w:eastAsia="en-GB"/>
              </w:rPr>
            </w:pPr>
          </w:p>
        </w:tc>
      </w:tr>
    </w:tbl>
    <w:p w14:paraId="691AA038" w14:textId="77777777" w:rsidR="00C87E1E" w:rsidRPr="00EC5CFB" w:rsidRDefault="00C87E1E" w:rsidP="00C87E1E">
      <w:pPr>
        <w:rPr>
          <w:noProof/>
          <w:lang w:eastAsia="en-GB"/>
        </w:rPr>
        <w:sectPr w:rsidR="00C87E1E" w:rsidRPr="00EC5CFB" w:rsidSect="00116713">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3D816693" w14:textId="77777777" w:rsidR="00C87E1E" w:rsidRPr="00EC5CFB" w:rsidRDefault="00C87E1E" w:rsidP="00FB18F4">
      <w:pPr>
        <w:keepNext/>
        <w:outlineLvl w:val="2"/>
        <w:rPr>
          <w:rFonts w:eastAsiaTheme="majorEastAsia"/>
          <w:i/>
          <w:noProof/>
          <w:szCs w:val="24"/>
        </w:rPr>
      </w:pPr>
      <w:bookmarkStart w:id="59" w:name="_Toc514938055"/>
      <w:bookmarkStart w:id="60" w:name="_Toc520485054"/>
      <w:r w:rsidRPr="00EC5CFB">
        <w:rPr>
          <w:i/>
          <w:noProof/>
        </w:rPr>
        <w:t>Hinnanguline mõju haldusassigneeringutele – ülevaade</w:t>
      </w:r>
      <w:bookmarkEnd w:id="59"/>
      <w:bookmarkEnd w:id="60"/>
      <w:r w:rsidRPr="00EC5CFB">
        <w:rPr>
          <w:i/>
          <w:noProof/>
        </w:rPr>
        <w:t xml:space="preserve"> </w:t>
      </w:r>
    </w:p>
    <w:p w14:paraId="2848F443" w14:textId="77777777" w:rsidR="00C87E1E" w:rsidRPr="00EC5CFB" w:rsidRDefault="00C87E1E" w:rsidP="00C87E1E">
      <w:pPr>
        <w:tabs>
          <w:tab w:val="num" w:pos="1134"/>
        </w:tabs>
        <w:ind w:left="1134" w:hanging="283"/>
        <w:rPr>
          <w:noProof/>
        </w:rPr>
      </w:pPr>
      <w:r w:rsidRPr="00EC5CFB">
        <w:rPr>
          <w:b/>
          <w:noProof/>
        </w:rPr>
        <w:t>X</w:t>
      </w:r>
      <w:r w:rsidRPr="00EC5CFB">
        <w:rPr>
          <w:noProof/>
        </w:rPr>
        <w:tab/>
        <w:t xml:space="preserve">Ettepanek/algatus ei hõlma haldusassigneeringute kasutamist </w:t>
      </w:r>
    </w:p>
    <w:p w14:paraId="11CF8689" w14:textId="77777777" w:rsidR="00C87E1E" w:rsidRPr="00EC5CFB" w:rsidRDefault="00C87E1E" w:rsidP="00C87E1E">
      <w:pPr>
        <w:tabs>
          <w:tab w:val="num" w:pos="1134"/>
        </w:tabs>
        <w:ind w:left="1134" w:hanging="283"/>
        <w:rPr>
          <w:noProof/>
        </w:rPr>
      </w:pPr>
      <w:r w:rsidRPr="00EC5CFB">
        <w:rPr>
          <w:noProof/>
        </w:rPr>
        <w:sym w:font="Wingdings" w:char="F0A8"/>
      </w:r>
      <w:r w:rsidRPr="00EC5CFB">
        <w:rPr>
          <w:noProof/>
        </w:rPr>
        <w:tab/>
        <w:t>Ettepanek/algatus hõlmab haldusassigneeringute kasutamist, mis toimub järgmiselt:</w:t>
      </w:r>
    </w:p>
    <w:p w14:paraId="6168E13A" w14:textId="77777777" w:rsidR="00C87E1E" w:rsidRPr="00EC5CFB" w:rsidRDefault="00C87E1E" w:rsidP="00C87E1E">
      <w:pPr>
        <w:jc w:val="right"/>
        <w:rPr>
          <w:noProof/>
          <w:sz w:val="20"/>
        </w:rPr>
      </w:pPr>
      <w:r w:rsidRPr="00EC5CFB">
        <w:rPr>
          <w:noProof/>
          <w:sz w:val="20"/>
        </w:rPr>
        <w:t>miljonites eurodes (kolm kohta pärast koma)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87E1E" w:rsidRPr="00EC5CFB" w14:paraId="4586680C" w14:textId="77777777" w:rsidTr="00C87E1E">
        <w:trPr>
          <w:trHeight w:val="585"/>
        </w:trPr>
        <w:tc>
          <w:tcPr>
            <w:tcW w:w="1980" w:type="dxa"/>
          </w:tcPr>
          <w:p w14:paraId="0F955566" w14:textId="77777777" w:rsidR="00C87E1E" w:rsidRPr="00EC5CFB" w:rsidRDefault="00C87E1E" w:rsidP="00C87E1E">
            <w:pPr>
              <w:spacing w:before="60" w:after="60" w:line="200" w:lineRule="exact"/>
              <w:rPr>
                <w:noProof/>
                <w:sz w:val="16"/>
                <w:szCs w:val="16"/>
                <w:lang w:eastAsia="en-GB"/>
              </w:rPr>
            </w:pPr>
          </w:p>
        </w:tc>
        <w:tc>
          <w:tcPr>
            <w:tcW w:w="1080" w:type="dxa"/>
            <w:vAlign w:val="center"/>
          </w:tcPr>
          <w:p w14:paraId="6EF9F009" w14:textId="77777777" w:rsidR="00C87E1E" w:rsidRPr="00EC5CFB" w:rsidRDefault="00C87E1E" w:rsidP="00C87E1E">
            <w:pPr>
              <w:spacing w:before="60" w:after="60" w:line="200" w:lineRule="exact"/>
              <w:jc w:val="center"/>
              <w:rPr>
                <w:noProof/>
                <w:sz w:val="16"/>
                <w:szCs w:val="16"/>
              </w:rPr>
            </w:pPr>
            <w:r w:rsidRPr="00EC5CFB">
              <w:rPr>
                <w:noProof/>
                <w:sz w:val="16"/>
              </w:rPr>
              <w:t>Aasta</w:t>
            </w:r>
            <w:r w:rsidRPr="00EC5CFB">
              <w:rPr>
                <w:noProof/>
              </w:rPr>
              <w:t xml:space="preserve"> </w:t>
            </w:r>
            <w:r w:rsidRPr="00EC5CFB">
              <w:rPr>
                <w:noProof/>
              </w:rPr>
              <w:br/>
            </w:r>
            <w:r w:rsidRPr="00EC5CFB">
              <w:rPr>
                <w:b/>
                <w:noProof/>
                <w:sz w:val="16"/>
              </w:rPr>
              <w:t xml:space="preserve">N </w:t>
            </w:r>
            <w:r w:rsidRPr="00EC5CFB">
              <w:rPr>
                <w:rStyle w:val="FootnoteReference"/>
                <w:noProof/>
              </w:rPr>
              <w:footnoteReference w:id="28"/>
            </w:r>
          </w:p>
        </w:tc>
        <w:tc>
          <w:tcPr>
            <w:tcW w:w="1080" w:type="dxa"/>
            <w:vAlign w:val="center"/>
          </w:tcPr>
          <w:p w14:paraId="057A7C23" w14:textId="77777777" w:rsidR="00C87E1E" w:rsidRPr="00EC5CFB" w:rsidRDefault="00C87E1E" w:rsidP="00C87E1E">
            <w:pPr>
              <w:spacing w:before="60" w:after="60" w:line="200" w:lineRule="exact"/>
              <w:jc w:val="center"/>
              <w:rPr>
                <w:noProof/>
                <w:sz w:val="16"/>
                <w:szCs w:val="16"/>
              </w:rPr>
            </w:pPr>
            <w:r w:rsidRPr="00EC5CFB">
              <w:rPr>
                <w:noProof/>
                <w:sz w:val="16"/>
              </w:rPr>
              <w:t>Aasta</w:t>
            </w:r>
            <w:r w:rsidRPr="00EC5CFB">
              <w:rPr>
                <w:noProof/>
              </w:rPr>
              <w:t xml:space="preserve"> </w:t>
            </w:r>
            <w:r w:rsidRPr="00EC5CFB">
              <w:rPr>
                <w:noProof/>
              </w:rPr>
              <w:br/>
            </w:r>
            <w:r w:rsidRPr="00EC5CFB">
              <w:rPr>
                <w:b/>
                <w:noProof/>
                <w:sz w:val="16"/>
              </w:rPr>
              <w:t>N + 1</w:t>
            </w:r>
          </w:p>
        </w:tc>
        <w:tc>
          <w:tcPr>
            <w:tcW w:w="1080" w:type="dxa"/>
            <w:vAlign w:val="center"/>
          </w:tcPr>
          <w:p w14:paraId="46F90FB9" w14:textId="77777777" w:rsidR="00C87E1E" w:rsidRPr="00EC5CFB" w:rsidRDefault="00C87E1E" w:rsidP="00C87E1E">
            <w:pPr>
              <w:spacing w:before="60" w:after="60" w:line="200" w:lineRule="exact"/>
              <w:jc w:val="center"/>
              <w:rPr>
                <w:noProof/>
                <w:sz w:val="16"/>
                <w:szCs w:val="16"/>
              </w:rPr>
            </w:pPr>
            <w:r w:rsidRPr="00EC5CFB">
              <w:rPr>
                <w:noProof/>
                <w:sz w:val="16"/>
              </w:rPr>
              <w:t>Aasta</w:t>
            </w:r>
            <w:r w:rsidRPr="00EC5CFB">
              <w:rPr>
                <w:noProof/>
              </w:rPr>
              <w:t xml:space="preserve"> </w:t>
            </w:r>
            <w:r w:rsidRPr="00EC5CFB">
              <w:rPr>
                <w:noProof/>
              </w:rPr>
              <w:br/>
            </w:r>
            <w:r w:rsidRPr="00EC5CFB">
              <w:rPr>
                <w:b/>
                <w:noProof/>
                <w:sz w:val="16"/>
              </w:rPr>
              <w:t>N + 2</w:t>
            </w:r>
          </w:p>
        </w:tc>
        <w:tc>
          <w:tcPr>
            <w:tcW w:w="1080" w:type="dxa"/>
            <w:vAlign w:val="center"/>
          </w:tcPr>
          <w:p w14:paraId="5BDD1136" w14:textId="77777777" w:rsidR="00C87E1E" w:rsidRPr="00EC5CFB" w:rsidRDefault="00C87E1E" w:rsidP="00C87E1E">
            <w:pPr>
              <w:spacing w:before="60" w:after="60" w:line="200" w:lineRule="exact"/>
              <w:jc w:val="center"/>
              <w:rPr>
                <w:noProof/>
                <w:sz w:val="16"/>
                <w:szCs w:val="16"/>
              </w:rPr>
            </w:pPr>
            <w:r w:rsidRPr="00EC5CFB">
              <w:rPr>
                <w:noProof/>
                <w:sz w:val="16"/>
              </w:rPr>
              <w:t>Aasta</w:t>
            </w:r>
            <w:r w:rsidRPr="00EC5CFB">
              <w:rPr>
                <w:noProof/>
              </w:rPr>
              <w:t xml:space="preserve"> </w:t>
            </w:r>
            <w:r w:rsidRPr="00EC5CFB">
              <w:rPr>
                <w:noProof/>
              </w:rPr>
              <w:br/>
            </w:r>
            <w:r w:rsidRPr="00EC5CFB">
              <w:rPr>
                <w:b/>
                <w:noProof/>
                <w:sz w:val="16"/>
              </w:rPr>
              <w:t>N + 3</w:t>
            </w:r>
          </w:p>
        </w:tc>
        <w:tc>
          <w:tcPr>
            <w:tcW w:w="3240" w:type="dxa"/>
            <w:vAlign w:val="center"/>
          </w:tcPr>
          <w:p w14:paraId="4AEA18C3" w14:textId="77777777" w:rsidR="00C87E1E" w:rsidRPr="00EC5CFB" w:rsidRDefault="00C87E1E" w:rsidP="00C87E1E">
            <w:pPr>
              <w:spacing w:line="200" w:lineRule="exact"/>
              <w:jc w:val="center"/>
              <w:rPr>
                <w:b/>
                <w:noProof/>
                <w:sz w:val="16"/>
                <w:szCs w:val="16"/>
              </w:rPr>
            </w:pPr>
            <w:r w:rsidRPr="00EC5CFB">
              <w:rPr>
                <w:noProof/>
                <w:sz w:val="16"/>
              </w:rPr>
              <w:t>Lisage vajalik arv aastaid, et kajastada kogu finantsmõju kestust (vt punkt 1.6)</w:t>
            </w:r>
          </w:p>
        </w:tc>
        <w:tc>
          <w:tcPr>
            <w:tcW w:w="1080" w:type="dxa"/>
            <w:vAlign w:val="center"/>
          </w:tcPr>
          <w:p w14:paraId="11C4CA02" w14:textId="77777777" w:rsidR="00C87E1E" w:rsidRPr="00EC5CFB" w:rsidRDefault="00C87E1E" w:rsidP="00C87E1E">
            <w:pPr>
              <w:spacing w:before="60" w:after="60" w:line="200" w:lineRule="exact"/>
              <w:jc w:val="center"/>
              <w:rPr>
                <w:b/>
                <w:noProof/>
                <w:sz w:val="16"/>
                <w:szCs w:val="16"/>
              </w:rPr>
            </w:pPr>
            <w:r w:rsidRPr="00EC5CFB">
              <w:rPr>
                <w:b/>
                <w:noProof/>
                <w:sz w:val="16"/>
              </w:rPr>
              <w:t>KOKKU</w:t>
            </w:r>
          </w:p>
        </w:tc>
      </w:tr>
    </w:tbl>
    <w:p w14:paraId="50526C79" w14:textId="77777777" w:rsidR="00C87E1E" w:rsidRPr="00EC5CFB"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EC5CFB" w14:paraId="7158BEFB" w14:textId="77777777" w:rsidTr="00C87E1E">
        <w:trPr>
          <w:trHeight w:val="585"/>
        </w:trPr>
        <w:tc>
          <w:tcPr>
            <w:tcW w:w="1980" w:type="dxa"/>
            <w:shd w:val="clear" w:color="auto" w:fill="CCCCCC"/>
            <w:vAlign w:val="center"/>
          </w:tcPr>
          <w:p w14:paraId="05184F2D" w14:textId="77777777" w:rsidR="00C87E1E" w:rsidRPr="00EC5CFB" w:rsidRDefault="00C87E1E" w:rsidP="00C87E1E">
            <w:pPr>
              <w:spacing w:before="60" w:after="60" w:line="200" w:lineRule="exact"/>
              <w:jc w:val="center"/>
              <w:rPr>
                <w:b/>
                <w:noProof/>
                <w:sz w:val="16"/>
                <w:szCs w:val="16"/>
              </w:rPr>
            </w:pPr>
            <w:r w:rsidRPr="00EC5CFB">
              <w:rPr>
                <w:b/>
                <w:noProof/>
                <w:sz w:val="16"/>
              </w:rPr>
              <w:t>Mitmeaastase finantsraamistiku</w:t>
            </w:r>
            <w:r w:rsidRPr="00EC5CFB">
              <w:rPr>
                <w:noProof/>
              </w:rPr>
              <w:t xml:space="preserve"> </w:t>
            </w:r>
            <w:r w:rsidRPr="00EC5CFB">
              <w:rPr>
                <w:noProof/>
              </w:rPr>
              <w:br/>
            </w:r>
            <w:r w:rsidRPr="00EC5CFB">
              <w:rPr>
                <w:b/>
                <w:bCs/>
                <w:noProof/>
                <w:sz w:val="16"/>
              </w:rPr>
              <w:t>RUBRIIK 7</w:t>
            </w:r>
          </w:p>
        </w:tc>
        <w:tc>
          <w:tcPr>
            <w:tcW w:w="1080" w:type="dxa"/>
            <w:vAlign w:val="center"/>
          </w:tcPr>
          <w:p w14:paraId="10A2366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3A0F05E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D6371D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1B136B60"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530AF7B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6CF4B3A"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3985DF0A"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5FCA5CD8" w14:textId="77777777" w:rsidR="00C87E1E" w:rsidRPr="00EC5CFB" w:rsidRDefault="00C87E1E" w:rsidP="00C87E1E">
            <w:pPr>
              <w:spacing w:before="60" w:after="60" w:line="200" w:lineRule="exact"/>
              <w:jc w:val="right"/>
              <w:rPr>
                <w:b/>
                <w:noProof/>
                <w:sz w:val="16"/>
                <w:szCs w:val="16"/>
                <w:lang w:eastAsia="en-GB"/>
              </w:rPr>
            </w:pPr>
          </w:p>
        </w:tc>
      </w:tr>
      <w:tr w:rsidR="00C87E1E" w:rsidRPr="00EC5CFB" w14:paraId="7DAAD9F7" w14:textId="77777777" w:rsidTr="00C87E1E">
        <w:trPr>
          <w:trHeight w:val="585"/>
        </w:trPr>
        <w:tc>
          <w:tcPr>
            <w:tcW w:w="1980" w:type="dxa"/>
            <w:vAlign w:val="center"/>
          </w:tcPr>
          <w:p w14:paraId="74A38E54" w14:textId="77777777" w:rsidR="00C87E1E" w:rsidRPr="00EC5CFB" w:rsidRDefault="00C87E1E" w:rsidP="00C87E1E">
            <w:pPr>
              <w:spacing w:before="60" w:after="60" w:line="200" w:lineRule="exact"/>
              <w:ind w:left="72"/>
              <w:jc w:val="left"/>
              <w:rPr>
                <w:noProof/>
                <w:sz w:val="16"/>
                <w:szCs w:val="16"/>
              </w:rPr>
            </w:pPr>
            <w:r w:rsidRPr="00EC5CFB">
              <w:rPr>
                <w:noProof/>
                <w:sz w:val="16"/>
              </w:rPr>
              <w:t xml:space="preserve">Personalikulud </w:t>
            </w:r>
          </w:p>
        </w:tc>
        <w:tc>
          <w:tcPr>
            <w:tcW w:w="1080" w:type="dxa"/>
            <w:vAlign w:val="center"/>
          </w:tcPr>
          <w:p w14:paraId="41982321"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4887126"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1696F36"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4DC2B21"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D6F79E3"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8A3EA2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535AE190"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608C33C4" w14:textId="77777777" w:rsidR="00C87E1E" w:rsidRPr="00EC5CFB" w:rsidRDefault="00C87E1E" w:rsidP="00C87E1E">
            <w:pPr>
              <w:spacing w:before="60" w:after="60" w:line="200" w:lineRule="exact"/>
              <w:jc w:val="right"/>
              <w:rPr>
                <w:b/>
                <w:noProof/>
                <w:sz w:val="16"/>
                <w:szCs w:val="16"/>
                <w:lang w:eastAsia="en-GB"/>
              </w:rPr>
            </w:pPr>
          </w:p>
        </w:tc>
      </w:tr>
      <w:tr w:rsidR="00C87E1E" w:rsidRPr="00EC5CFB" w14:paraId="29EBE6C0" w14:textId="77777777" w:rsidTr="00C87E1E">
        <w:trPr>
          <w:trHeight w:val="585"/>
        </w:trPr>
        <w:tc>
          <w:tcPr>
            <w:tcW w:w="1980" w:type="dxa"/>
            <w:vAlign w:val="center"/>
          </w:tcPr>
          <w:p w14:paraId="1E78CAEC" w14:textId="77777777" w:rsidR="00C87E1E" w:rsidRPr="00EC5CFB" w:rsidRDefault="00C87E1E" w:rsidP="00C87E1E">
            <w:pPr>
              <w:spacing w:before="60" w:after="60" w:line="200" w:lineRule="exact"/>
              <w:ind w:left="72"/>
              <w:jc w:val="left"/>
              <w:rPr>
                <w:noProof/>
                <w:sz w:val="16"/>
                <w:szCs w:val="16"/>
              </w:rPr>
            </w:pPr>
            <w:r w:rsidRPr="00EC5CFB">
              <w:rPr>
                <w:noProof/>
                <w:sz w:val="16"/>
              </w:rPr>
              <w:t xml:space="preserve">Muud halduskulud </w:t>
            </w:r>
          </w:p>
        </w:tc>
        <w:tc>
          <w:tcPr>
            <w:tcW w:w="1080" w:type="dxa"/>
            <w:vAlign w:val="center"/>
          </w:tcPr>
          <w:p w14:paraId="1B0D92A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72C0F9F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70429A59"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62840E4"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114E4EB6"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42E547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06B237D"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293D261D" w14:textId="77777777" w:rsidR="00C87E1E" w:rsidRPr="00EC5CFB" w:rsidRDefault="00C87E1E" w:rsidP="00C87E1E">
            <w:pPr>
              <w:spacing w:before="60" w:after="60" w:line="200" w:lineRule="exact"/>
              <w:jc w:val="right"/>
              <w:rPr>
                <w:b/>
                <w:noProof/>
                <w:sz w:val="16"/>
                <w:szCs w:val="16"/>
                <w:lang w:eastAsia="en-GB"/>
              </w:rPr>
            </w:pPr>
          </w:p>
        </w:tc>
      </w:tr>
      <w:tr w:rsidR="00C87E1E" w:rsidRPr="00EC5CFB" w14:paraId="33049B8D" w14:textId="77777777" w:rsidTr="00C87E1E">
        <w:trPr>
          <w:trHeight w:val="585"/>
        </w:trPr>
        <w:tc>
          <w:tcPr>
            <w:tcW w:w="1980" w:type="dxa"/>
            <w:shd w:val="clear" w:color="auto" w:fill="CCCCCC"/>
            <w:vAlign w:val="center"/>
          </w:tcPr>
          <w:p w14:paraId="5A002C47" w14:textId="77777777" w:rsidR="00C87E1E" w:rsidRPr="00EC5CFB" w:rsidRDefault="00C87E1E" w:rsidP="00C87E1E">
            <w:pPr>
              <w:spacing w:before="60" w:after="60" w:line="200" w:lineRule="exact"/>
              <w:jc w:val="center"/>
              <w:rPr>
                <w:b/>
                <w:noProof/>
                <w:sz w:val="16"/>
                <w:szCs w:val="16"/>
              </w:rPr>
            </w:pPr>
            <w:r w:rsidRPr="00EC5CFB">
              <w:rPr>
                <w:b/>
                <w:noProof/>
                <w:sz w:val="16"/>
              </w:rPr>
              <w:t>Mitmeaastase finantsraamistiku RUBRIIGI 7</w:t>
            </w:r>
            <w:r w:rsidRPr="00EC5CFB">
              <w:rPr>
                <w:noProof/>
              </w:rPr>
              <w:t xml:space="preserve"> </w:t>
            </w:r>
            <w:r w:rsidRPr="00EC5CFB">
              <w:rPr>
                <w:noProof/>
              </w:rPr>
              <w:br/>
            </w:r>
            <w:r w:rsidRPr="00EC5CFB">
              <w:rPr>
                <w:b/>
                <w:noProof/>
                <w:sz w:val="16"/>
              </w:rPr>
              <w:t xml:space="preserve">kulud kokku </w:t>
            </w:r>
          </w:p>
        </w:tc>
        <w:tc>
          <w:tcPr>
            <w:tcW w:w="1080" w:type="dxa"/>
            <w:vAlign w:val="center"/>
          </w:tcPr>
          <w:p w14:paraId="53AF7DCA"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E799663"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98B0BE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1655C3F7"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734BA309"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37BA74F9"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7265318"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644E8301" w14:textId="77777777" w:rsidR="00C87E1E" w:rsidRPr="00EC5CFB" w:rsidRDefault="00C87E1E" w:rsidP="00C87E1E">
            <w:pPr>
              <w:spacing w:before="60" w:after="60" w:line="200" w:lineRule="exact"/>
              <w:jc w:val="right"/>
              <w:rPr>
                <w:b/>
                <w:noProof/>
                <w:sz w:val="16"/>
                <w:szCs w:val="16"/>
                <w:lang w:eastAsia="en-GB"/>
              </w:rPr>
            </w:pPr>
          </w:p>
        </w:tc>
      </w:tr>
    </w:tbl>
    <w:p w14:paraId="52D03010" w14:textId="77777777" w:rsidR="00C87E1E" w:rsidRPr="00EC5CFB"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EC5CFB" w14:paraId="2C5DBB55" w14:textId="77777777" w:rsidTr="00C87E1E">
        <w:trPr>
          <w:trHeight w:val="585"/>
        </w:trPr>
        <w:tc>
          <w:tcPr>
            <w:tcW w:w="1980" w:type="dxa"/>
            <w:shd w:val="clear" w:color="auto" w:fill="CCCCCC"/>
            <w:vAlign w:val="center"/>
          </w:tcPr>
          <w:p w14:paraId="17D0A65D" w14:textId="77777777" w:rsidR="00C87E1E" w:rsidRPr="00EC5CFB" w:rsidRDefault="00C87E1E" w:rsidP="00C87E1E">
            <w:pPr>
              <w:spacing w:before="60" w:after="60" w:line="200" w:lineRule="exact"/>
              <w:jc w:val="center"/>
              <w:rPr>
                <w:noProof/>
                <w:sz w:val="16"/>
                <w:szCs w:val="16"/>
              </w:rPr>
            </w:pPr>
            <w:r w:rsidRPr="00EC5CFB">
              <w:rPr>
                <w:b/>
                <w:noProof/>
                <w:sz w:val="16"/>
              </w:rPr>
              <w:t>Mitmeaastase finantsraamistiku RUBRIIGIST 7</w:t>
            </w:r>
            <w:r w:rsidRPr="00EC5CFB">
              <w:rPr>
                <w:rStyle w:val="FootnoteReference"/>
                <w:noProof/>
              </w:rPr>
              <w:footnoteReference w:id="29"/>
            </w:r>
            <w:r w:rsidRPr="00EC5CFB">
              <w:rPr>
                <w:noProof/>
              </w:rPr>
              <w:t xml:space="preserve"> </w:t>
            </w:r>
            <w:r w:rsidRPr="00EC5CFB">
              <w:rPr>
                <w:noProof/>
              </w:rPr>
              <w:br/>
            </w:r>
            <w:r w:rsidRPr="00EC5CFB">
              <w:rPr>
                <w:b/>
                <w:noProof/>
                <w:sz w:val="16"/>
              </w:rPr>
              <w:t xml:space="preserve">välja jäävad kulud </w:t>
            </w:r>
          </w:p>
          <w:p w14:paraId="3A8AFB60" w14:textId="77777777" w:rsidR="00C87E1E" w:rsidRPr="00EC5CFB" w:rsidRDefault="00C87E1E" w:rsidP="00C87E1E">
            <w:pPr>
              <w:spacing w:before="0" w:after="0" w:line="200" w:lineRule="exact"/>
              <w:jc w:val="center"/>
              <w:rPr>
                <w:b/>
                <w:noProof/>
                <w:sz w:val="16"/>
                <w:szCs w:val="16"/>
                <w:lang w:eastAsia="en-GB"/>
              </w:rPr>
            </w:pPr>
          </w:p>
        </w:tc>
        <w:tc>
          <w:tcPr>
            <w:tcW w:w="1080" w:type="dxa"/>
            <w:vAlign w:val="center"/>
          </w:tcPr>
          <w:p w14:paraId="00DA778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582948B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2D79549"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386D9AC"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759989D"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5340A5E9"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7229C48B"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4765EDB9" w14:textId="77777777" w:rsidR="00C87E1E" w:rsidRPr="00EC5CFB" w:rsidRDefault="00C87E1E" w:rsidP="00C87E1E">
            <w:pPr>
              <w:spacing w:before="60" w:after="60" w:line="200" w:lineRule="exact"/>
              <w:jc w:val="right"/>
              <w:rPr>
                <w:b/>
                <w:noProof/>
                <w:sz w:val="16"/>
                <w:szCs w:val="16"/>
                <w:lang w:eastAsia="en-GB"/>
              </w:rPr>
            </w:pPr>
          </w:p>
        </w:tc>
      </w:tr>
      <w:tr w:rsidR="00C87E1E" w:rsidRPr="00EC5CFB" w14:paraId="7EAADBBF" w14:textId="77777777" w:rsidTr="00C87E1E">
        <w:trPr>
          <w:trHeight w:val="585"/>
        </w:trPr>
        <w:tc>
          <w:tcPr>
            <w:tcW w:w="1980" w:type="dxa"/>
            <w:vAlign w:val="center"/>
          </w:tcPr>
          <w:p w14:paraId="22E87FA7" w14:textId="77777777" w:rsidR="00C87E1E" w:rsidRPr="00EC5CFB" w:rsidRDefault="00C87E1E" w:rsidP="00C87E1E">
            <w:pPr>
              <w:spacing w:before="60" w:after="60" w:line="200" w:lineRule="exact"/>
              <w:ind w:left="72"/>
              <w:jc w:val="left"/>
              <w:rPr>
                <w:noProof/>
                <w:sz w:val="16"/>
                <w:szCs w:val="16"/>
              </w:rPr>
            </w:pPr>
            <w:r w:rsidRPr="00EC5CFB">
              <w:rPr>
                <w:noProof/>
                <w:sz w:val="16"/>
              </w:rPr>
              <w:t xml:space="preserve">Personalikulud </w:t>
            </w:r>
          </w:p>
        </w:tc>
        <w:tc>
          <w:tcPr>
            <w:tcW w:w="1080" w:type="dxa"/>
            <w:vAlign w:val="center"/>
          </w:tcPr>
          <w:p w14:paraId="4C75DFFE"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11EE132"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78B237C4"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8125D07"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2387B514"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283A8A72"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8DE0A82"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294607ED" w14:textId="77777777" w:rsidR="00C87E1E" w:rsidRPr="00EC5CFB" w:rsidRDefault="00C87E1E" w:rsidP="00C87E1E">
            <w:pPr>
              <w:spacing w:before="60" w:after="60" w:line="200" w:lineRule="exact"/>
              <w:jc w:val="right"/>
              <w:rPr>
                <w:b/>
                <w:noProof/>
                <w:sz w:val="16"/>
                <w:szCs w:val="16"/>
                <w:lang w:eastAsia="en-GB"/>
              </w:rPr>
            </w:pPr>
          </w:p>
        </w:tc>
      </w:tr>
      <w:tr w:rsidR="00C87E1E" w:rsidRPr="00EC5CFB" w14:paraId="72D4ECB6" w14:textId="77777777" w:rsidTr="00C87E1E">
        <w:trPr>
          <w:trHeight w:val="585"/>
        </w:trPr>
        <w:tc>
          <w:tcPr>
            <w:tcW w:w="1980" w:type="dxa"/>
            <w:vAlign w:val="center"/>
          </w:tcPr>
          <w:p w14:paraId="7BBD279E" w14:textId="77777777" w:rsidR="00C87E1E" w:rsidRPr="00EC5CFB" w:rsidRDefault="00C87E1E" w:rsidP="00C87E1E">
            <w:pPr>
              <w:spacing w:before="60" w:after="60" w:line="200" w:lineRule="exact"/>
              <w:ind w:left="72"/>
              <w:jc w:val="left"/>
              <w:rPr>
                <w:noProof/>
                <w:sz w:val="16"/>
                <w:szCs w:val="16"/>
              </w:rPr>
            </w:pPr>
            <w:r w:rsidRPr="00EC5CFB">
              <w:rPr>
                <w:noProof/>
                <w:sz w:val="16"/>
              </w:rPr>
              <w:t xml:space="preserve">Muud </w:t>
            </w:r>
            <w:r w:rsidRPr="00EC5CFB">
              <w:rPr>
                <w:noProof/>
              </w:rPr>
              <w:br/>
            </w:r>
            <w:r w:rsidRPr="00EC5CFB">
              <w:rPr>
                <w:noProof/>
                <w:sz w:val="16"/>
              </w:rPr>
              <w:t>halduskulud</w:t>
            </w:r>
          </w:p>
        </w:tc>
        <w:tc>
          <w:tcPr>
            <w:tcW w:w="1080" w:type="dxa"/>
            <w:vAlign w:val="center"/>
          </w:tcPr>
          <w:p w14:paraId="22A5D4B5"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4EDDE46B"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3190AD5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1656E5F5"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1EC0AB71"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07DD3CF"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56338A29"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12481832" w14:textId="77777777" w:rsidR="00C87E1E" w:rsidRPr="00EC5CFB" w:rsidRDefault="00C87E1E" w:rsidP="00C87E1E">
            <w:pPr>
              <w:spacing w:before="60" w:after="60" w:line="200" w:lineRule="exact"/>
              <w:jc w:val="right"/>
              <w:rPr>
                <w:b/>
                <w:noProof/>
                <w:sz w:val="16"/>
                <w:szCs w:val="16"/>
                <w:lang w:eastAsia="en-GB"/>
              </w:rPr>
            </w:pPr>
          </w:p>
        </w:tc>
      </w:tr>
      <w:tr w:rsidR="00C87E1E" w:rsidRPr="00EC5CFB" w14:paraId="36647698" w14:textId="77777777" w:rsidTr="00C87E1E">
        <w:trPr>
          <w:trHeight w:val="585"/>
        </w:trPr>
        <w:tc>
          <w:tcPr>
            <w:tcW w:w="1980" w:type="dxa"/>
            <w:shd w:val="clear" w:color="auto" w:fill="CCCCCC"/>
            <w:vAlign w:val="center"/>
          </w:tcPr>
          <w:p w14:paraId="6D89E4F2" w14:textId="77777777" w:rsidR="00C87E1E" w:rsidRPr="00EC5CFB" w:rsidRDefault="00C87E1E" w:rsidP="00C87E1E">
            <w:pPr>
              <w:spacing w:before="60" w:after="60" w:line="200" w:lineRule="exact"/>
              <w:jc w:val="center"/>
              <w:rPr>
                <w:b/>
                <w:noProof/>
                <w:sz w:val="16"/>
                <w:szCs w:val="16"/>
              </w:rPr>
            </w:pPr>
            <w:r w:rsidRPr="00EC5CFB">
              <w:rPr>
                <w:b/>
                <w:bCs/>
                <w:noProof/>
                <w:sz w:val="16"/>
                <w:szCs w:val="16"/>
              </w:rPr>
              <w:t>Mitmeaastase finantsraamistiku</w:t>
            </w:r>
            <w:r w:rsidRPr="00EC5CFB">
              <w:rPr>
                <w:noProof/>
              </w:rPr>
              <w:t xml:space="preserve"> </w:t>
            </w:r>
            <w:r w:rsidRPr="00EC5CFB">
              <w:rPr>
                <w:b/>
                <w:noProof/>
                <w:sz w:val="16"/>
              </w:rPr>
              <w:t>RUBRIIGIST 7</w:t>
            </w:r>
            <w:r w:rsidRPr="00EC5CFB">
              <w:rPr>
                <w:noProof/>
              </w:rPr>
              <w:t xml:space="preserve"> </w:t>
            </w:r>
            <w:r w:rsidRPr="00EC5CFB">
              <w:rPr>
                <w:noProof/>
              </w:rPr>
              <w:br/>
            </w:r>
            <w:r w:rsidRPr="00EC5CFB">
              <w:rPr>
                <w:b/>
                <w:noProof/>
                <w:sz w:val="16"/>
              </w:rPr>
              <w:t xml:space="preserve">välja jäävad kulud kokku </w:t>
            </w:r>
          </w:p>
        </w:tc>
        <w:tc>
          <w:tcPr>
            <w:tcW w:w="1080" w:type="dxa"/>
            <w:vAlign w:val="center"/>
          </w:tcPr>
          <w:p w14:paraId="5E21083B"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3445A410"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EB3D17A"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03782318"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32E7073E"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640D9FDA" w14:textId="77777777" w:rsidR="00C87E1E" w:rsidRPr="00EC5CFB" w:rsidRDefault="00C87E1E" w:rsidP="00C87E1E">
            <w:pPr>
              <w:spacing w:before="60" w:after="60" w:line="200" w:lineRule="exact"/>
              <w:jc w:val="right"/>
              <w:rPr>
                <w:noProof/>
                <w:sz w:val="16"/>
                <w:szCs w:val="16"/>
                <w:lang w:eastAsia="en-GB"/>
              </w:rPr>
            </w:pPr>
          </w:p>
        </w:tc>
        <w:tc>
          <w:tcPr>
            <w:tcW w:w="1080" w:type="dxa"/>
            <w:vAlign w:val="center"/>
          </w:tcPr>
          <w:p w14:paraId="79BA4F39" w14:textId="77777777" w:rsidR="00C87E1E" w:rsidRPr="00EC5CFB" w:rsidRDefault="00C87E1E" w:rsidP="00C87E1E">
            <w:pPr>
              <w:spacing w:before="60" w:after="60" w:line="200" w:lineRule="exact"/>
              <w:jc w:val="right"/>
              <w:rPr>
                <w:b/>
                <w:noProof/>
                <w:sz w:val="16"/>
                <w:szCs w:val="16"/>
                <w:lang w:eastAsia="en-GB"/>
              </w:rPr>
            </w:pPr>
          </w:p>
        </w:tc>
        <w:tc>
          <w:tcPr>
            <w:tcW w:w="1080" w:type="dxa"/>
            <w:vAlign w:val="center"/>
          </w:tcPr>
          <w:p w14:paraId="7B7E4686" w14:textId="77777777" w:rsidR="00C87E1E" w:rsidRPr="00EC5CFB" w:rsidRDefault="00C87E1E" w:rsidP="00C87E1E">
            <w:pPr>
              <w:spacing w:before="60" w:after="60" w:line="200" w:lineRule="exact"/>
              <w:jc w:val="right"/>
              <w:rPr>
                <w:b/>
                <w:noProof/>
                <w:sz w:val="16"/>
                <w:szCs w:val="16"/>
                <w:lang w:eastAsia="en-GB"/>
              </w:rPr>
            </w:pPr>
          </w:p>
        </w:tc>
      </w:tr>
    </w:tbl>
    <w:p w14:paraId="47267F0F" w14:textId="77777777" w:rsidR="00C87E1E" w:rsidRPr="00EC5CFB" w:rsidRDefault="00C87E1E" w:rsidP="00C87E1E">
      <w:pPr>
        <w:spacing w:line="200" w:lineRule="exact"/>
        <w:rPr>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EC5CFB" w14:paraId="3FF384DC" w14:textId="77777777" w:rsidTr="00C87E1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AE5341F" w14:textId="77777777" w:rsidR="00C87E1E" w:rsidRPr="00EC5CFB" w:rsidRDefault="00C87E1E" w:rsidP="00C87E1E">
            <w:pPr>
              <w:spacing w:before="60" w:after="60" w:line="200" w:lineRule="exact"/>
              <w:jc w:val="center"/>
              <w:rPr>
                <w:noProof/>
                <w:sz w:val="16"/>
                <w:szCs w:val="16"/>
              </w:rPr>
            </w:pPr>
            <w:r w:rsidRPr="00EC5CFB">
              <w:rPr>
                <w:b/>
                <w:noProof/>
                <w:sz w:val="16"/>
              </w:rPr>
              <w:t>KOKKU</w:t>
            </w:r>
          </w:p>
        </w:tc>
        <w:tc>
          <w:tcPr>
            <w:tcW w:w="1080" w:type="dxa"/>
            <w:tcBorders>
              <w:top w:val="single" w:sz="12" w:space="0" w:color="auto"/>
              <w:left w:val="single" w:sz="2" w:space="0" w:color="auto"/>
              <w:bottom w:val="single" w:sz="12" w:space="0" w:color="auto"/>
              <w:right w:val="single" w:sz="2" w:space="0" w:color="auto"/>
            </w:tcBorders>
            <w:vAlign w:val="center"/>
          </w:tcPr>
          <w:p w14:paraId="360D62A7"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3A8E6EE5"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054112F3"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C8099E5"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5C9CA0B6"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7FCE3AA2"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5AC54DC" w14:textId="77777777" w:rsidR="00C87E1E" w:rsidRPr="00EC5CFB"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14:paraId="5F404713" w14:textId="77777777" w:rsidR="00C87E1E" w:rsidRPr="00EC5CFB" w:rsidRDefault="00C87E1E" w:rsidP="00C87E1E">
            <w:pPr>
              <w:spacing w:before="60" w:after="60" w:line="200" w:lineRule="exact"/>
              <w:jc w:val="right"/>
              <w:rPr>
                <w:b/>
                <w:noProof/>
                <w:sz w:val="16"/>
                <w:szCs w:val="16"/>
                <w:lang w:eastAsia="en-GB"/>
              </w:rPr>
            </w:pPr>
          </w:p>
        </w:tc>
      </w:tr>
    </w:tbl>
    <w:p w14:paraId="7C3CC768" w14:textId="77777777" w:rsidR="00C87E1E" w:rsidRPr="00EC5CFB" w:rsidRDefault="00C87E1E" w:rsidP="00C87E1E">
      <w:pPr>
        <w:rPr>
          <w:noProof/>
          <w:sz w:val="18"/>
        </w:rPr>
      </w:pPr>
      <w:r w:rsidRPr="00EC5CFB">
        <w:rPr>
          <w:noProof/>
          <w:sz w:val="18"/>
        </w:rPr>
        <w:t>Personali ja muude halduskuludega seotud assigneeringute vajadused kaetakse asjaomase peadirektoraadi poolt kõnealuse meetme haldamiseks juba antud ja/või peadirektoraadi siseselt ümberpaigutatud assigneeringutest, mida vajaduse korral võidakse täiendada nendest lisaassigneeringutest, mis haldavale peadirektoraadile eraldatakse iga-aastase vahendite eraldamise menetluse käigus, arvestades eelarvepiirangutega.</w:t>
      </w:r>
    </w:p>
    <w:p w14:paraId="42BAD8AB" w14:textId="77777777" w:rsidR="00C87E1E" w:rsidRPr="00EC5CFB" w:rsidRDefault="00C87E1E" w:rsidP="00C87E1E">
      <w:pPr>
        <w:rPr>
          <w:noProof/>
          <w:sz w:val="18"/>
          <w:lang w:eastAsia="en-GB"/>
        </w:rPr>
        <w:sectPr w:rsidR="00C87E1E" w:rsidRPr="00EC5CFB" w:rsidSect="00116713">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1516E394" w14:textId="77777777" w:rsidR="00C87E1E" w:rsidRPr="00EC5CFB" w:rsidRDefault="00C87E1E" w:rsidP="00FB18F4">
      <w:pPr>
        <w:keepNext/>
        <w:outlineLvl w:val="3"/>
        <w:rPr>
          <w:rFonts w:eastAsiaTheme="majorEastAsia"/>
          <w:iCs/>
          <w:noProof/>
          <w:szCs w:val="24"/>
        </w:rPr>
      </w:pPr>
      <w:r w:rsidRPr="00EC5CFB">
        <w:rPr>
          <w:noProof/>
        </w:rPr>
        <w:t xml:space="preserve">Hinnanguline personalivajadus </w:t>
      </w:r>
    </w:p>
    <w:p w14:paraId="2A2554DF" w14:textId="77777777" w:rsidR="00C87E1E" w:rsidRPr="00EC5CFB" w:rsidRDefault="00C87E1E" w:rsidP="00C87E1E">
      <w:pPr>
        <w:tabs>
          <w:tab w:val="num" w:pos="1134"/>
        </w:tabs>
        <w:ind w:left="1134" w:hanging="283"/>
        <w:rPr>
          <w:noProof/>
        </w:rPr>
      </w:pPr>
      <w:r w:rsidRPr="00EC5CFB">
        <w:rPr>
          <w:b/>
          <w:noProof/>
        </w:rPr>
        <w:t>X</w:t>
      </w:r>
      <w:r w:rsidRPr="00EC5CFB">
        <w:rPr>
          <w:noProof/>
        </w:rPr>
        <w:tab/>
        <w:t xml:space="preserve">Ettepanek/algatus ei hõlma personali kasutamist </w:t>
      </w:r>
    </w:p>
    <w:p w14:paraId="7535BA03" w14:textId="77777777" w:rsidR="00C87E1E" w:rsidRPr="00EC5CFB" w:rsidRDefault="00C87E1E" w:rsidP="00C87E1E">
      <w:pPr>
        <w:tabs>
          <w:tab w:val="num" w:pos="1134"/>
        </w:tabs>
        <w:ind w:left="1134" w:hanging="283"/>
        <w:rPr>
          <w:noProof/>
        </w:rPr>
      </w:pPr>
      <w:r w:rsidRPr="00EC5CFB">
        <w:rPr>
          <w:noProof/>
        </w:rPr>
        <w:sym w:font="Wingdings" w:char="F0A8"/>
      </w:r>
      <w:r w:rsidRPr="00EC5CFB">
        <w:rPr>
          <w:noProof/>
        </w:rPr>
        <w:tab/>
        <w:t>Ettepanek/algatus hõlmab personali kasutamist, mis toimub järgmiselt:</w:t>
      </w:r>
    </w:p>
    <w:p w14:paraId="292DFE7A" w14:textId="77777777" w:rsidR="00C87E1E" w:rsidRPr="00EC5CFB" w:rsidRDefault="00C87E1E" w:rsidP="00C87E1E">
      <w:pPr>
        <w:spacing w:after="60"/>
        <w:jc w:val="right"/>
        <w:rPr>
          <w:i/>
          <w:noProof/>
          <w:sz w:val="20"/>
        </w:rPr>
      </w:pPr>
      <w:r w:rsidRPr="00EC5CFB">
        <w:rPr>
          <w:i/>
          <w:noProof/>
          <w:sz w:val="20"/>
        </w:rPr>
        <w:t>Hinnanguline väärtus täistööaja ekvivalendina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87E1E" w:rsidRPr="00EC5CFB" w14:paraId="6846498E" w14:textId="77777777" w:rsidTr="00C87E1E">
        <w:trPr>
          <w:gridBefore w:val="1"/>
          <w:wBefore w:w="15" w:type="dxa"/>
          <w:trHeight w:val="289"/>
          <w:jc w:val="center"/>
        </w:trPr>
        <w:tc>
          <w:tcPr>
            <w:tcW w:w="4754" w:type="dxa"/>
            <w:gridSpan w:val="2"/>
            <w:shd w:val="clear" w:color="auto" w:fill="auto"/>
          </w:tcPr>
          <w:p w14:paraId="64884BAF" w14:textId="77777777" w:rsidR="00C87E1E" w:rsidRPr="00EC5CFB" w:rsidRDefault="00C87E1E" w:rsidP="00362810">
            <w:pPr>
              <w:numPr>
                <w:ilvl w:val="0"/>
                <w:numId w:val="10"/>
              </w:numPr>
              <w:tabs>
                <w:tab w:val="clear" w:pos="1134"/>
                <w:tab w:val="num" w:pos="360"/>
              </w:tabs>
              <w:spacing w:before="40" w:after="40"/>
              <w:ind w:left="0" w:firstLine="0"/>
              <w:jc w:val="center"/>
              <w:rPr>
                <w:i/>
                <w:noProof/>
                <w:sz w:val="16"/>
                <w:szCs w:val="16"/>
                <w:lang w:eastAsia="en-GB"/>
              </w:rPr>
            </w:pPr>
          </w:p>
        </w:tc>
        <w:tc>
          <w:tcPr>
            <w:tcW w:w="731" w:type="dxa"/>
            <w:shd w:val="clear" w:color="auto" w:fill="auto"/>
            <w:vAlign w:val="center"/>
          </w:tcPr>
          <w:p w14:paraId="5BCC6FB5" w14:textId="77777777" w:rsidR="00C87E1E" w:rsidRPr="00EC5CFB" w:rsidRDefault="00C87E1E" w:rsidP="00C87E1E">
            <w:pPr>
              <w:spacing w:before="20" w:after="20"/>
              <w:jc w:val="center"/>
              <w:rPr>
                <w:noProof/>
                <w:sz w:val="16"/>
                <w:szCs w:val="16"/>
              </w:rPr>
            </w:pPr>
            <w:r w:rsidRPr="00EC5CFB">
              <w:rPr>
                <w:noProof/>
                <w:sz w:val="16"/>
              </w:rPr>
              <w:t>Aasta</w:t>
            </w:r>
            <w:r w:rsidRPr="00EC5CFB">
              <w:rPr>
                <w:noProof/>
              </w:rPr>
              <w:t xml:space="preserve"> </w:t>
            </w:r>
            <w:r w:rsidRPr="00EC5CFB">
              <w:rPr>
                <w:noProof/>
              </w:rPr>
              <w:br/>
            </w:r>
            <w:r w:rsidRPr="00EC5CFB">
              <w:rPr>
                <w:b/>
                <w:noProof/>
                <w:sz w:val="16"/>
              </w:rPr>
              <w:t>N</w:t>
            </w:r>
          </w:p>
        </w:tc>
        <w:tc>
          <w:tcPr>
            <w:tcW w:w="731" w:type="dxa"/>
            <w:shd w:val="clear" w:color="auto" w:fill="auto"/>
            <w:vAlign w:val="center"/>
          </w:tcPr>
          <w:p w14:paraId="4CE66B9D" w14:textId="77777777" w:rsidR="00C87E1E" w:rsidRPr="00EC5CFB" w:rsidRDefault="00C87E1E" w:rsidP="00C87E1E">
            <w:pPr>
              <w:spacing w:before="20" w:after="20"/>
              <w:jc w:val="center"/>
              <w:rPr>
                <w:noProof/>
                <w:sz w:val="16"/>
                <w:szCs w:val="16"/>
              </w:rPr>
            </w:pPr>
            <w:r w:rsidRPr="00EC5CFB">
              <w:rPr>
                <w:noProof/>
                <w:sz w:val="16"/>
              </w:rPr>
              <w:t>Aasta</w:t>
            </w:r>
            <w:r w:rsidRPr="00EC5CFB">
              <w:rPr>
                <w:noProof/>
              </w:rPr>
              <w:t xml:space="preserve"> </w:t>
            </w:r>
            <w:r w:rsidRPr="00EC5CFB">
              <w:rPr>
                <w:noProof/>
              </w:rPr>
              <w:br/>
            </w:r>
            <w:r w:rsidRPr="00EC5CFB">
              <w:rPr>
                <w:b/>
                <w:noProof/>
                <w:sz w:val="16"/>
              </w:rPr>
              <w:t>N + 1</w:t>
            </w:r>
          </w:p>
        </w:tc>
        <w:tc>
          <w:tcPr>
            <w:tcW w:w="731" w:type="dxa"/>
            <w:shd w:val="clear" w:color="auto" w:fill="auto"/>
            <w:vAlign w:val="center"/>
          </w:tcPr>
          <w:p w14:paraId="3EBB3F5A" w14:textId="77777777" w:rsidR="00C87E1E" w:rsidRPr="00EC5CFB" w:rsidRDefault="00C87E1E" w:rsidP="00C87E1E">
            <w:pPr>
              <w:spacing w:before="20" w:after="20"/>
              <w:jc w:val="center"/>
              <w:rPr>
                <w:noProof/>
                <w:sz w:val="16"/>
                <w:szCs w:val="16"/>
              </w:rPr>
            </w:pPr>
            <w:r w:rsidRPr="00EC5CFB">
              <w:rPr>
                <w:noProof/>
                <w:sz w:val="16"/>
              </w:rPr>
              <w:t xml:space="preserve">Aasta </w:t>
            </w:r>
            <w:r w:rsidRPr="00EC5CFB">
              <w:rPr>
                <w:b/>
                <w:noProof/>
                <w:sz w:val="16"/>
              </w:rPr>
              <w:t>N + 2</w:t>
            </w:r>
          </w:p>
        </w:tc>
        <w:tc>
          <w:tcPr>
            <w:tcW w:w="731" w:type="dxa"/>
            <w:shd w:val="clear" w:color="auto" w:fill="auto"/>
            <w:vAlign w:val="center"/>
          </w:tcPr>
          <w:p w14:paraId="307A26F4" w14:textId="77777777" w:rsidR="00C87E1E" w:rsidRPr="00EC5CFB" w:rsidRDefault="00C87E1E" w:rsidP="00C87E1E">
            <w:pPr>
              <w:spacing w:before="20" w:after="20"/>
              <w:jc w:val="center"/>
              <w:rPr>
                <w:noProof/>
                <w:sz w:val="16"/>
                <w:szCs w:val="16"/>
              </w:rPr>
            </w:pPr>
            <w:r w:rsidRPr="00EC5CFB">
              <w:rPr>
                <w:noProof/>
                <w:sz w:val="16"/>
              </w:rPr>
              <w:t xml:space="preserve">Aasta </w:t>
            </w:r>
            <w:r w:rsidRPr="00EC5CFB">
              <w:rPr>
                <w:b/>
                <w:noProof/>
                <w:sz w:val="16"/>
              </w:rPr>
              <w:t>N + 3</w:t>
            </w:r>
          </w:p>
        </w:tc>
        <w:tc>
          <w:tcPr>
            <w:tcW w:w="2193" w:type="dxa"/>
            <w:gridSpan w:val="3"/>
            <w:shd w:val="clear" w:color="auto" w:fill="auto"/>
            <w:vAlign w:val="center"/>
          </w:tcPr>
          <w:p w14:paraId="59352E83" w14:textId="77777777" w:rsidR="00C87E1E" w:rsidRPr="00EC5CFB" w:rsidRDefault="00C87E1E" w:rsidP="00C87E1E">
            <w:pPr>
              <w:jc w:val="center"/>
              <w:rPr>
                <w:b/>
                <w:noProof/>
                <w:sz w:val="16"/>
                <w:szCs w:val="16"/>
              </w:rPr>
            </w:pPr>
            <w:r w:rsidRPr="00EC5CFB">
              <w:rPr>
                <w:noProof/>
                <w:sz w:val="16"/>
              </w:rPr>
              <w:t>Lisage vajalik arv aastaid, et kajastada kogu finantsmõju kestust (vt punkt 1.6)</w:t>
            </w:r>
          </w:p>
        </w:tc>
      </w:tr>
      <w:tr w:rsidR="00C87E1E" w:rsidRPr="00EC5CFB" w14:paraId="4312C309" w14:textId="77777777" w:rsidTr="00C87E1E">
        <w:trPr>
          <w:gridBefore w:val="1"/>
          <w:wBefore w:w="15" w:type="dxa"/>
          <w:trHeight w:val="289"/>
          <w:jc w:val="center"/>
        </w:trPr>
        <w:tc>
          <w:tcPr>
            <w:tcW w:w="9871" w:type="dxa"/>
            <w:gridSpan w:val="9"/>
            <w:shd w:val="clear" w:color="auto" w:fill="auto"/>
          </w:tcPr>
          <w:p w14:paraId="6B80B0FD" w14:textId="77777777" w:rsidR="00C87E1E" w:rsidRPr="00EC5CFB" w:rsidRDefault="00C87E1E" w:rsidP="00C87E1E">
            <w:pPr>
              <w:jc w:val="left"/>
              <w:rPr>
                <w:noProof/>
                <w:sz w:val="16"/>
                <w:szCs w:val="16"/>
              </w:rPr>
            </w:pPr>
            <w:r w:rsidRPr="00EC5CFB">
              <w:rPr>
                <w:b/>
                <w:noProof/>
                <w:sz w:val="16"/>
              </w:rPr>
              <w:sym w:font="Wingdings" w:char="F09F"/>
            </w:r>
            <w:r w:rsidRPr="00EC5CFB">
              <w:rPr>
                <w:b/>
                <w:noProof/>
                <w:sz w:val="16"/>
              </w:rPr>
              <w:t>Ametikohtade loeteluga ette nähtud ametikohad (ametnikud ja ajutised töötajad)</w:t>
            </w:r>
          </w:p>
        </w:tc>
      </w:tr>
      <w:tr w:rsidR="00C87E1E" w:rsidRPr="00EC5CFB" w14:paraId="7DBDF034" w14:textId="77777777" w:rsidTr="00C87E1E">
        <w:trPr>
          <w:gridBefore w:val="1"/>
          <w:wBefore w:w="15" w:type="dxa"/>
          <w:trHeight w:val="289"/>
          <w:jc w:val="center"/>
        </w:trPr>
        <w:tc>
          <w:tcPr>
            <w:tcW w:w="4754" w:type="dxa"/>
            <w:gridSpan w:val="2"/>
            <w:shd w:val="clear" w:color="auto" w:fill="auto"/>
            <w:vAlign w:val="center"/>
          </w:tcPr>
          <w:p w14:paraId="41D1041D" w14:textId="77777777" w:rsidR="00C87E1E" w:rsidRPr="00EC5CFB" w:rsidRDefault="00C87E1E" w:rsidP="00362810">
            <w:pPr>
              <w:numPr>
                <w:ilvl w:val="0"/>
                <w:numId w:val="10"/>
              </w:numPr>
              <w:tabs>
                <w:tab w:val="clear" w:pos="1134"/>
                <w:tab w:val="num" w:pos="360"/>
              </w:tabs>
              <w:spacing w:beforeLines="20" w:before="48" w:afterLines="20" w:after="48"/>
              <w:ind w:left="134" w:firstLine="0"/>
              <w:jc w:val="left"/>
              <w:rPr>
                <w:b/>
                <w:noProof/>
                <w:sz w:val="16"/>
                <w:szCs w:val="16"/>
              </w:rPr>
            </w:pPr>
            <w:r w:rsidRPr="00EC5CFB">
              <w:rPr>
                <w:noProof/>
                <w:sz w:val="16"/>
              </w:rPr>
              <w:t>20 01 02 01</w:t>
            </w:r>
            <w:r w:rsidRPr="00EC5CFB">
              <w:rPr>
                <w:rFonts w:ascii="Arial Narrow" w:hAnsi="Arial Narrow"/>
                <w:noProof/>
                <w:color w:val="000000"/>
                <w:sz w:val="20"/>
              </w:rPr>
              <w:t xml:space="preserve"> </w:t>
            </w:r>
            <w:r w:rsidRPr="00EC5CFB">
              <w:rPr>
                <w:noProof/>
                <w:sz w:val="16"/>
              </w:rPr>
              <w:t>(komisjoni peakorteris ja esindustes)</w:t>
            </w:r>
          </w:p>
        </w:tc>
        <w:tc>
          <w:tcPr>
            <w:tcW w:w="731" w:type="dxa"/>
            <w:shd w:val="clear" w:color="auto" w:fill="auto"/>
            <w:vAlign w:val="center"/>
          </w:tcPr>
          <w:p w14:paraId="0A97B032"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4F119A"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C633DEE"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64B860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61F86A"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83B8A0"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74E9BDA"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29DFA1D4" w14:textId="77777777" w:rsidTr="00C87E1E">
        <w:trPr>
          <w:gridBefore w:val="1"/>
          <w:wBefore w:w="15" w:type="dxa"/>
          <w:trHeight w:val="289"/>
          <w:jc w:val="center"/>
        </w:trPr>
        <w:tc>
          <w:tcPr>
            <w:tcW w:w="4754" w:type="dxa"/>
            <w:gridSpan w:val="2"/>
            <w:shd w:val="clear" w:color="auto" w:fill="auto"/>
            <w:vAlign w:val="center"/>
          </w:tcPr>
          <w:p w14:paraId="7AB4FE50" w14:textId="77777777" w:rsidR="00C87E1E" w:rsidRPr="00EC5CFB"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EC5CFB">
              <w:rPr>
                <w:noProof/>
                <w:sz w:val="16"/>
              </w:rPr>
              <w:t>20 01 02 03 (delegatsioonides)</w:t>
            </w:r>
          </w:p>
        </w:tc>
        <w:tc>
          <w:tcPr>
            <w:tcW w:w="731" w:type="dxa"/>
            <w:shd w:val="clear" w:color="auto" w:fill="auto"/>
            <w:vAlign w:val="center"/>
          </w:tcPr>
          <w:p w14:paraId="0C8D33F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00FF3D6"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F0A0F71"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F2C7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B59462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AE4B16B"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76FD4A"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2697A6EA" w14:textId="77777777" w:rsidTr="00C87E1E">
        <w:trPr>
          <w:gridBefore w:val="1"/>
          <w:wBefore w:w="15" w:type="dxa"/>
          <w:trHeight w:val="289"/>
          <w:jc w:val="center"/>
        </w:trPr>
        <w:tc>
          <w:tcPr>
            <w:tcW w:w="4754" w:type="dxa"/>
            <w:gridSpan w:val="2"/>
            <w:shd w:val="clear" w:color="auto" w:fill="auto"/>
            <w:vAlign w:val="center"/>
          </w:tcPr>
          <w:p w14:paraId="0350005D" w14:textId="77777777" w:rsidR="00C87E1E" w:rsidRPr="00EC5CFB"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EC5CFB">
              <w:rPr>
                <w:noProof/>
                <w:sz w:val="16"/>
              </w:rPr>
              <w:t>01 01 01 01</w:t>
            </w:r>
            <w:r w:rsidRPr="00EC5CFB">
              <w:rPr>
                <w:rFonts w:ascii="Arial Narrow" w:hAnsi="Arial Narrow"/>
                <w:noProof/>
                <w:color w:val="000000"/>
                <w:sz w:val="20"/>
              </w:rPr>
              <w:t xml:space="preserve"> </w:t>
            </w:r>
            <w:r w:rsidRPr="00EC5CFB">
              <w:rPr>
                <w:noProof/>
                <w:sz w:val="16"/>
              </w:rPr>
              <w:t>(kaudne teadustegevus)</w:t>
            </w:r>
          </w:p>
        </w:tc>
        <w:tc>
          <w:tcPr>
            <w:tcW w:w="731" w:type="dxa"/>
            <w:shd w:val="clear" w:color="auto" w:fill="auto"/>
            <w:vAlign w:val="center"/>
          </w:tcPr>
          <w:p w14:paraId="2F2A98B3"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030C541"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A0BF7E6"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320F9D"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38DEACE"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75A28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9E9BA2A"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21E8E491" w14:textId="77777777" w:rsidTr="00C87E1E">
        <w:trPr>
          <w:gridBefore w:val="1"/>
          <w:wBefore w:w="15" w:type="dxa"/>
          <w:trHeight w:val="289"/>
          <w:jc w:val="center"/>
        </w:trPr>
        <w:tc>
          <w:tcPr>
            <w:tcW w:w="4754" w:type="dxa"/>
            <w:gridSpan w:val="2"/>
            <w:shd w:val="clear" w:color="auto" w:fill="auto"/>
            <w:vAlign w:val="center"/>
          </w:tcPr>
          <w:p w14:paraId="22EB27B1" w14:textId="77777777" w:rsidR="00C87E1E" w:rsidRPr="00EC5CFB"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EC5CFB">
              <w:rPr>
                <w:noProof/>
                <w:sz w:val="16"/>
              </w:rPr>
              <w:t xml:space="preserve"> 01 01 01 11 (otsene teadustegevus)</w:t>
            </w:r>
          </w:p>
        </w:tc>
        <w:tc>
          <w:tcPr>
            <w:tcW w:w="731" w:type="dxa"/>
            <w:shd w:val="clear" w:color="auto" w:fill="auto"/>
            <w:vAlign w:val="center"/>
          </w:tcPr>
          <w:p w14:paraId="325E6C1F"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B66AB4A"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CC62167"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7FC5F6F"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E5F831"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C6F6BF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8D6F04"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69744DC4" w14:textId="77777777" w:rsidTr="00C87E1E">
        <w:trPr>
          <w:gridBefore w:val="1"/>
          <w:wBefore w:w="15" w:type="dxa"/>
          <w:trHeight w:val="289"/>
          <w:jc w:val="center"/>
        </w:trPr>
        <w:tc>
          <w:tcPr>
            <w:tcW w:w="4754" w:type="dxa"/>
            <w:gridSpan w:val="2"/>
            <w:shd w:val="clear" w:color="auto" w:fill="auto"/>
            <w:vAlign w:val="center"/>
          </w:tcPr>
          <w:p w14:paraId="7E9548AB" w14:textId="77777777" w:rsidR="00C87E1E" w:rsidRPr="00EC5CFB"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EC5CFB">
              <w:rPr>
                <w:noProof/>
                <w:sz w:val="16"/>
              </w:rPr>
              <w:t>Muud eelarveread (märkige)</w:t>
            </w:r>
          </w:p>
        </w:tc>
        <w:tc>
          <w:tcPr>
            <w:tcW w:w="731" w:type="dxa"/>
            <w:shd w:val="clear" w:color="auto" w:fill="auto"/>
            <w:vAlign w:val="center"/>
          </w:tcPr>
          <w:p w14:paraId="4011B897"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E34510"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3DD1FDF"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51C9C8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ADFB2E"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E89CB2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743A742"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60FC767B" w14:textId="77777777" w:rsidTr="00C87E1E">
        <w:trPr>
          <w:trHeight w:val="248"/>
          <w:jc w:val="center"/>
        </w:trPr>
        <w:tc>
          <w:tcPr>
            <w:tcW w:w="9886" w:type="dxa"/>
            <w:gridSpan w:val="10"/>
            <w:shd w:val="clear" w:color="auto" w:fill="auto"/>
            <w:vAlign w:val="center"/>
          </w:tcPr>
          <w:p w14:paraId="2DD83A49" w14:textId="77777777" w:rsidR="00C87E1E" w:rsidRPr="00EC5CFB" w:rsidRDefault="00C87E1E" w:rsidP="00362810">
            <w:pPr>
              <w:numPr>
                <w:ilvl w:val="0"/>
                <w:numId w:val="10"/>
              </w:numPr>
              <w:tabs>
                <w:tab w:val="clear" w:pos="1134"/>
                <w:tab w:val="num" w:pos="360"/>
              </w:tabs>
              <w:spacing w:before="60" w:after="60"/>
              <w:ind w:left="0" w:firstLine="0"/>
              <w:jc w:val="left"/>
              <w:rPr>
                <w:b/>
                <w:noProof/>
                <w:sz w:val="16"/>
                <w:szCs w:val="16"/>
              </w:rPr>
            </w:pPr>
            <w:r w:rsidRPr="00EC5CFB">
              <w:rPr>
                <w:b/>
                <w:noProof/>
                <w:sz w:val="16"/>
              </w:rPr>
              <w:sym w:font="Wingdings" w:char="F09F"/>
            </w:r>
            <w:r w:rsidRPr="00EC5CFB">
              <w:rPr>
                <w:b/>
                <w:noProof/>
                <w:sz w:val="16"/>
              </w:rPr>
              <w:t xml:space="preserve"> Koosseisuväline personal (täistööajale taandatud töötajad)</w:t>
            </w:r>
            <w:r w:rsidRPr="00EC5CFB">
              <w:rPr>
                <w:rStyle w:val="FootnoteReference"/>
                <w:noProof/>
              </w:rPr>
              <w:footnoteReference w:id="30"/>
            </w:r>
          </w:p>
          <w:p w14:paraId="5B40D371" w14:textId="77777777" w:rsidR="00C87E1E" w:rsidRPr="00EC5CFB" w:rsidRDefault="00C87E1E" w:rsidP="00362810">
            <w:pPr>
              <w:numPr>
                <w:ilvl w:val="0"/>
                <w:numId w:val="10"/>
              </w:numPr>
              <w:tabs>
                <w:tab w:val="clear" w:pos="1134"/>
                <w:tab w:val="num" w:pos="360"/>
              </w:tabs>
              <w:spacing w:before="0" w:after="0"/>
              <w:ind w:left="0" w:firstLine="0"/>
              <w:jc w:val="left"/>
              <w:rPr>
                <w:noProof/>
                <w:sz w:val="16"/>
                <w:szCs w:val="16"/>
                <w:lang w:eastAsia="en-GB"/>
              </w:rPr>
            </w:pPr>
          </w:p>
        </w:tc>
      </w:tr>
      <w:tr w:rsidR="00C87E1E" w:rsidRPr="00EC5CFB" w14:paraId="4717C869" w14:textId="77777777" w:rsidTr="00C87E1E">
        <w:trPr>
          <w:gridBefore w:val="1"/>
          <w:wBefore w:w="15" w:type="dxa"/>
          <w:trHeight w:val="289"/>
          <w:jc w:val="center"/>
        </w:trPr>
        <w:tc>
          <w:tcPr>
            <w:tcW w:w="4754" w:type="dxa"/>
            <w:gridSpan w:val="2"/>
            <w:shd w:val="clear" w:color="auto" w:fill="auto"/>
            <w:vAlign w:val="center"/>
          </w:tcPr>
          <w:p w14:paraId="505A441E"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EC5CFB">
              <w:rPr>
                <w:noProof/>
                <w:sz w:val="16"/>
              </w:rPr>
              <w:t>20 02 01</w:t>
            </w:r>
            <w:r w:rsidRPr="00EC5CFB">
              <w:rPr>
                <w:rFonts w:ascii="Arial Narrow" w:hAnsi="Arial Narrow"/>
                <w:noProof/>
                <w:color w:val="000000"/>
                <w:sz w:val="20"/>
              </w:rPr>
              <w:t xml:space="preserve"> </w:t>
            </w:r>
            <w:r w:rsidRPr="00EC5CFB">
              <w:rPr>
                <w:noProof/>
                <w:sz w:val="16"/>
              </w:rPr>
              <w:t>(üldvahenditest rahastatavad lepingulised töötajad, riikide lähetatud eksperdid ja renditööjõud)</w:t>
            </w:r>
          </w:p>
        </w:tc>
        <w:tc>
          <w:tcPr>
            <w:tcW w:w="731" w:type="dxa"/>
            <w:shd w:val="clear" w:color="auto" w:fill="auto"/>
            <w:vAlign w:val="center"/>
          </w:tcPr>
          <w:p w14:paraId="31F42145"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DAD1CE5"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53A6C4F"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D59FAE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C230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D9721A"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EFB3B1E"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3415C48D" w14:textId="77777777" w:rsidTr="00C87E1E">
        <w:trPr>
          <w:gridBefore w:val="1"/>
          <w:wBefore w:w="15" w:type="dxa"/>
          <w:trHeight w:val="289"/>
          <w:jc w:val="center"/>
        </w:trPr>
        <w:tc>
          <w:tcPr>
            <w:tcW w:w="4754" w:type="dxa"/>
            <w:gridSpan w:val="2"/>
            <w:shd w:val="clear" w:color="auto" w:fill="auto"/>
            <w:vAlign w:val="center"/>
          </w:tcPr>
          <w:p w14:paraId="76704E2A"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EC5CFB">
              <w:rPr>
                <w:noProof/>
                <w:sz w:val="16"/>
              </w:rPr>
              <w:t>20 02 03 (lepingulised töötajad, kohalikud töötajad, riikide lähetatud eksperdid, renditööjõud ja noored eksperdid delegatsioonides)</w:t>
            </w:r>
          </w:p>
        </w:tc>
        <w:tc>
          <w:tcPr>
            <w:tcW w:w="731" w:type="dxa"/>
            <w:shd w:val="clear" w:color="auto" w:fill="auto"/>
            <w:vAlign w:val="center"/>
          </w:tcPr>
          <w:p w14:paraId="4D73A24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8259C4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5E8BD11"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CA9D8EB"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F37B80"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D5A5F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44C7447"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074AC136" w14:textId="77777777" w:rsidTr="00C87E1E">
        <w:trPr>
          <w:gridBefore w:val="1"/>
          <w:wBefore w:w="15" w:type="dxa"/>
          <w:trHeight w:val="289"/>
          <w:jc w:val="center"/>
        </w:trPr>
        <w:tc>
          <w:tcPr>
            <w:tcW w:w="2376" w:type="dxa"/>
            <w:vMerge w:val="restart"/>
            <w:shd w:val="clear" w:color="auto" w:fill="auto"/>
            <w:vAlign w:val="center"/>
          </w:tcPr>
          <w:p w14:paraId="42221955"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EC5CFB">
              <w:rPr>
                <w:b/>
                <w:noProof/>
                <w:sz w:val="16"/>
              </w:rPr>
              <w:t>XX</w:t>
            </w:r>
            <w:r w:rsidRPr="00EC5CFB">
              <w:rPr>
                <w:noProof/>
                <w:sz w:val="16"/>
              </w:rPr>
              <w:t xml:space="preserve"> 01 xx </w:t>
            </w:r>
            <w:r w:rsidRPr="00EC5CFB">
              <w:rPr>
                <w:b/>
                <w:noProof/>
                <w:sz w:val="16"/>
              </w:rPr>
              <w:t xml:space="preserve">yy zz </w:t>
            </w:r>
            <w:r w:rsidRPr="00EC5CFB">
              <w:rPr>
                <w:b/>
                <w:i/>
                <w:noProof/>
                <w:sz w:val="16"/>
              </w:rPr>
              <w:t xml:space="preserve"> </w:t>
            </w:r>
            <w:r w:rsidRPr="00EC5CFB">
              <w:rPr>
                <w:rStyle w:val="FootnoteReference"/>
                <w:noProof/>
              </w:rPr>
              <w:footnoteReference w:id="31"/>
            </w:r>
          </w:p>
          <w:p w14:paraId="3132AFFD"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00965C26"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EC5CFB">
              <w:rPr>
                <w:noProof/>
                <w:sz w:val="16"/>
              </w:rPr>
              <w:t>- peakorteris</w:t>
            </w:r>
          </w:p>
          <w:p w14:paraId="2359CC1D"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731" w:type="dxa"/>
            <w:shd w:val="clear" w:color="auto" w:fill="auto"/>
            <w:vAlign w:val="center"/>
          </w:tcPr>
          <w:p w14:paraId="46F831C1" w14:textId="77777777" w:rsidR="00C87E1E" w:rsidRPr="00EC5CFB"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3A99877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EEE3021"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B9244E"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3B26E4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F3E28A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EAABE13"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5B9AB785" w14:textId="77777777" w:rsidTr="00C87E1E">
        <w:trPr>
          <w:gridBefore w:val="1"/>
          <w:wBefore w:w="15" w:type="dxa"/>
          <w:trHeight w:val="289"/>
          <w:jc w:val="center"/>
        </w:trPr>
        <w:tc>
          <w:tcPr>
            <w:tcW w:w="2376" w:type="dxa"/>
            <w:vMerge/>
            <w:shd w:val="clear" w:color="auto" w:fill="auto"/>
            <w:vAlign w:val="center"/>
          </w:tcPr>
          <w:p w14:paraId="59E2F415"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72BA9DB2"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EC5CFB">
              <w:rPr>
                <w:noProof/>
                <w:sz w:val="16"/>
              </w:rPr>
              <w:t xml:space="preserve">- delegatsioonides </w:t>
            </w:r>
          </w:p>
        </w:tc>
        <w:tc>
          <w:tcPr>
            <w:tcW w:w="731" w:type="dxa"/>
            <w:shd w:val="clear" w:color="auto" w:fill="auto"/>
            <w:vAlign w:val="center"/>
          </w:tcPr>
          <w:p w14:paraId="7C40AE38" w14:textId="77777777" w:rsidR="00C87E1E" w:rsidRPr="00EC5CFB"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5868A496"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17EED47"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D618E0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2920565"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6E5DAA5"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01B573"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15D842BF" w14:textId="77777777" w:rsidTr="00C87E1E">
        <w:trPr>
          <w:gridBefore w:val="1"/>
          <w:wBefore w:w="15" w:type="dxa"/>
          <w:trHeight w:val="289"/>
          <w:jc w:val="center"/>
        </w:trPr>
        <w:tc>
          <w:tcPr>
            <w:tcW w:w="4754" w:type="dxa"/>
            <w:gridSpan w:val="2"/>
            <w:shd w:val="clear" w:color="auto" w:fill="auto"/>
            <w:vAlign w:val="center"/>
          </w:tcPr>
          <w:p w14:paraId="597F52BD"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EC5CFB">
              <w:rPr>
                <w:noProof/>
                <w:sz w:val="16"/>
              </w:rPr>
              <w:t>01 01 01 02</w:t>
            </w:r>
            <w:r w:rsidRPr="00EC5CFB">
              <w:rPr>
                <w:rFonts w:ascii="Arial Narrow" w:hAnsi="Arial Narrow"/>
                <w:noProof/>
                <w:color w:val="000000"/>
                <w:sz w:val="20"/>
              </w:rPr>
              <w:t xml:space="preserve"> </w:t>
            </w:r>
            <w:r w:rsidRPr="00EC5CFB">
              <w:rPr>
                <w:noProof/>
                <w:sz w:val="16"/>
              </w:rPr>
              <w:t>(lepingulised töötajad, riikide lähetatud eksperdid ja renditööjõud kaudse teadustegevuse valdkonnas)</w:t>
            </w:r>
          </w:p>
        </w:tc>
        <w:tc>
          <w:tcPr>
            <w:tcW w:w="731" w:type="dxa"/>
            <w:shd w:val="clear" w:color="auto" w:fill="auto"/>
            <w:vAlign w:val="center"/>
          </w:tcPr>
          <w:p w14:paraId="04960C4F"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62D88B"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A19F58E"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0EE371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DC4DD93"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4753748"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FD69327"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734D9F74" w14:textId="77777777" w:rsidTr="00C87E1E">
        <w:trPr>
          <w:gridBefore w:val="1"/>
          <w:wBefore w:w="15" w:type="dxa"/>
          <w:trHeight w:val="289"/>
          <w:jc w:val="center"/>
        </w:trPr>
        <w:tc>
          <w:tcPr>
            <w:tcW w:w="4754" w:type="dxa"/>
            <w:gridSpan w:val="2"/>
            <w:shd w:val="clear" w:color="auto" w:fill="auto"/>
            <w:vAlign w:val="center"/>
          </w:tcPr>
          <w:p w14:paraId="24854B5E"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noProof/>
                <w:color w:val="FF0000"/>
                <w:sz w:val="16"/>
                <w:szCs w:val="16"/>
              </w:rPr>
            </w:pPr>
            <w:r w:rsidRPr="00EC5CFB">
              <w:rPr>
                <w:noProof/>
                <w:sz w:val="16"/>
              </w:rPr>
              <w:t xml:space="preserve"> 01 01 01 12 (lepingulised töötajad, riikide lähetatud eksperdid ja renditööjõud otsese teadustegevuse valdkonnas)</w:t>
            </w:r>
          </w:p>
        </w:tc>
        <w:tc>
          <w:tcPr>
            <w:tcW w:w="731" w:type="dxa"/>
            <w:shd w:val="clear" w:color="auto" w:fill="auto"/>
            <w:vAlign w:val="center"/>
          </w:tcPr>
          <w:p w14:paraId="28A90E8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9FC994"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051FDD"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0A426BE"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46F2F7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7D16BC"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1DE2C12"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4F0DCD3F" w14:textId="77777777" w:rsidTr="00C87E1E">
        <w:trPr>
          <w:gridBefore w:val="1"/>
          <w:wBefore w:w="15" w:type="dxa"/>
          <w:trHeight w:val="289"/>
          <w:jc w:val="center"/>
        </w:trPr>
        <w:tc>
          <w:tcPr>
            <w:tcW w:w="4754" w:type="dxa"/>
            <w:gridSpan w:val="2"/>
            <w:shd w:val="clear" w:color="auto" w:fill="auto"/>
            <w:vAlign w:val="center"/>
          </w:tcPr>
          <w:p w14:paraId="03EB1B28"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EC5CFB">
              <w:rPr>
                <w:noProof/>
                <w:sz w:val="16"/>
              </w:rPr>
              <w:t>Muud eelarveread (märkige)</w:t>
            </w:r>
          </w:p>
        </w:tc>
        <w:tc>
          <w:tcPr>
            <w:tcW w:w="731" w:type="dxa"/>
            <w:shd w:val="clear" w:color="auto" w:fill="auto"/>
            <w:vAlign w:val="center"/>
          </w:tcPr>
          <w:p w14:paraId="6D7D844D"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34975B6"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43584C9"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433D94F"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4245E5A"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2447472" w14:textId="77777777" w:rsidR="00C87E1E" w:rsidRPr="00EC5CFB"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33F368" w14:textId="77777777" w:rsidR="00C87E1E" w:rsidRPr="00EC5CFB" w:rsidRDefault="00C87E1E" w:rsidP="00C87E1E">
            <w:pPr>
              <w:spacing w:beforeLines="20" w:before="48" w:afterLines="20" w:after="48"/>
              <w:jc w:val="center"/>
              <w:rPr>
                <w:noProof/>
                <w:sz w:val="16"/>
                <w:szCs w:val="16"/>
                <w:lang w:eastAsia="en-GB"/>
              </w:rPr>
            </w:pPr>
          </w:p>
        </w:tc>
      </w:tr>
      <w:tr w:rsidR="00C87E1E" w:rsidRPr="00EC5CFB" w14:paraId="080C7D12" w14:textId="77777777" w:rsidTr="00C87E1E">
        <w:trPr>
          <w:gridBefore w:val="1"/>
          <w:wBefore w:w="15" w:type="dxa"/>
          <w:trHeight w:val="289"/>
          <w:jc w:val="center"/>
        </w:trPr>
        <w:tc>
          <w:tcPr>
            <w:tcW w:w="4754" w:type="dxa"/>
            <w:gridSpan w:val="2"/>
            <w:tcBorders>
              <w:top w:val="double" w:sz="4" w:space="0" w:color="auto"/>
            </w:tcBorders>
            <w:shd w:val="clear" w:color="auto" w:fill="auto"/>
            <w:vAlign w:val="center"/>
          </w:tcPr>
          <w:p w14:paraId="5F87DC60" w14:textId="77777777" w:rsidR="00C87E1E" w:rsidRPr="00EC5CFB"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EC5CFB">
              <w:rPr>
                <w:b/>
                <w:noProof/>
                <w:sz w:val="16"/>
              </w:rPr>
              <w:t>KOKKU</w:t>
            </w:r>
          </w:p>
        </w:tc>
        <w:tc>
          <w:tcPr>
            <w:tcW w:w="731" w:type="dxa"/>
            <w:tcBorders>
              <w:top w:val="double" w:sz="4" w:space="0" w:color="auto"/>
            </w:tcBorders>
            <w:shd w:val="clear" w:color="auto" w:fill="auto"/>
            <w:vAlign w:val="center"/>
          </w:tcPr>
          <w:p w14:paraId="7A1E3DB1" w14:textId="77777777" w:rsidR="00C87E1E" w:rsidRPr="00EC5CFB"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7531A1F0" w14:textId="77777777" w:rsidR="00C87E1E" w:rsidRPr="00EC5CFB"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C1E7119" w14:textId="77777777" w:rsidR="00C87E1E" w:rsidRPr="00EC5CFB"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6E577C5" w14:textId="77777777" w:rsidR="00C87E1E" w:rsidRPr="00EC5CFB"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2C307013" w14:textId="77777777" w:rsidR="00C87E1E" w:rsidRPr="00EC5CFB"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59484285" w14:textId="77777777" w:rsidR="00C87E1E" w:rsidRPr="00EC5CFB"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442CDC4E" w14:textId="77777777" w:rsidR="00C87E1E" w:rsidRPr="00EC5CFB" w:rsidRDefault="00C87E1E" w:rsidP="00C87E1E">
            <w:pPr>
              <w:spacing w:beforeLines="20" w:before="48" w:afterLines="20" w:after="48"/>
              <w:jc w:val="center"/>
              <w:rPr>
                <w:b/>
                <w:noProof/>
                <w:sz w:val="16"/>
                <w:szCs w:val="16"/>
                <w:lang w:eastAsia="en-GB"/>
              </w:rPr>
            </w:pPr>
          </w:p>
        </w:tc>
      </w:tr>
    </w:tbl>
    <w:p w14:paraId="6226E21F" w14:textId="77777777" w:rsidR="00C87E1E" w:rsidRPr="00EC5CFB" w:rsidRDefault="00C87E1E" w:rsidP="00FB18F4">
      <w:pPr>
        <w:spacing w:before="60" w:after="60"/>
        <w:rPr>
          <w:noProof/>
          <w:sz w:val="18"/>
          <w:szCs w:val="18"/>
        </w:rPr>
      </w:pPr>
      <w:r w:rsidRPr="00EC5CFB">
        <w:rPr>
          <w:b/>
          <w:noProof/>
          <w:sz w:val="18"/>
        </w:rPr>
        <w:t>XX</w:t>
      </w:r>
      <w:r w:rsidRPr="00EC5CFB">
        <w:rPr>
          <w:noProof/>
          <w:sz w:val="18"/>
        </w:rPr>
        <w:t xml:space="preserve"> tähistab asjaomast poliitikavaldkonda või eelarvejaotist.</w:t>
      </w:r>
    </w:p>
    <w:p w14:paraId="08BD9D27" w14:textId="77777777" w:rsidR="00C87E1E" w:rsidRPr="00EC5CFB" w:rsidRDefault="00C87E1E" w:rsidP="00FB18F4">
      <w:pPr>
        <w:rPr>
          <w:noProof/>
          <w:sz w:val="18"/>
          <w:szCs w:val="18"/>
        </w:rPr>
      </w:pPr>
      <w:r w:rsidRPr="00EC5CFB">
        <w:rPr>
          <w:noProof/>
          <w:sz w:val="18"/>
        </w:rPr>
        <w:t>Personalivajadused kaetakse juba meedet haldavate peadirektoraadi töötajatega ja/või töötajate peadirektoraadisisese ümberpaigutamise teel. Vajaduse korral võidakse personali täiendada iga-aastase vahendite eraldamise menetluse käigus, arvestades olemasolevate eelarvepiirangutega.</w:t>
      </w:r>
    </w:p>
    <w:p w14:paraId="6D428522" w14:textId="77777777" w:rsidR="00C87E1E" w:rsidRPr="00EC5CFB" w:rsidRDefault="00C87E1E" w:rsidP="00C87E1E">
      <w:pPr>
        <w:rPr>
          <w:noProof/>
          <w:sz w:val="20"/>
        </w:rPr>
      </w:pPr>
      <w:r w:rsidRPr="00EC5CFB">
        <w:rPr>
          <w:noProof/>
          <w:sz w:val="20"/>
        </w:rPr>
        <w:t>Ülesannete kirjeldus: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87E1E" w:rsidRPr="00EC5CFB" w14:paraId="11E810B9" w14:textId="77777777" w:rsidTr="00C87E1E">
        <w:tc>
          <w:tcPr>
            <w:tcW w:w="3240" w:type="dxa"/>
          </w:tcPr>
          <w:p w14:paraId="2BFA4A63" w14:textId="77777777" w:rsidR="00C87E1E" w:rsidRPr="00EC5CFB" w:rsidRDefault="00C87E1E" w:rsidP="00C87E1E">
            <w:pPr>
              <w:rPr>
                <w:noProof/>
                <w:sz w:val="20"/>
              </w:rPr>
            </w:pPr>
            <w:r w:rsidRPr="00EC5CFB">
              <w:rPr>
                <w:noProof/>
                <w:sz w:val="20"/>
              </w:rPr>
              <w:t>Ametnikud ja ajutised töötajad</w:t>
            </w:r>
          </w:p>
        </w:tc>
        <w:tc>
          <w:tcPr>
            <w:tcW w:w="7200" w:type="dxa"/>
          </w:tcPr>
          <w:p w14:paraId="3C047422" w14:textId="77777777" w:rsidR="00C87E1E" w:rsidRPr="00EC5CFB" w:rsidRDefault="00C87E1E" w:rsidP="00C87E1E">
            <w:pPr>
              <w:rPr>
                <w:noProof/>
                <w:sz w:val="20"/>
                <w:lang w:eastAsia="en-GB"/>
              </w:rPr>
            </w:pPr>
          </w:p>
        </w:tc>
      </w:tr>
      <w:tr w:rsidR="00C87E1E" w:rsidRPr="00EC5CFB" w14:paraId="26AC13C2" w14:textId="77777777" w:rsidTr="00C87E1E">
        <w:tc>
          <w:tcPr>
            <w:tcW w:w="3240" w:type="dxa"/>
          </w:tcPr>
          <w:p w14:paraId="0ED650EB" w14:textId="77777777" w:rsidR="00C87E1E" w:rsidRPr="00EC5CFB" w:rsidRDefault="00C87E1E" w:rsidP="00C87E1E">
            <w:pPr>
              <w:spacing w:before="60" w:after="60"/>
              <w:rPr>
                <w:noProof/>
                <w:sz w:val="20"/>
              </w:rPr>
            </w:pPr>
            <w:r w:rsidRPr="00EC5CFB">
              <w:rPr>
                <w:noProof/>
                <w:sz w:val="20"/>
              </w:rPr>
              <w:t>Koosseisuvälised töötajad</w:t>
            </w:r>
          </w:p>
        </w:tc>
        <w:tc>
          <w:tcPr>
            <w:tcW w:w="7200" w:type="dxa"/>
          </w:tcPr>
          <w:p w14:paraId="4EEAF454" w14:textId="77777777" w:rsidR="00C87E1E" w:rsidRPr="00EC5CFB" w:rsidRDefault="00C87E1E" w:rsidP="00C87E1E">
            <w:pPr>
              <w:rPr>
                <w:noProof/>
                <w:sz w:val="20"/>
                <w:lang w:eastAsia="en-GB"/>
              </w:rPr>
            </w:pPr>
          </w:p>
        </w:tc>
      </w:tr>
    </w:tbl>
    <w:p w14:paraId="327EB9C4" w14:textId="77777777" w:rsidR="00C87E1E" w:rsidRPr="00EC5CFB" w:rsidRDefault="00C87E1E" w:rsidP="00C87E1E">
      <w:pPr>
        <w:rPr>
          <w:noProof/>
          <w:lang w:eastAsia="en-GB"/>
        </w:rPr>
        <w:sectPr w:rsidR="00C87E1E" w:rsidRPr="00EC5CFB" w:rsidSect="00116713">
          <w:pgSz w:w="11907" w:h="16840"/>
          <w:pgMar w:top="1134" w:right="1418" w:bottom="1134" w:left="1418" w:header="709" w:footer="709" w:gutter="0"/>
          <w:cols w:space="708"/>
          <w:docGrid w:linePitch="360"/>
        </w:sectPr>
      </w:pPr>
    </w:p>
    <w:p w14:paraId="42A96833" w14:textId="77777777" w:rsidR="00C87E1E" w:rsidRPr="00EC5CFB" w:rsidRDefault="00C87E1E" w:rsidP="00FB18F4">
      <w:pPr>
        <w:keepNext/>
        <w:outlineLvl w:val="2"/>
        <w:rPr>
          <w:rFonts w:eastAsiaTheme="majorEastAsia"/>
          <w:bCs/>
          <w:i/>
          <w:noProof/>
        </w:rPr>
      </w:pPr>
      <w:bookmarkStart w:id="61" w:name="_Toc514938056"/>
      <w:bookmarkStart w:id="62" w:name="_Toc520485055"/>
      <w:r w:rsidRPr="00EC5CFB">
        <w:rPr>
          <w:i/>
          <w:noProof/>
        </w:rPr>
        <w:t>Kooskõla kehtiva mitmeaastase finantsraamistikuga</w:t>
      </w:r>
      <w:bookmarkEnd w:id="61"/>
      <w:bookmarkEnd w:id="62"/>
      <w:r w:rsidRPr="00EC5CFB">
        <w:rPr>
          <w:i/>
          <w:noProof/>
        </w:rPr>
        <w:t xml:space="preserve"> </w:t>
      </w:r>
    </w:p>
    <w:p w14:paraId="780F37C1" w14:textId="77777777" w:rsidR="00C87E1E" w:rsidRPr="00EC5CFB" w:rsidRDefault="00C87E1E" w:rsidP="00C87E1E">
      <w:pPr>
        <w:tabs>
          <w:tab w:val="num" w:pos="1134"/>
        </w:tabs>
        <w:ind w:left="1134" w:hanging="283"/>
        <w:rPr>
          <w:noProof/>
        </w:rPr>
      </w:pPr>
      <w:r w:rsidRPr="00EC5CFB">
        <w:rPr>
          <w:noProof/>
        </w:rPr>
        <w:t>Ettepanek/algatus on kooskõlas kehtiva mitmeaastase finantsraamistikuga.</w:t>
      </w:r>
    </w:p>
    <w:p w14:paraId="7ADACF09" w14:textId="77777777" w:rsidR="00C87E1E" w:rsidRPr="00EC5CFB" w:rsidRDefault="00C87E1E" w:rsidP="00FB18F4">
      <w:pPr>
        <w:rPr>
          <w:noProof/>
          <w:lang w:eastAsia="en-GB"/>
        </w:rPr>
      </w:pPr>
    </w:p>
    <w:p w14:paraId="37458A13" w14:textId="77777777" w:rsidR="00C87E1E" w:rsidRPr="00EC5CFB" w:rsidRDefault="00C87E1E" w:rsidP="00FB18F4">
      <w:pPr>
        <w:rPr>
          <w:noProof/>
        </w:rPr>
      </w:pPr>
      <w:r w:rsidRPr="00EC5CFB">
        <w:rPr>
          <w:noProof/>
        </w:rPr>
        <w:t>Ettepanek/algatus:</w:t>
      </w:r>
    </w:p>
    <w:p w14:paraId="01CED3D9" w14:textId="77777777" w:rsidR="00C87E1E" w:rsidRPr="00EC5CFB" w:rsidRDefault="00C87E1E" w:rsidP="00C87E1E">
      <w:pPr>
        <w:tabs>
          <w:tab w:val="num" w:pos="1134"/>
        </w:tabs>
        <w:ind w:left="1134" w:hanging="283"/>
        <w:rPr>
          <w:noProof/>
        </w:rPr>
      </w:pPr>
      <w:r w:rsidRPr="00EC5CFB">
        <w:rPr>
          <w:noProof/>
        </w:rPr>
        <w:sym w:font="Wingdings" w:char="F0A8"/>
      </w:r>
      <w:r w:rsidRPr="00EC5CFB">
        <w:rPr>
          <w:noProof/>
        </w:rPr>
        <w:tab/>
        <w:t>on täielikult rahastatav mitmeaastase finantsraamistiku asjaomase rubriigi sisese vahendite ümberpaigutamise kaudu.</w:t>
      </w:r>
    </w:p>
    <w:p w14:paraId="76A1D03F" w14:textId="77777777" w:rsidR="00C87E1E" w:rsidRPr="00EC5CFB" w:rsidRDefault="00C87E1E" w:rsidP="00FB18F4">
      <w:pPr>
        <w:pBdr>
          <w:top w:val="single" w:sz="4" w:space="1" w:color="auto"/>
          <w:left w:val="single" w:sz="4" w:space="4" w:color="auto"/>
          <w:bottom w:val="single" w:sz="4" w:space="1" w:color="auto"/>
          <w:right w:val="single" w:sz="4" w:space="4" w:color="auto"/>
        </w:pBdr>
        <w:rPr>
          <w:noProof/>
          <w:sz w:val="20"/>
        </w:rPr>
      </w:pPr>
      <w:r w:rsidRPr="00EC5CFB">
        <w:rPr>
          <w:noProof/>
          <w:sz w:val="20"/>
        </w:rPr>
        <w:t>Selgitage ümberplaneerimist, osutades asjaomastele eelarveridadele ja summadele.</w:t>
      </w:r>
      <w:r w:rsidRPr="00EC5CFB">
        <w:rPr>
          <w:noProof/>
        </w:rPr>
        <w:t xml:space="preserve"> </w:t>
      </w:r>
      <w:r w:rsidRPr="00EC5CFB">
        <w:rPr>
          <w:noProof/>
          <w:sz w:val="20"/>
        </w:rPr>
        <w:t>Põhjaliku ümberplaneerimise korral tuleb esitada Exceli tabel.</w:t>
      </w:r>
    </w:p>
    <w:p w14:paraId="38BEE55E" w14:textId="77777777" w:rsidR="00C87E1E" w:rsidRPr="00EC5CFB" w:rsidRDefault="00C87E1E" w:rsidP="00C87E1E">
      <w:pPr>
        <w:tabs>
          <w:tab w:val="num" w:pos="1134"/>
        </w:tabs>
        <w:ind w:left="1134" w:hanging="283"/>
        <w:rPr>
          <w:noProof/>
        </w:rPr>
      </w:pPr>
      <w:r w:rsidRPr="00EC5CFB">
        <w:rPr>
          <w:noProof/>
        </w:rPr>
        <w:sym w:font="Wingdings" w:char="F0A8"/>
      </w:r>
      <w:r w:rsidRPr="00EC5CFB">
        <w:rPr>
          <w:noProof/>
        </w:rPr>
        <w:tab/>
        <w:t>tingib mitmeaastase finantsraamistiku asjaomase rubriigi mittesihtotstarbelise varu ja/või mitmeaastase finantsraamistiku määruses sätestatud erivahendite kasutuselevõtu.</w:t>
      </w:r>
    </w:p>
    <w:p w14:paraId="0E7227E2" w14:textId="77777777" w:rsidR="00C87E1E" w:rsidRPr="00EC5CFB" w:rsidRDefault="00C87E1E" w:rsidP="00FB18F4">
      <w:pPr>
        <w:pBdr>
          <w:top w:val="single" w:sz="4" w:space="1" w:color="auto"/>
          <w:left w:val="single" w:sz="4" w:space="4" w:color="auto"/>
          <w:bottom w:val="single" w:sz="4" w:space="1" w:color="auto"/>
          <w:right w:val="single" w:sz="4" w:space="4" w:color="auto"/>
        </w:pBdr>
        <w:rPr>
          <w:noProof/>
          <w:sz w:val="20"/>
        </w:rPr>
      </w:pPr>
      <w:r w:rsidRPr="00EC5CFB">
        <w:rPr>
          <w:noProof/>
          <w:sz w:val="20"/>
        </w:rPr>
        <w:t>Selgitage, millised toimingud on vajalikud, osutades asjaomastele rubriikidele, eelarveridadele ja summadele ning nimetades kasutatavad rahastamisvahendid.</w:t>
      </w:r>
    </w:p>
    <w:p w14:paraId="4C70CFAF" w14:textId="77777777" w:rsidR="00C87E1E" w:rsidRPr="00EC5CFB" w:rsidRDefault="00C87E1E" w:rsidP="00C87E1E">
      <w:pPr>
        <w:tabs>
          <w:tab w:val="num" w:pos="1134"/>
        </w:tabs>
        <w:ind w:left="1134" w:hanging="283"/>
        <w:rPr>
          <w:noProof/>
        </w:rPr>
      </w:pPr>
      <w:r w:rsidRPr="00EC5CFB">
        <w:rPr>
          <w:noProof/>
        </w:rPr>
        <w:sym w:font="Wingdings" w:char="F0A8"/>
      </w:r>
      <w:r w:rsidRPr="00EC5CFB">
        <w:rPr>
          <w:noProof/>
        </w:rPr>
        <w:tab/>
        <w:t>nõuab mitmeaastase finantsraamistiku muutmist.</w:t>
      </w:r>
    </w:p>
    <w:p w14:paraId="1EDC4A76" w14:textId="77777777" w:rsidR="00C87E1E" w:rsidRPr="00EC5CFB" w:rsidRDefault="00C87E1E" w:rsidP="00FB18F4">
      <w:pPr>
        <w:pBdr>
          <w:top w:val="single" w:sz="4" w:space="1" w:color="auto"/>
          <w:left w:val="single" w:sz="4" w:space="4" w:color="auto"/>
          <w:bottom w:val="single" w:sz="4" w:space="1" w:color="auto"/>
          <w:right w:val="single" w:sz="4" w:space="4" w:color="auto"/>
        </w:pBdr>
        <w:rPr>
          <w:noProof/>
          <w:sz w:val="20"/>
        </w:rPr>
      </w:pPr>
      <w:r w:rsidRPr="00EC5CFB">
        <w:rPr>
          <w:noProof/>
          <w:sz w:val="20"/>
        </w:rPr>
        <w:t>Selgitage, millised toimingud on vajalikud, osutades asjaomastele rubriikidele, eelarveridadele ja summadele.</w:t>
      </w:r>
    </w:p>
    <w:p w14:paraId="04215B33" w14:textId="77777777" w:rsidR="00C87E1E" w:rsidRPr="00EC5CFB" w:rsidRDefault="00C87E1E" w:rsidP="00FB18F4">
      <w:pPr>
        <w:keepNext/>
        <w:outlineLvl w:val="2"/>
        <w:rPr>
          <w:rFonts w:eastAsiaTheme="majorEastAsia"/>
          <w:i/>
          <w:noProof/>
          <w:szCs w:val="24"/>
        </w:rPr>
      </w:pPr>
      <w:bookmarkStart w:id="63" w:name="_Toc514938058"/>
      <w:bookmarkStart w:id="64" w:name="_Toc520485056"/>
      <w:r w:rsidRPr="00EC5CFB">
        <w:rPr>
          <w:i/>
          <w:noProof/>
        </w:rPr>
        <w:t>Kolmandate isikute rahaline osalus</w:t>
      </w:r>
      <w:bookmarkEnd w:id="63"/>
      <w:bookmarkEnd w:id="64"/>
      <w:r w:rsidRPr="00EC5CFB">
        <w:rPr>
          <w:i/>
          <w:noProof/>
        </w:rPr>
        <w:t xml:space="preserve"> </w:t>
      </w:r>
    </w:p>
    <w:p w14:paraId="0EB46E33" w14:textId="77777777" w:rsidR="00C87E1E" w:rsidRPr="00EC5CFB" w:rsidRDefault="00C87E1E" w:rsidP="00FB18F4">
      <w:pPr>
        <w:rPr>
          <w:noProof/>
        </w:rPr>
      </w:pPr>
      <w:r w:rsidRPr="00EC5CFB">
        <w:rPr>
          <w:noProof/>
        </w:rPr>
        <w:t>Ettepanek/algatus:</w:t>
      </w:r>
    </w:p>
    <w:p w14:paraId="3AF4569F" w14:textId="77777777" w:rsidR="00C87E1E" w:rsidRPr="00EC5CFB" w:rsidRDefault="00C87E1E" w:rsidP="00C87E1E">
      <w:pPr>
        <w:tabs>
          <w:tab w:val="num" w:pos="1134"/>
        </w:tabs>
        <w:ind w:left="1134" w:hanging="283"/>
        <w:rPr>
          <w:noProof/>
        </w:rPr>
      </w:pPr>
      <w:r w:rsidRPr="00EC5CFB">
        <w:rPr>
          <w:b/>
          <w:noProof/>
        </w:rPr>
        <w:t>X</w:t>
      </w:r>
      <w:r w:rsidRPr="00EC5CFB">
        <w:rPr>
          <w:noProof/>
        </w:rPr>
        <w:tab/>
        <w:t>ei hõlma kolmandate isikute poolset kaasrahastamist</w:t>
      </w:r>
    </w:p>
    <w:p w14:paraId="4AABDF2A" w14:textId="77777777" w:rsidR="00C87E1E" w:rsidRPr="00EC5CFB" w:rsidRDefault="00C87E1E" w:rsidP="00C87E1E">
      <w:pPr>
        <w:tabs>
          <w:tab w:val="num" w:pos="1134"/>
        </w:tabs>
        <w:ind w:left="1134" w:hanging="283"/>
        <w:rPr>
          <w:noProof/>
        </w:rPr>
      </w:pPr>
      <w:r w:rsidRPr="00EC5CFB">
        <w:rPr>
          <w:noProof/>
        </w:rPr>
        <w:sym w:font="Wingdings" w:char="F0A8"/>
      </w:r>
      <w:r w:rsidRPr="00EC5CFB">
        <w:rPr>
          <w:noProof/>
        </w:rPr>
        <w:tab/>
        <w:t>hõlmab kaasrahastamist, mille hinnanguline summa on järgmine:</w:t>
      </w:r>
    </w:p>
    <w:p w14:paraId="3E9D1A16" w14:textId="77777777" w:rsidR="00C87E1E" w:rsidRPr="00EC5CFB" w:rsidRDefault="00C87E1E" w:rsidP="00C87E1E">
      <w:pPr>
        <w:jc w:val="right"/>
        <w:rPr>
          <w:noProof/>
          <w:sz w:val="20"/>
        </w:rPr>
      </w:pPr>
      <w:r w:rsidRPr="00EC5CFB">
        <w:rPr>
          <w:noProof/>
          <w:sz w:val="20"/>
        </w:rPr>
        <w:t>assigneeringud miljonites eurodes (kolm kohta pärast koma)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87E1E" w:rsidRPr="00EC5CFB" w14:paraId="1490F7B3" w14:textId="77777777" w:rsidTr="00C87E1E">
        <w:trPr>
          <w:cantSplit/>
        </w:trPr>
        <w:tc>
          <w:tcPr>
            <w:tcW w:w="2340" w:type="dxa"/>
          </w:tcPr>
          <w:p w14:paraId="2BFE90F0" w14:textId="77777777" w:rsidR="00C87E1E" w:rsidRPr="00EC5CFB" w:rsidRDefault="00C87E1E" w:rsidP="00C87E1E">
            <w:pPr>
              <w:spacing w:before="60" w:after="60"/>
              <w:rPr>
                <w:noProof/>
                <w:sz w:val="20"/>
                <w:lang w:eastAsia="en-GB"/>
              </w:rPr>
            </w:pPr>
          </w:p>
        </w:tc>
        <w:tc>
          <w:tcPr>
            <w:tcW w:w="964" w:type="dxa"/>
            <w:vAlign w:val="center"/>
          </w:tcPr>
          <w:p w14:paraId="600B23F2"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 xml:space="preserve">N </w:t>
            </w:r>
            <w:r w:rsidRPr="00EC5CFB">
              <w:rPr>
                <w:rStyle w:val="FootnoteReference"/>
                <w:noProof/>
              </w:rPr>
              <w:footnoteReference w:id="32"/>
            </w:r>
          </w:p>
        </w:tc>
        <w:tc>
          <w:tcPr>
            <w:tcW w:w="964" w:type="dxa"/>
            <w:vAlign w:val="center"/>
          </w:tcPr>
          <w:p w14:paraId="266EF62C"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 + 1</w:t>
            </w:r>
          </w:p>
        </w:tc>
        <w:tc>
          <w:tcPr>
            <w:tcW w:w="964" w:type="dxa"/>
            <w:vAlign w:val="center"/>
          </w:tcPr>
          <w:p w14:paraId="09E6C81C"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 + 2</w:t>
            </w:r>
          </w:p>
        </w:tc>
        <w:tc>
          <w:tcPr>
            <w:tcW w:w="964" w:type="dxa"/>
            <w:vAlign w:val="center"/>
          </w:tcPr>
          <w:p w14:paraId="759790A4" w14:textId="77777777" w:rsidR="00C87E1E" w:rsidRPr="00EC5CFB" w:rsidRDefault="00C87E1E" w:rsidP="00C87E1E">
            <w:pPr>
              <w:jc w:val="center"/>
              <w:rPr>
                <w:noProof/>
                <w:sz w:val="20"/>
              </w:rPr>
            </w:pPr>
            <w:r w:rsidRPr="00EC5CFB">
              <w:rPr>
                <w:noProof/>
                <w:sz w:val="20"/>
              </w:rPr>
              <w:t>Aasta</w:t>
            </w:r>
            <w:r w:rsidRPr="00EC5CFB">
              <w:rPr>
                <w:noProof/>
              </w:rPr>
              <w:t xml:space="preserve"> </w:t>
            </w:r>
            <w:r w:rsidRPr="00EC5CFB">
              <w:rPr>
                <w:noProof/>
              </w:rPr>
              <w:br/>
            </w:r>
            <w:r w:rsidRPr="00EC5CFB">
              <w:rPr>
                <w:b/>
                <w:noProof/>
                <w:sz w:val="20"/>
              </w:rPr>
              <w:t>N + 3</w:t>
            </w:r>
          </w:p>
        </w:tc>
        <w:tc>
          <w:tcPr>
            <w:tcW w:w="2892" w:type="dxa"/>
            <w:gridSpan w:val="3"/>
            <w:vAlign w:val="center"/>
          </w:tcPr>
          <w:p w14:paraId="5294E5CD" w14:textId="77777777" w:rsidR="00C87E1E" w:rsidRPr="00EC5CFB" w:rsidRDefault="00C87E1E" w:rsidP="00C87E1E">
            <w:pPr>
              <w:jc w:val="center"/>
              <w:rPr>
                <w:b/>
                <w:noProof/>
                <w:sz w:val="20"/>
              </w:rPr>
            </w:pPr>
            <w:r w:rsidRPr="00EC5CFB">
              <w:rPr>
                <w:noProof/>
                <w:sz w:val="20"/>
              </w:rPr>
              <w:t>Lisage vajalik arv aastaid, et kajastada kogu finantsmõju kestust (vt punkt 1.6)</w:t>
            </w:r>
          </w:p>
        </w:tc>
        <w:tc>
          <w:tcPr>
            <w:tcW w:w="1158" w:type="dxa"/>
            <w:vAlign w:val="center"/>
          </w:tcPr>
          <w:p w14:paraId="3540DDFD" w14:textId="77777777" w:rsidR="00C87E1E" w:rsidRPr="00EC5CFB" w:rsidRDefault="00C87E1E" w:rsidP="00C87E1E">
            <w:pPr>
              <w:spacing w:before="60" w:after="60"/>
              <w:jc w:val="center"/>
              <w:rPr>
                <w:noProof/>
                <w:sz w:val="20"/>
              </w:rPr>
            </w:pPr>
            <w:r w:rsidRPr="00EC5CFB">
              <w:rPr>
                <w:noProof/>
                <w:sz w:val="20"/>
              </w:rPr>
              <w:t>Kokku</w:t>
            </w:r>
          </w:p>
        </w:tc>
      </w:tr>
      <w:tr w:rsidR="00C87E1E" w:rsidRPr="00EC5CFB" w14:paraId="5D4C700B" w14:textId="77777777" w:rsidTr="00C87E1E">
        <w:trPr>
          <w:cantSplit/>
        </w:trPr>
        <w:tc>
          <w:tcPr>
            <w:tcW w:w="2340" w:type="dxa"/>
          </w:tcPr>
          <w:p w14:paraId="187B37C4" w14:textId="77777777" w:rsidR="00C87E1E" w:rsidRPr="00EC5CFB" w:rsidRDefault="00C87E1E" w:rsidP="00C87E1E">
            <w:pPr>
              <w:rPr>
                <w:noProof/>
              </w:rPr>
            </w:pPr>
            <w:r w:rsidRPr="00EC5CFB">
              <w:rPr>
                <w:noProof/>
                <w:sz w:val="20"/>
              </w:rPr>
              <w:t>Nimetage kaasrahastav asutus</w:t>
            </w:r>
            <w:r w:rsidRPr="00EC5CFB">
              <w:rPr>
                <w:i/>
                <w:noProof/>
                <w:sz w:val="20"/>
              </w:rPr>
              <w:t xml:space="preserve"> </w:t>
            </w:r>
          </w:p>
        </w:tc>
        <w:tc>
          <w:tcPr>
            <w:tcW w:w="964" w:type="dxa"/>
            <w:vAlign w:val="center"/>
          </w:tcPr>
          <w:p w14:paraId="4A171459" w14:textId="77777777" w:rsidR="00C87E1E" w:rsidRPr="00EC5CFB" w:rsidRDefault="00C87E1E" w:rsidP="00C87E1E">
            <w:pPr>
              <w:spacing w:before="60" w:after="60"/>
              <w:jc w:val="center"/>
              <w:rPr>
                <w:noProof/>
                <w:sz w:val="20"/>
                <w:lang w:eastAsia="en-GB"/>
              </w:rPr>
            </w:pPr>
          </w:p>
        </w:tc>
        <w:tc>
          <w:tcPr>
            <w:tcW w:w="964" w:type="dxa"/>
            <w:vAlign w:val="center"/>
          </w:tcPr>
          <w:p w14:paraId="7274725F" w14:textId="77777777" w:rsidR="00C87E1E" w:rsidRPr="00EC5CFB" w:rsidRDefault="00C87E1E" w:rsidP="00C87E1E">
            <w:pPr>
              <w:spacing w:before="60" w:after="60"/>
              <w:jc w:val="center"/>
              <w:rPr>
                <w:noProof/>
                <w:sz w:val="20"/>
                <w:lang w:eastAsia="en-GB"/>
              </w:rPr>
            </w:pPr>
          </w:p>
        </w:tc>
        <w:tc>
          <w:tcPr>
            <w:tcW w:w="964" w:type="dxa"/>
            <w:vAlign w:val="center"/>
          </w:tcPr>
          <w:p w14:paraId="785490C2" w14:textId="77777777" w:rsidR="00C87E1E" w:rsidRPr="00EC5CFB" w:rsidRDefault="00C87E1E" w:rsidP="00C87E1E">
            <w:pPr>
              <w:spacing w:before="60" w:after="60"/>
              <w:jc w:val="center"/>
              <w:rPr>
                <w:noProof/>
                <w:sz w:val="20"/>
                <w:lang w:eastAsia="en-GB"/>
              </w:rPr>
            </w:pPr>
          </w:p>
        </w:tc>
        <w:tc>
          <w:tcPr>
            <w:tcW w:w="964" w:type="dxa"/>
            <w:vAlign w:val="center"/>
          </w:tcPr>
          <w:p w14:paraId="5F425231" w14:textId="77777777" w:rsidR="00C87E1E" w:rsidRPr="00EC5CFB" w:rsidRDefault="00C87E1E" w:rsidP="00C87E1E">
            <w:pPr>
              <w:spacing w:before="60" w:after="60"/>
              <w:jc w:val="center"/>
              <w:rPr>
                <w:noProof/>
                <w:sz w:val="20"/>
                <w:lang w:eastAsia="en-GB"/>
              </w:rPr>
            </w:pPr>
          </w:p>
        </w:tc>
        <w:tc>
          <w:tcPr>
            <w:tcW w:w="964" w:type="dxa"/>
            <w:vAlign w:val="center"/>
          </w:tcPr>
          <w:p w14:paraId="0E581B6A" w14:textId="77777777" w:rsidR="00C87E1E" w:rsidRPr="00EC5CFB" w:rsidRDefault="00C87E1E" w:rsidP="00C87E1E">
            <w:pPr>
              <w:spacing w:before="60" w:after="60"/>
              <w:jc w:val="center"/>
              <w:rPr>
                <w:noProof/>
                <w:sz w:val="20"/>
                <w:lang w:eastAsia="en-GB"/>
              </w:rPr>
            </w:pPr>
          </w:p>
        </w:tc>
        <w:tc>
          <w:tcPr>
            <w:tcW w:w="964" w:type="dxa"/>
            <w:vAlign w:val="center"/>
          </w:tcPr>
          <w:p w14:paraId="65205D6A" w14:textId="77777777" w:rsidR="00C87E1E" w:rsidRPr="00EC5CFB" w:rsidRDefault="00C87E1E" w:rsidP="00C87E1E">
            <w:pPr>
              <w:spacing w:before="60" w:after="60"/>
              <w:jc w:val="center"/>
              <w:rPr>
                <w:noProof/>
                <w:sz w:val="20"/>
                <w:lang w:eastAsia="en-GB"/>
              </w:rPr>
            </w:pPr>
          </w:p>
        </w:tc>
        <w:tc>
          <w:tcPr>
            <w:tcW w:w="964" w:type="dxa"/>
            <w:vAlign w:val="center"/>
          </w:tcPr>
          <w:p w14:paraId="25AC9648" w14:textId="77777777" w:rsidR="00C87E1E" w:rsidRPr="00EC5CFB" w:rsidRDefault="00C87E1E" w:rsidP="00C87E1E">
            <w:pPr>
              <w:spacing w:before="60" w:after="60"/>
              <w:jc w:val="center"/>
              <w:rPr>
                <w:noProof/>
                <w:sz w:val="20"/>
                <w:lang w:eastAsia="en-GB"/>
              </w:rPr>
            </w:pPr>
          </w:p>
        </w:tc>
        <w:tc>
          <w:tcPr>
            <w:tcW w:w="1158" w:type="dxa"/>
            <w:vAlign w:val="center"/>
          </w:tcPr>
          <w:p w14:paraId="690E1BC6" w14:textId="77777777" w:rsidR="00C87E1E" w:rsidRPr="00EC5CFB" w:rsidRDefault="00C87E1E" w:rsidP="00C87E1E">
            <w:pPr>
              <w:spacing w:before="60" w:after="60"/>
              <w:jc w:val="center"/>
              <w:rPr>
                <w:noProof/>
                <w:sz w:val="20"/>
                <w:lang w:eastAsia="en-GB"/>
              </w:rPr>
            </w:pPr>
          </w:p>
        </w:tc>
      </w:tr>
      <w:tr w:rsidR="00C87E1E" w:rsidRPr="00EC5CFB" w14:paraId="7A639D05" w14:textId="77777777" w:rsidTr="00C87E1E">
        <w:trPr>
          <w:cantSplit/>
        </w:trPr>
        <w:tc>
          <w:tcPr>
            <w:tcW w:w="2340" w:type="dxa"/>
          </w:tcPr>
          <w:p w14:paraId="58732C2A" w14:textId="77777777" w:rsidR="00C87E1E" w:rsidRPr="00EC5CFB" w:rsidRDefault="00C87E1E" w:rsidP="00C87E1E">
            <w:pPr>
              <w:spacing w:before="60" w:after="60"/>
              <w:jc w:val="left"/>
              <w:rPr>
                <w:noProof/>
                <w:sz w:val="20"/>
              </w:rPr>
            </w:pPr>
            <w:r w:rsidRPr="00EC5CFB">
              <w:rPr>
                <w:noProof/>
                <w:sz w:val="20"/>
              </w:rPr>
              <w:t xml:space="preserve">Kaasrahastatavad assigneeringud KOKKU </w:t>
            </w:r>
          </w:p>
        </w:tc>
        <w:tc>
          <w:tcPr>
            <w:tcW w:w="964" w:type="dxa"/>
            <w:vAlign w:val="center"/>
          </w:tcPr>
          <w:p w14:paraId="55721CC0" w14:textId="77777777" w:rsidR="00C87E1E" w:rsidRPr="00EC5CFB" w:rsidRDefault="00C87E1E" w:rsidP="00C87E1E">
            <w:pPr>
              <w:spacing w:before="60" w:after="60"/>
              <w:jc w:val="center"/>
              <w:rPr>
                <w:noProof/>
                <w:sz w:val="20"/>
                <w:lang w:eastAsia="en-GB"/>
              </w:rPr>
            </w:pPr>
          </w:p>
        </w:tc>
        <w:tc>
          <w:tcPr>
            <w:tcW w:w="964" w:type="dxa"/>
            <w:vAlign w:val="center"/>
          </w:tcPr>
          <w:p w14:paraId="15C5D542" w14:textId="77777777" w:rsidR="00C87E1E" w:rsidRPr="00EC5CFB" w:rsidRDefault="00C87E1E" w:rsidP="00C87E1E">
            <w:pPr>
              <w:spacing w:before="60" w:after="60"/>
              <w:jc w:val="center"/>
              <w:rPr>
                <w:noProof/>
                <w:sz w:val="20"/>
                <w:lang w:eastAsia="en-GB"/>
              </w:rPr>
            </w:pPr>
          </w:p>
        </w:tc>
        <w:tc>
          <w:tcPr>
            <w:tcW w:w="964" w:type="dxa"/>
            <w:vAlign w:val="center"/>
          </w:tcPr>
          <w:p w14:paraId="619300D8" w14:textId="77777777" w:rsidR="00C87E1E" w:rsidRPr="00EC5CFB" w:rsidRDefault="00C87E1E" w:rsidP="00C87E1E">
            <w:pPr>
              <w:spacing w:before="60" w:after="60"/>
              <w:jc w:val="center"/>
              <w:rPr>
                <w:noProof/>
                <w:sz w:val="20"/>
                <w:lang w:eastAsia="en-GB"/>
              </w:rPr>
            </w:pPr>
          </w:p>
        </w:tc>
        <w:tc>
          <w:tcPr>
            <w:tcW w:w="964" w:type="dxa"/>
            <w:vAlign w:val="center"/>
          </w:tcPr>
          <w:p w14:paraId="5F943D54" w14:textId="77777777" w:rsidR="00C87E1E" w:rsidRPr="00EC5CFB" w:rsidRDefault="00C87E1E" w:rsidP="00C87E1E">
            <w:pPr>
              <w:spacing w:before="60" w:after="60"/>
              <w:jc w:val="center"/>
              <w:rPr>
                <w:noProof/>
                <w:sz w:val="20"/>
                <w:lang w:eastAsia="en-GB"/>
              </w:rPr>
            </w:pPr>
          </w:p>
        </w:tc>
        <w:tc>
          <w:tcPr>
            <w:tcW w:w="964" w:type="dxa"/>
            <w:vAlign w:val="center"/>
          </w:tcPr>
          <w:p w14:paraId="550197B5" w14:textId="77777777" w:rsidR="00C87E1E" w:rsidRPr="00EC5CFB" w:rsidRDefault="00C87E1E" w:rsidP="00C87E1E">
            <w:pPr>
              <w:spacing w:before="60" w:after="60"/>
              <w:jc w:val="center"/>
              <w:rPr>
                <w:noProof/>
                <w:sz w:val="20"/>
                <w:lang w:eastAsia="en-GB"/>
              </w:rPr>
            </w:pPr>
          </w:p>
        </w:tc>
        <w:tc>
          <w:tcPr>
            <w:tcW w:w="964" w:type="dxa"/>
            <w:vAlign w:val="center"/>
          </w:tcPr>
          <w:p w14:paraId="3925CC94" w14:textId="77777777" w:rsidR="00C87E1E" w:rsidRPr="00EC5CFB" w:rsidRDefault="00C87E1E" w:rsidP="00C87E1E">
            <w:pPr>
              <w:spacing w:before="60" w:after="60"/>
              <w:jc w:val="center"/>
              <w:rPr>
                <w:noProof/>
                <w:sz w:val="20"/>
                <w:lang w:eastAsia="en-GB"/>
              </w:rPr>
            </w:pPr>
          </w:p>
        </w:tc>
        <w:tc>
          <w:tcPr>
            <w:tcW w:w="964" w:type="dxa"/>
            <w:vAlign w:val="center"/>
          </w:tcPr>
          <w:p w14:paraId="7A260ABA" w14:textId="77777777" w:rsidR="00C87E1E" w:rsidRPr="00EC5CFB" w:rsidRDefault="00C87E1E" w:rsidP="00C87E1E">
            <w:pPr>
              <w:spacing w:before="60" w:after="60"/>
              <w:jc w:val="center"/>
              <w:rPr>
                <w:noProof/>
                <w:sz w:val="20"/>
                <w:lang w:eastAsia="en-GB"/>
              </w:rPr>
            </w:pPr>
          </w:p>
        </w:tc>
        <w:tc>
          <w:tcPr>
            <w:tcW w:w="1158" w:type="dxa"/>
            <w:vAlign w:val="center"/>
          </w:tcPr>
          <w:p w14:paraId="20766DEB" w14:textId="77777777" w:rsidR="00C87E1E" w:rsidRPr="00EC5CFB" w:rsidRDefault="00C87E1E" w:rsidP="00C87E1E">
            <w:pPr>
              <w:spacing w:before="60" w:after="60"/>
              <w:jc w:val="center"/>
              <w:rPr>
                <w:noProof/>
                <w:sz w:val="20"/>
                <w:lang w:eastAsia="en-GB"/>
              </w:rPr>
            </w:pPr>
          </w:p>
        </w:tc>
      </w:tr>
    </w:tbl>
    <w:p w14:paraId="5A8BC20D" w14:textId="77777777" w:rsidR="00C87E1E" w:rsidRPr="00EC5CFB" w:rsidRDefault="00C87E1E" w:rsidP="00C87E1E">
      <w:pPr>
        <w:rPr>
          <w:noProof/>
        </w:rPr>
      </w:pPr>
      <w:r w:rsidRPr="00EC5CFB">
        <w:rPr>
          <w:noProof/>
        </w:rPr>
        <w:t xml:space="preserve"> </w:t>
      </w:r>
      <w:r w:rsidRPr="00EC5CFB">
        <w:rPr>
          <w:noProof/>
        </w:rPr>
        <w:br/>
      </w:r>
    </w:p>
    <w:p w14:paraId="3EA042AA" w14:textId="77777777" w:rsidR="00C87E1E" w:rsidRPr="00EC5CFB" w:rsidRDefault="00C87E1E" w:rsidP="00FB18F4">
      <w:pPr>
        <w:keepNext/>
        <w:outlineLvl w:val="1"/>
        <w:rPr>
          <w:rFonts w:eastAsiaTheme="majorEastAsia"/>
          <w:b/>
          <w:noProof/>
          <w:szCs w:val="24"/>
        </w:rPr>
      </w:pPr>
      <w:r w:rsidRPr="00EC5CFB">
        <w:rPr>
          <w:noProof/>
        </w:rPr>
        <w:br w:type="page"/>
      </w:r>
      <w:bookmarkStart w:id="65" w:name="_Toc514938059"/>
      <w:bookmarkStart w:id="66" w:name="_Toc520485057"/>
      <w:r w:rsidRPr="00EC5CFB">
        <w:rPr>
          <w:b/>
          <w:noProof/>
        </w:rPr>
        <w:t>Hinnanguline mõju tuludele</w:t>
      </w:r>
      <w:bookmarkEnd w:id="65"/>
      <w:bookmarkEnd w:id="66"/>
      <w:r w:rsidRPr="00EC5CFB">
        <w:rPr>
          <w:b/>
          <w:noProof/>
        </w:rPr>
        <w:t xml:space="preserve"> </w:t>
      </w:r>
    </w:p>
    <w:p w14:paraId="252A5AB6" w14:textId="77777777" w:rsidR="00E41E7D" w:rsidRPr="00EC5CFB" w:rsidRDefault="00137AA4" w:rsidP="00E41E7D">
      <w:pPr>
        <w:pStyle w:val="ListDash1"/>
        <w:rPr>
          <w:noProof/>
        </w:rPr>
      </w:pPr>
      <w:r w:rsidRPr="00EC5CFB">
        <w:rPr>
          <w:b/>
          <w:noProof/>
        </w:rPr>
        <w:t>X</w:t>
      </w:r>
      <w:r w:rsidRPr="00EC5CFB">
        <w:rPr>
          <w:noProof/>
        </w:rPr>
        <w:t xml:space="preserve"> Ettepanekul/algatusel puudub finantsmõju tuludele</w:t>
      </w:r>
    </w:p>
    <w:p w14:paraId="64E6C19F" w14:textId="77777777" w:rsidR="00E41E7D" w:rsidRPr="00EC5CFB" w:rsidRDefault="00E41E7D" w:rsidP="00E41E7D">
      <w:pPr>
        <w:pStyle w:val="ListDash1"/>
        <w:rPr>
          <w:noProof/>
        </w:rPr>
      </w:pPr>
      <w:r w:rsidRPr="00EC5CFB">
        <w:rPr>
          <w:noProof/>
        </w:rPr>
        <w:sym w:font="Wingdings" w:char="F0A8"/>
      </w:r>
      <w:r w:rsidRPr="00EC5CFB">
        <w:rPr>
          <w:noProof/>
        </w:rPr>
        <w:tab/>
        <w:t>Ettepanekul/algatusel on järgmine finantsmõju:</w:t>
      </w:r>
    </w:p>
    <w:p w14:paraId="039ED1DF" w14:textId="77777777" w:rsidR="00E41E7D" w:rsidRPr="00EC5CFB" w:rsidRDefault="00E41E7D" w:rsidP="00855A8A">
      <w:pPr>
        <w:ind w:left="697" w:firstLine="720"/>
        <w:rPr>
          <w:noProof/>
        </w:rPr>
      </w:pPr>
      <w:r w:rsidRPr="00EC5CFB">
        <w:rPr>
          <w:noProof/>
        </w:rPr>
        <w:sym w:font="Wingdings" w:char="F0A8"/>
      </w:r>
      <w:r w:rsidRPr="00EC5CFB">
        <w:rPr>
          <w:noProof/>
        </w:rPr>
        <w:tab/>
        <w:t xml:space="preserve">omavahenditele </w:t>
      </w:r>
    </w:p>
    <w:p w14:paraId="7EE61B12" w14:textId="77777777" w:rsidR="00E41E7D" w:rsidRPr="00EC5CFB" w:rsidRDefault="00137AA4" w:rsidP="00855A8A">
      <w:pPr>
        <w:ind w:left="697" w:firstLine="720"/>
        <w:rPr>
          <w:noProof/>
        </w:rPr>
      </w:pPr>
      <w:r w:rsidRPr="00EC5CFB">
        <w:rPr>
          <w:noProof/>
        </w:rPr>
        <w:sym w:font="Wingdings" w:char="F0A8"/>
      </w:r>
      <w:r w:rsidRPr="00EC5CFB">
        <w:rPr>
          <w:noProof/>
        </w:rPr>
        <w:tab/>
        <w:t>muudele tuludele</w:t>
      </w:r>
    </w:p>
    <w:p w14:paraId="5CA9712E" w14:textId="77777777" w:rsidR="00E41E7D" w:rsidRPr="00EC5CFB" w:rsidRDefault="00E41E7D" w:rsidP="00E41E7D">
      <w:pPr>
        <w:pStyle w:val="ListNumberLevel3"/>
        <w:tabs>
          <w:tab w:val="clear" w:pos="2126"/>
        </w:tabs>
        <w:ind w:left="1417" w:firstLine="0"/>
        <w:rPr>
          <w:noProof/>
        </w:rPr>
      </w:pPr>
    </w:p>
    <w:p w14:paraId="6B67E46C" w14:textId="77777777" w:rsidR="00C87E1E" w:rsidRPr="00EC5CFB" w:rsidRDefault="00C87E1E" w:rsidP="00C87E1E">
      <w:pPr>
        <w:numPr>
          <w:ilvl w:val="2"/>
          <w:numId w:val="0"/>
        </w:numPr>
        <w:tabs>
          <w:tab w:val="num" w:pos="2126"/>
        </w:tabs>
        <w:ind w:left="2126" w:hanging="709"/>
        <w:rPr>
          <w:noProof/>
        </w:rPr>
      </w:pPr>
      <w:r w:rsidRPr="00EC5CFB">
        <w:rPr>
          <w:noProof/>
        </w:rPr>
        <w:t xml:space="preserve">palun märkige, kas see on kulude eelarveridasid mõjutav sihtotstarbeline tulu </w:t>
      </w:r>
      <w:r w:rsidRPr="00EC5CFB">
        <w:rPr>
          <w:noProof/>
        </w:rPr>
        <w:sym w:font="Wingdings" w:char="F0A8"/>
      </w:r>
      <w:r w:rsidRPr="00EC5CFB">
        <w:rPr>
          <w:noProof/>
        </w:rPr>
        <w:tab/>
      </w:r>
    </w:p>
    <w:p w14:paraId="0BB306F6" w14:textId="77777777" w:rsidR="00C87E1E" w:rsidRPr="00EC5CFB" w:rsidRDefault="00C87E1E" w:rsidP="00C87E1E">
      <w:pPr>
        <w:ind w:left="4320"/>
        <w:rPr>
          <w:i/>
          <w:noProof/>
          <w:sz w:val="20"/>
        </w:rPr>
      </w:pPr>
      <w:r w:rsidRPr="00EC5CFB">
        <w:rPr>
          <w:noProof/>
        </w:rPr>
        <w:t xml:space="preserve">     miljonites eurodes (kolm kohta pärast koma)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87E1E" w:rsidRPr="00EC5CFB" w14:paraId="180217A1" w14:textId="77777777" w:rsidTr="00C87E1E">
        <w:trPr>
          <w:trHeight w:val="388"/>
        </w:trPr>
        <w:tc>
          <w:tcPr>
            <w:tcW w:w="2144" w:type="dxa"/>
            <w:vMerge w:val="restart"/>
            <w:vAlign w:val="center"/>
          </w:tcPr>
          <w:p w14:paraId="6E1ECB6E" w14:textId="77777777" w:rsidR="00C87E1E" w:rsidRPr="00EC5CFB" w:rsidRDefault="00C87E1E" w:rsidP="00C87E1E">
            <w:pPr>
              <w:spacing w:before="40" w:after="40"/>
              <w:rPr>
                <w:noProof/>
                <w:sz w:val="18"/>
              </w:rPr>
            </w:pPr>
            <w:r w:rsidRPr="00EC5CFB">
              <w:rPr>
                <w:noProof/>
                <w:sz w:val="18"/>
              </w:rPr>
              <w:t>Tulude eelarverida</w:t>
            </w:r>
          </w:p>
        </w:tc>
        <w:tc>
          <w:tcPr>
            <w:tcW w:w="1325" w:type="dxa"/>
            <w:vMerge w:val="restart"/>
            <w:vAlign w:val="center"/>
          </w:tcPr>
          <w:p w14:paraId="2E6F206A" w14:textId="77777777" w:rsidR="00C87E1E" w:rsidRPr="00EC5CFB" w:rsidRDefault="00C87E1E" w:rsidP="00C87E1E">
            <w:pPr>
              <w:jc w:val="center"/>
              <w:rPr>
                <w:noProof/>
                <w:sz w:val="18"/>
              </w:rPr>
            </w:pPr>
            <w:r w:rsidRPr="00EC5CFB">
              <w:rPr>
                <w:noProof/>
                <w:sz w:val="18"/>
              </w:rPr>
              <w:t>Jooksva aasta eelarves kättesaadavad assigneeringud</w:t>
            </w:r>
          </w:p>
        </w:tc>
        <w:tc>
          <w:tcPr>
            <w:tcW w:w="7151" w:type="dxa"/>
            <w:gridSpan w:val="7"/>
            <w:vAlign w:val="center"/>
          </w:tcPr>
          <w:p w14:paraId="783B5A3F" w14:textId="77777777" w:rsidR="00C87E1E" w:rsidRPr="00EC5CFB" w:rsidRDefault="00C87E1E" w:rsidP="00C87E1E">
            <w:pPr>
              <w:jc w:val="center"/>
              <w:rPr>
                <w:noProof/>
                <w:sz w:val="18"/>
              </w:rPr>
            </w:pPr>
            <w:r w:rsidRPr="00EC5CFB">
              <w:rPr>
                <w:noProof/>
                <w:sz w:val="18"/>
              </w:rPr>
              <w:t>Ettepaneku/algatuse mõju</w:t>
            </w:r>
            <w:r w:rsidRPr="00EC5CFB">
              <w:rPr>
                <w:rStyle w:val="FootnoteReference"/>
                <w:noProof/>
              </w:rPr>
              <w:footnoteReference w:id="33"/>
            </w:r>
          </w:p>
        </w:tc>
      </w:tr>
      <w:tr w:rsidR="00C87E1E" w:rsidRPr="00EC5CFB" w14:paraId="5E381809" w14:textId="77777777" w:rsidTr="00C87E1E">
        <w:trPr>
          <w:trHeight w:val="388"/>
        </w:trPr>
        <w:tc>
          <w:tcPr>
            <w:tcW w:w="2144" w:type="dxa"/>
            <w:vMerge/>
          </w:tcPr>
          <w:p w14:paraId="23512EF7" w14:textId="77777777" w:rsidR="00C87E1E" w:rsidRPr="00EC5CFB" w:rsidRDefault="00C87E1E" w:rsidP="00C87E1E">
            <w:pPr>
              <w:spacing w:before="40" w:after="40"/>
              <w:rPr>
                <w:noProof/>
                <w:sz w:val="18"/>
                <w:lang w:eastAsia="en-GB"/>
              </w:rPr>
            </w:pPr>
          </w:p>
        </w:tc>
        <w:tc>
          <w:tcPr>
            <w:tcW w:w="1325" w:type="dxa"/>
            <w:vMerge/>
          </w:tcPr>
          <w:p w14:paraId="7C838B66" w14:textId="77777777" w:rsidR="00C87E1E" w:rsidRPr="00EC5CFB" w:rsidRDefault="00C87E1E" w:rsidP="00C87E1E">
            <w:pPr>
              <w:spacing w:beforeLines="40" w:before="96" w:afterLines="40" w:after="96"/>
              <w:rPr>
                <w:i/>
                <w:noProof/>
                <w:sz w:val="18"/>
                <w:lang w:eastAsia="en-GB"/>
              </w:rPr>
            </w:pPr>
          </w:p>
        </w:tc>
        <w:tc>
          <w:tcPr>
            <w:tcW w:w="1031" w:type="dxa"/>
            <w:vAlign w:val="center"/>
          </w:tcPr>
          <w:p w14:paraId="5D87C7CE" w14:textId="77777777" w:rsidR="00C87E1E" w:rsidRPr="00EC5CFB" w:rsidRDefault="00C87E1E" w:rsidP="00C87E1E">
            <w:pPr>
              <w:jc w:val="center"/>
              <w:rPr>
                <w:noProof/>
                <w:sz w:val="18"/>
              </w:rPr>
            </w:pPr>
            <w:r w:rsidRPr="00EC5CFB">
              <w:rPr>
                <w:noProof/>
                <w:sz w:val="18"/>
              </w:rPr>
              <w:t>Aasta</w:t>
            </w:r>
            <w:r w:rsidRPr="00EC5CFB">
              <w:rPr>
                <w:noProof/>
              </w:rPr>
              <w:t xml:space="preserve"> </w:t>
            </w:r>
            <w:r w:rsidRPr="00EC5CFB">
              <w:rPr>
                <w:noProof/>
              </w:rPr>
              <w:br/>
            </w:r>
            <w:r w:rsidRPr="00EC5CFB">
              <w:rPr>
                <w:b/>
                <w:noProof/>
                <w:sz w:val="18"/>
              </w:rPr>
              <w:t>N</w:t>
            </w:r>
          </w:p>
        </w:tc>
        <w:tc>
          <w:tcPr>
            <w:tcW w:w="900" w:type="dxa"/>
            <w:vAlign w:val="center"/>
          </w:tcPr>
          <w:p w14:paraId="3D091E80" w14:textId="77777777" w:rsidR="00C87E1E" w:rsidRPr="00EC5CFB" w:rsidRDefault="00C87E1E" w:rsidP="00C87E1E">
            <w:pPr>
              <w:jc w:val="center"/>
              <w:rPr>
                <w:noProof/>
                <w:sz w:val="18"/>
              </w:rPr>
            </w:pPr>
            <w:r w:rsidRPr="00EC5CFB">
              <w:rPr>
                <w:noProof/>
                <w:sz w:val="18"/>
              </w:rPr>
              <w:t>Aasta</w:t>
            </w:r>
            <w:r w:rsidRPr="00EC5CFB">
              <w:rPr>
                <w:noProof/>
              </w:rPr>
              <w:t xml:space="preserve"> </w:t>
            </w:r>
            <w:r w:rsidRPr="00EC5CFB">
              <w:rPr>
                <w:noProof/>
              </w:rPr>
              <w:br/>
            </w:r>
            <w:r w:rsidRPr="00EC5CFB">
              <w:rPr>
                <w:b/>
                <w:noProof/>
                <w:sz w:val="18"/>
              </w:rPr>
              <w:t>N + 1</w:t>
            </w:r>
          </w:p>
        </w:tc>
        <w:tc>
          <w:tcPr>
            <w:tcW w:w="900" w:type="dxa"/>
            <w:vAlign w:val="center"/>
          </w:tcPr>
          <w:p w14:paraId="21E3E739" w14:textId="77777777" w:rsidR="00C87E1E" w:rsidRPr="00EC5CFB" w:rsidRDefault="00C87E1E" w:rsidP="00C87E1E">
            <w:pPr>
              <w:jc w:val="center"/>
              <w:rPr>
                <w:noProof/>
                <w:sz w:val="18"/>
              </w:rPr>
            </w:pPr>
            <w:r w:rsidRPr="00EC5CFB">
              <w:rPr>
                <w:noProof/>
                <w:sz w:val="18"/>
              </w:rPr>
              <w:t>Aasta</w:t>
            </w:r>
            <w:r w:rsidRPr="00EC5CFB">
              <w:rPr>
                <w:noProof/>
              </w:rPr>
              <w:t xml:space="preserve"> </w:t>
            </w:r>
            <w:r w:rsidRPr="00EC5CFB">
              <w:rPr>
                <w:noProof/>
              </w:rPr>
              <w:br/>
            </w:r>
            <w:r w:rsidRPr="00EC5CFB">
              <w:rPr>
                <w:b/>
                <w:noProof/>
                <w:sz w:val="18"/>
              </w:rPr>
              <w:t>N + 2</w:t>
            </w:r>
          </w:p>
        </w:tc>
        <w:tc>
          <w:tcPr>
            <w:tcW w:w="1080" w:type="dxa"/>
            <w:vAlign w:val="center"/>
          </w:tcPr>
          <w:p w14:paraId="3F2A3D90" w14:textId="77777777" w:rsidR="00C87E1E" w:rsidRPr="00EC5CFB" w:rsidRDefault="00C87E1E" w:rsidP="00C87E1E">
            <w:pPr>
              <w:jc w:val="center"/>
              <w:rPr>
                <w:noProof/>
                <w:sz w:val="18"/>
              </w:rPr>
            </w:pPr>
            <w:r w:rsidRPr="00EC5CFB">
              <w:rPr>
                <w:noProof/>
                <w:sz w:val="18"/>
              </w:rPr>
              <w:t>Aasta</w:t>
            </w:r>
            <w:r w:rsidRPr="00EC5CFB">
              <w:rPr>
                <w:noProof/>
              </w:rPr>
              <w:t xml:space="preserve"> </w:t>
            </w:r>
            <w:r w:rsidRPr="00EC5CFB">
              <w:rPr>
                <w:noProof/>
              </w:rPr>
              <w:br/>
            </w:r>
            <w:r w:rsidRPr="00EC5CFB">
              <w:rPr>
                <w:b/>
                <w:noProof/>
                <w:sz w:val="18"/>
              </w:rPr>
              <w:t>N + 3</w:t>
            </w:r>
          </w:p>
        </w:tc>
        <w:tc>
          <w:tcPr>
            <w:tcW w:w="3240" w:type="dxa"/>
            <w:gridSpan w:val="3"/>
            <w:vAlign w:val="center"/>
          </w:tcPr>
          <w:p w14:paraId="52889E92" w14:textId="77777777" w:rsidR="00C87E1E" w:rsidRPr="00EC5CFB" w:rsidRDefault="00C87E1E" w:rsidP="00C87E1E">
            <w:pPr>
              <w:jc w:val="center"/>
              <w:rPr>
                <w:b/>
                <w:noProof/>
                <w:sz w:val="18"/>
              </w:rPr>
            </w:pPr>
            <w:r w:rsidRPr="00EC5CFB">
              <w:rPr>
                <w:noProof/>
                <w:sz w:val="18"/>
              </w:rPr>
              <w:t>Lisage vajalik arv aastaid, et kajastada kogu finantsmõju kestust (vt punkt 1.6)</w:t>
            </w:r>
          </w:p>
        </w:tc>
      </w:tr>
      <w:tr w:rsidR="00C87E1E" w:rsidRPr="00EC5CFB" w14:paraId="13CB5366" w14:textId="77777777" w:rsidTr="00C87E1E">
        <w:trPr>
          <w:trHeight w:val="388"/>
        </w:trPr>
        <w:tc>
          <w:tcPr>
            <w:tcW w:w="2144" w:type="dxa"/>
            <w:vAlign w:val="center"/>
          </w:tcPr>
          <w:p w14:paraId="28FEF8AC" w14:textId="77777777" w:rsidR="00C87E1E" w:rsidRPr="00EC5CFB" w:rsidRDefault="00C87E1E" w:rsidP="00C87E1E">
            <w:pPr>
              <w:spacing w:before="40" w:after="40"/>
              <w:rPr>
                <w:noProof/>
                <w:sz w:val="18"/>
              </w:rPr>
            </w:pPr>
            <w:r w:rsidRPr="00EC5CFB">
              <w:rPr>
                <w:noProof/>
                <w:sz w:val="18"/>
              </w:rPr>
              <w:t>Artikkel ….</w:t>
            </w:r>
          </w:p>
        </w:tc>
        <w:tc>
          <w:tcPr>
            <w:tcW w:w="1325" w:type="dxa"/>
          </w:tcPr>
          <w:p w14:paraId="5896AB6F" w14:textId="77777777" w:rsidR="00C87E1E" w:rsidRPr="00EC5CFB" w:rsidRDefault="00C87E1E" w:rsidP="00C87E1E">
            <w:pPr>
              <w:spacing w:beforeLines="40" w:before="96" w:afterLines="40" w:after="96"/>
              <w:jc w:val="center"/>
              <w:rPr>
                <w:i/>
                <w:noProof/>
                <w:sz w:val="18"/>
                <w:lang w:eastAsia="en-GB"/>
              </w:rPr>
            </w:pPr>
          </w:p>
        </w:tc>
        <w:tc>
          <w:tcPr>
            <w:tcW w:w="1031" w:type="dxa"/>
          </w:tcPr>
          <w:p w14:paraId="273BB012" w14:textId="77777777" w:rsidR="00C87E1E" w:rsidRPr="00EC5CFB" w:rsidRDefault="00C87E1E" w:rsidP="00C87E1E">
            <w:pPr>
              <w:spacing w:beforeLines="40" w:before="96" w:afterLines="40" w:after="96"/>
              <w:jc w:val="center"/>
              <w:rPr>
                <w:noProof/>
                <w:sz w:val="18"/>
                <w:lang w:eastAsia="en-GB"/>
              </w:rPr>
            </w:pPr>
          </w:p>
        </w:tc>
        <w:tc>
          <w:tcPr>
            <w:tcW w:w="900" w:type="dxa"/>
          </w:tcPr>
          <w:p w14:paraId="37DE67D9" w14:textId="77777777" w:rsidR="00C87E1E" w:rsidRPr="00EC5CFB" w:rsidRDefault="00C87E1E" w:rsidP="00C87E1E">
            <w:pPr>
              <w:spacing w:beforeLines="40" w:before="96" w:afterLines="40" w:after="96"/>
              <w:jc w:val="center"/>
              <w:rPr>
                <w:noProof/>
                <w:sz w:val="18"/>
                <w:lang w:eastAsia="en-GB"/>
              </w:rPr>
            </w:pPr>
          </w:p>
        </w:tc>
        <w:tc>
          <w:tcPr>
            <w:tcW w:w="900" w:type="dxa"/>
          </w:tcPr>
          <w:p w14:paraId="6A42CA58" w14:textId="77777777" w:rsidR="00C87E1E" w:rsidRPr="00EC5CFB" w:rsidRDefault="00C87E1E" w:rsidP="00C87E1E">
            <w:pPr>
              <w:spacing w:beforeLines="40" w:before="96" w:afterLines="40" w:after="96"/>
              <w:jc w:val="center"/>
              <w:rPr>
                <w:noProof/>
                <w:sz w:val="18"/>
                <w:lang w:eastAsia="en-GB"/>
              </w:rPr>
            </w:pPr>
          </w:p>
        </w:tc>
        <w:tc>
          <w:tcPr>
            <w:tcW w:w="1080" w:type="dxa"/>
          </w:tcPr>
          <w:p w14:paraId="1F597BFF" w14:textId="77777777" w:rsidR="00C87E1E" w:rsidRPr="00EC5CFB" w:rsidRDefault="00C87E1E" w:rsidP="00C87E1E">
            <w:pPr>
              <w:spacing w:beforeLines="40" w:before="96" w:afterLines="40" w:after="96"/>
              <w:jc w:val="center"/>
              <w:rPr>
                <w:noProof/>
                <w:sz w:val="18"/>
                <w:lang w:eastAsia="en-GB"/>
              </w:rPr>
            </w:pPr>
          </w:p>
        </w:tc>
        <w:tc>
          <w:tcPr>
            <w:tcW w:w="1080" w:type="dxa"/>
          </w:tcPr>
          <w:p w14:paraId="46F699F0" w14:textId="77777777" w:rsidR="00C87E1E" w:rsidRPr="00EC5CFB" w:rsidRDefault="00C87E1E" w:rsidP="00C87E1E">
            <w:pPr>
              <w:spacing w:beforeLines="40" w:before="96" w:afterLines="40" w:after="96"/>
              <w:jc w:val="center"/>
              <w:rPr>
                <w:noProof/>
                <w:sz w:val="18"/>
                <w:lang w:eastAsia="en-GB"/>
              </w:rPr>
            </w:pPr>
          </w:p>
        </w:tc>
        <w:tc>
          <w:tcPr>
            <w:tcW w:w="1080" w:type="dxa"/>
          </w:tcPr>
          <w:p w14:paraId="7D7C5DC8" w14:textId="77777777" w:rsidR="00C87E1E" w:rsidRPr="00EC5CFB" w:rsidRDefault="00C87E1E" w:rsidP="00C87E1E">
            <w:pPr>
              <w:spacing w:beforeLines="40" w:before="96" w:afterLines="40" w:after="96"/>
              <w:jc w:val="center"/>
              <w:rPr>
                <w:noProof/>
                <w:sz w:val="18"/>
                <w:lang w:eastAsia="en-GB"/>
              </w:rPr>
            </w:pPr>
          </w:p>
        </w:tc>
        <w:tc>
          <w:tcPr>
            <w:tcW w:w="1080" w:type="dxa"/>
          </w:tcPr>
          <w:p w14:paraId="2726BA71" w14:textId="77777777" w:rsidR="00C87E1E" w:rsidRPr="00EC5CFB" w:rsidRDefault="00C87E1E" w:rsidP="00C87E1E">
            <w:pPr>
              <w:spacing w:beforeLines="40" w:before="96" w:afterLines="40" w:after="96"/>
              <w:jc w:val="center"/>
              <w:rPr>
                <w:noProof/>
                <w:sz w:val="18"/>
                <w:lang w:eastAsia="en-GB"/>
              </w:rPr>
            </w:pPr>
          </w:p>
        </w:tc>
      </w:tr>
    </w:tbl>
    <w:p w14:paraId="7A4B3B6E" w14:textId="77777777" w:rsidR="00C87E1E" w:rsidRPr="00EC5CFB" w:rsidRDefault="00C87E1E" w:rsidP="00FB18F4">
      <w:pPr>
        <w:rPr>
          <w:noProof/>
          <w:sz w:val="20"/>
        </w:rPr>
      </w:pPr>
      <w:r w:rsidRPr="00EC5CFB">
        <w:rPr>
          <w:noProof/>
          <w:sz w:val="20"/>
        </w:rPr>
        <w:t>Sihtotstarbeliste tulude puhul märkige, milliseid kulude eelarveridasid ettepanek mõjutab.</w:t>
      </w:r>
    </w:p>
    <w:p w14:paraId="3333E0D3" w14:textId="77777777" w:rsidR="00C87E1E" w:rsidRPr="00EC5CFB" w:rsidRDefault="00C87E1E" w:rsidP="00FB18F4">
      <w:pPr>
        <w:pBdr>
          <w:top w:val="single" w:sz="4" w:space="1" w:color="auto"/>
          <w:left w:val="single" w:sz="4" w:space="4" w:color="auto"/>
          <w:bottom w:val="single" w:sz="4" w:space="1" w:color="auto"/>
          <w:right w:val="single" w:sz="4" w:space="4" w:color="auto"/>
        </w:pBdr>
        <w:rPr>
          <w:noProof/>
        </w:rPr>
      </w:pPr>
      <w:r w:rsidRPr="00EC5CFB">
        <w:rPr>
          <w:noProof/>
          <w:color w:val="0000FF"/>
        </w:rPr>
        <w:t>[…]</w:t>
      </w:r>
    </w:p>
    <w:p w14:paraId="6844CDD9" w14:textId="77777777" w:rsidR="00C87E1E" w:rsidRPr="00EC5CFB" w:rsidRDefault="00C87E1E" w:rsidP="00FB18F4">
      <w:pPr>
        <w:rPr>
          <w:noProof/>
          <w:sz w:val="20"/>
        </w:rPr>
      </w:pPr>
      <w:r w:rsidRPr="00EC5CFB">
        <w:rPr>
          <w:noProof/>
          <w:sz w:val="20"/>
        </w:rPr>
        <w:t>Muud märkused (nt tuludele avaldatava mõju arvutamise meetod/valem või muu teave).</w:t>
      </w:r>
    </w:p>
    <w:p w14:paraId="3299FDD0" w14:textId="77777777" w:rsidR="00C1332E" w:rsidRPr="00EC5CFB" w:rsidRDefault="00C87E1E" w:rsidP="004B3EAF">
      <w:pPr>
        <w:pBdr>
          <w:top w:val="single" w:sz="4" w:space="1" w:color="auto"/>
          <w:left w:val="single" w:sz="4" w:space="4" w:color="auto"/>
          <w:bottom w:val="single" w:sz="4" w:space="1" w:color="auto"/>
          <w:right w:val="single" w:sz="4" w:space="4" w:color="auto"/>
        </w:pBdr>
        <w:rPr>
          <w:noProof/>
        </w:rPr>
      </w:pPr>
      <w:r w:rsidRPr="00EC5CFB">
        <w:rPr>
          <w:noProof/>
          <w:color w:val="0000FF"/>
        </w:rPr>
        <w:t>[…]</w:t>
      </w:r>
    </w:p>
    <w:sectPr w:rsidR="00C1332E" w:rsidRPr="00EC5CFB" w:rsidSect="0011671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63A1" w14:textId="77777777" w:rsidR="005C2C63" w:rsidRDefault="005C2C63">
      <w:pPr>
        <w:spacing w:before="0" w:after="0"/>
      </w:pPr>
      <w:r>
        <w:separator/>
      </w:r>
    </w:p>
  </w:endnote>
  <w:endnote w:type="continuationSeparator" w:id="0">
    <w:p w14:paraId="7F6B33A6" w14:textId="77777777" w:rsidR="005C2C63" w:rsidRDefault="005C2C63">
      <w:pPr>
        <w:spacing w:before="0" w:after="0"/>
      </w:pPr>
      <w:r>
        <w:continuationSeparator/>
      </w:r>
    </w:p>
  </w:endnote>
  <w:endnote w:type="continuationNotice" w:id="1">
    <w:p w14:paraId="53694E48" w14:textId="77777777" w:rsidR="005C2C63" w:rsidRDefault="005C2C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2AE4" w14:textId="4FCACEA8" w:rsidR="00EC5CFB" w:rsidRPr="00116713" w:rsidRDefault="00116713" w:rsidP="00116713">
    <w:pPr>
      <w:pStyle w:val="Footer"/>
      <w:rPr>
        <w:rFonts w:ascii="Arial" w:hAnsi="Arial" w:cs="Arial"/>
        <w:b/>
        <w:sz w:val="48"/>
      </w:rPr>
    </w:pPr>
    <w:r w:rsidRPr="00116713">
      <w:rPr>
        <w:rFonts w:ascii="Arial" w:hAnsi="Arial" w:cs="Arial"/>
        <w:b/>
        <w:sz w:val="48"/>
      </w:rPr>
      <w:t>ET</w:t>
    </w:r>
    <w:r w:rsidRPr="00116713">
      <w:rPr>
        <w:rFonts w:ascii="Arial" w:hAnsi="Arial" w:cs="Arial"/>
        <w:b/>
        <w:sz w:val="48"/>
      </w:rPr>
      <w:tab/>
    </w:r>
    <w:r w:rsidRPr="00116713">
      <w:rPr>
        <w:rFonts w:ascii="Arial" w:hAnsi="Arial" w:cs="Arial"/>
        <w:b/>
        <w:sz w:val="48"/>
      </w:rPr>
      <w:tab/>
    </w:r>
    <w:r w:rsidRPr="00116713">
      <w:tab/>
    </w:r>
    <w:r w:rsidRPr="00116713">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41ED" w14:textId="7C9C17ED" w:rsidR="00116713" w:rsidRPr="00116713" w:rsidRDefault="00116713" w:rsidP="00116713">
    <w:pPr>
      <w:pStyle w:val="Footer"/>
      <w:rPr>
        <w:rFonts w:ascii="Arial" w:hAnsi="Arial" w:cs="Arial"/>
        <w:b/>
        <w:sz w:val="48"/>
      </w:rPr>
    </w:pPr>
    <w:r w:rsidRPr="00116713">
      <w:rPr>
        <w:rFonts w:ascii="Arial" w:hAnsi="Arial" w:cs="Arial"/>
        <w:b/>
        <w:sz w:val="48"/>
      </w:rPr>
      <w:t>ET</w:t>
    </w:r>
    <w:r w:rsidRPr="00116713">
      <w:rPr>
        <w:rFonts w:ascii="Arial" w:hAnsi="Arial" w:cs="Arial"/>
        <w:b/>
        <w:sz w:val="48"/>
      </w:rPr>
      <w:tab/>
    </w:r>
    <w:r>
      <w:fldChar w:fldCharType="begin"/>
    </w:r>
    <w:r>
      <w:instrText xml:space="preserve"> PAGE  \* MERGEFORMAT </w:instrText>
    </w:r>
    <w:r>
      <w:fldChar w:fldCharType="separate"/>
    </w:r>
    <w:r w:rsidR="00BA5AC6">
      <w:rPr>
        <w:noProof/>
      </w:rPr>
      <w:t>16</w:t>
    </w:r>
    <w:r>
      <w:fldChar w:fldCharType="end"/>
    </w:r>
    <w:r>
      <w:tab/>
    </w:r>
    <w:r w:rsidRPr="00116713">
      <w:tab/>
    </w:r>
    <w:r w:rsidRPr="00116713">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C604" w14:textId="77777777" w:rsidR="00116713" w:rsidRPr="00116713" w:rsidRDefault="00116713" w:rsidP="00116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D203" w14:textId="19F7B0F7" w:rsidR="00116713" w:rsidRPr="00116713" w:rsidRDefault="00116713" w:rsidP="00116713">
    <w:pPr>
      <w:pStyle w:val="FooterLandscape"/>
      <w:rPr>
        <w:rFonts w:ascii="Arial" w:hAnsi="Arial" w:cs="Arial"/>
        <w:b/>
        <w:sz w:val="48"/>
      </w:rPr>
    </w:pPr>
    <w:r w:rsidRPr="00116713">
      <w:rPr>
        <w:rFonts w:ascii="Arial" w:hAnsi="Arial" w:cs="Arial"/>
        <w:b/>
        <w:sz w:val="48"/>
      </w:rPr>
      <w:t>ET</w:t>
    </w:r>
    <w:r w:rsidRPr="0011671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6713">
      <w:tab/>
    </w:r>
    <w:r w:rsidRPr="00116713">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8E8A" w14:textId="77777777" w:rsidR="00116713" w:rsidRPr="00116713" w:rsidRDefault="00116713" w:rsidP="00116713">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7687" w14:textId="0AECCFE6" w:rsidR="005C2C63" w:rsidRPr="00116713" w:rsidRDefault="00116713" w:rsidP="00116713">
    <w:pPr>
      <w:pStyle w:val="Footer"/>
      <w:rPr>
        <w:rFonts w:ascii="Arial" w:hAnsi="Arial" w:cs="Arial"/>
        <w:b/>
        <w:sz w:val="48"/>
      </w:rPr>
    </w:pPr>
    <w:r w:rsidRPr="00116713">
      <w:rPr>
        <w:rFonts w:ascii="Arial" w:hAnsi="Arial" w:cs="Arial"/>
        <w:b/>
        <w:sz w:val="48"/>
      </w:rPr>
      <w:t>ET</w:t>
    </w:r>
    <w:r w:rsidRPr="0011671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6713">
      <w:tab/>
    </w:r>
    <w:r w:rsidRPr="00116713">
      <w:rPr>
        <w:rFonts w:ascii="Arial" w:hAnsi="Arial" w:cs="Arial"/>
        <w:b/>
        <w:sz w:val="48"/>
      </w:rPr>
      <w:t>ET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1091" w14:textId="77777777" w:rsidR="00116713" w:rsidRPr="00116713" w:rsidRDefault="00116713" w:rsidP="0011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6D3DD" w14:textId="77777777" w:rsidR="005C2C63" w:rsidRDefault="005C2C63">
      <w:pPr>
        <w:spacing w:before="0" w:after="0"/>
      </w:pPr>
      <w:r>
        <w:separator/>
      </w:r>
    </w:p>
  </w:footnote>
  <w:footnote w:type="continuationSeparator" w:id="0">
    <w:p w14:paraId="47B04C87" w14:textId="77777777" w:rsidR="005C2C63" w:rsidRDefault="005C2C63">
      <w:pPr>
        <w:spacing w:before="0" w:after="0"/>
      </w:pPr>
      <w:r>
        <w:continuationSeparator/>
      </w:r>
    </w:p>
  </w:footnote>
  <w:footnote w:type="continuationNotice" w:id="1">
    <w:p w14:paraId="032031E2" w14:textId="77777777" w:rsidR="005C2C63" w:rsidRDefault="005C2C63">
      <w:pPr>
        <w:spacing w:before="0" w:after="0"/>
      </w:pPr>
    </w:p>
  </w:footnote>
  <w:footnote w:id="2">
    <w:p w14:paraId="3A27C33F" w14:textId="77777777" w:rsidR="005C2C63" w:rsidRDefault="005C2C63" w:rsidP="002D130D">
      <w:pPr>
        <w:pStyle w:val="FootnoteText"/>
      </w:pPr>
      <w:r>
        <w:rPr>
          <w:rStyle w:val="FootnoteReference"/>
        </w:rPr>
        <w:footnoteRef/>
      </w:r>
      <w:r>
        <w:tab/>
        <w:t>Nõukogu 4. märtsi 2022. aasta rakendusotsus (EL) 2022/382, millega määratakse kindlaks Ukrainast lähtuva põgenike massilise sissevoolu olemasolu direktiivi 2001/55/EÜ artikli 5 tähenduses ning nähakse selle tulemusena ette ajutine kaitse (ELT L 71, 4.3.2022, lk 1–6).</w:t>
      </w:r>
    </w:p>
  </w:footnote>
  <w:footnote w:id="3">
    <w:p w14:paraId="227A0C60" w14:textId="77777777" w:rsidR="005C2C63" w:rsidRPr="00093372" w:rsidRDefault="005C2C63" w:rsidP="002D130D">
      <w:pPr>
        <w:pStyle w:val="FootnoteText"/>
      </w:pPr>
      <w:r>
        <w:rPr>
          <w:rStyle w:val="FootnoteReference"/>
        </w:rPr>
        <w:footnoteRef/>
      </w:r>
      <w:r>
        <w:tab/>
        <w:t>Nõukogu 20. juuli 2001. aasta direktiiv 2001/55/EÜ miinimumnõuete kohta ajutise kaitse andmiseks ümberasustatud isikute massilise sissevoolu korral ning meetmete kohta liikmesriikide jõupingutuste tasakaalustamiseks nende isikute vastuvõtmisel ning selle tagajärgede kandmisel (EÜT L 212, 7.8.2001, lk 12).</w:t>
      </w:r>
    </w:p>
  </w:footnote>
  <w:footnote w:id="4">
    <w:p w14:paraId="3C3151AE" w14:textId="5D8D98EE" w:rsidR="005C2C63" w:rsidRPr="00027C97" w:rsidRDefault="005C2C63">
      <w:pPr>
        <w:pStyle w:val="FootnoteText"/>
      </w:pPr>
      <w:r>
        <w:rPr>
          <w:rStyle w:val="FootnoteReference"/>
        </w:rPr>
        <w:footnoteRef/>
      </w:r>
      <w:r>
        <w:tab/>
        <w:t>Euroopa Parlamendi ja nõukogu 6. aprilli 2022. aasta määrus (EL) 2022/562, millega muudetakse määrusi (EL) nr 1303/2013 ja (EL) nr 223/2014 seoses ühtekuuluvusmeetmetega pagulaste toetamiseks Euroopas (CARE) (ELT L 109, 8.4.2022, lk 1).</w:t>
      </w:r>
    </w:p>
  </w:footnote>
  <w:footnote w:id="5">
    <w:p w14:paraId="1A017714" w14:textId="77777777" w:rsidR="005C2C63" w:rsidRDefault="005C2C63">
      <w:pPr>
        <w:pStyle w:val="FootnoteText"/>
      </w:pPr>
      <w:r>
        <w:rPr>
          <w:rStyle w:val="FootnoteReference"/>
        </w:rPr>
        <w:footnoteRef/>
      </w:r>
      <w:r>
        <w:tab/>
        <w:t>ELT C ..., ..., lk …</w:t>
      </w:r>
    </w:p>
  </w:footnote>
  <w:footnote w:id="6">
    <w:p w14:paraId="4541EA72" w14:textId="77777777" w:rsidR="005C2C63" w:rsidRDefault="005C2C63">
      <w:pPr>
        <w:pStyle w:val="FootnoteText"/>
      </w:pPr>
      <w:r>
        <w:rPr>
          <w:rStyle w:val="FootnoteReference"/>
        </w:rPr>
        <w:footnoteRef/>
      </w:r>
      <w:r>
        <w:tab/>
        <w:t>ELT C ..., ..., lk …</w:t>
      </w:r>
    </w:p>
  </w:footnote>
  <w:footnote w:id="7">
    <w:p w14:paraId="0CCBE964" w14:textId="77777777" w:rsidR="005C2C63" w:rsidRPr="00EE3449" w:rsidRDefault="005C2C63" w:rsidP="0011607E">
      <w:pPr>
        <w:pStyle w:val="FootnoteText"/>
      </w:pPr>
      <w:r>
        <w:rPr>
          <w:rStyle w:val="FootnoteReference"/>
        </w:rPr>
        <w:footnoteRef/>
      </w:r>
      <w:r>
        <w:tab/>
        <w:t>Nõukogu 17.detsembri 2020. aasta määrus (EL, Euratom) 2020/2093, millega määratakse kindlaks mitmeaastane finantsraamistik aastateks 2021–2027 (ELT L 433I, 22.12.2020, lk 11).</w:t>
      </w:r>
    </w:p>
  </w:footnote>
  <w:footnote w:id="8">
    <w:p w14:paraId="6461B69B" w14:textId="46FD0582" w:rsidR="005C2C63" w:rsidRPr="00027C97" w:rsidRDefault="005C2C63">
      <w:pPr>
        <w:pStyle w:val="FootnoteText"/>
      </w:pPr>
      <w:r>
        <w:rPr>
          <w:rStyle w:val="FootnoteReference"/>
        </w:rPr>
        <w:footnoteRef/>
      </w:r>
      <w:r>
        <w:tab/>
        <w:t>Euroopa Parlamendi ja nõukogu 6. aprilli 2022. aasta määrus (EL) 2022/562, millega muudetakse määrusi (EL) nr 1303/2013 ja (EL) nr 223/2014 seoses ühtekuuluvusmeetmetega pagulaste toetamiseks Euroopas (CARE) (ELT L 109, 8.4.2022, lk 1).</w:t>
      </w:r>
    </w:p>
  </w:footnote>
  <w:footnote w:id="9">
    <w:p w14:paraId="7CAF8763" w14:textId="77777777" w:rsidR="005C2C63" w:rsidRPr="006E0515" w:rsidRDefault="005C2C63" w:rsidP="0011607E">
      <w:pPr>
        <w:pStyle w:val="FootnoteText"/>
      </w:pPr>
      <w:r>
        <w:rPr>
          <w:rStyle w:val="FootnoteReference"/>
        </w:rPr>
        <w:footnoteRef/>
      </w:r>
      <w:r>
        <w:tab/>
        <w:t>Euroopa Parlamendi ja nõukogu 17. detsembri 2013. aasta määrus (EL) nr 1303/2013, millega kehtestatakse ühissätted Euroopa Regionaalarengu Fondi, Euroopa Sotsiaalfondi, Ühtekuuluvusfondi, Euroopa Maaelu Arengu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w:t>
      </w:r>
    </w:p>
  </w:footnote>
  <w:footnote w:id="10">
    <w:p w14:paraId="74E9D494" w14:textId="77777777" w:rsidR="005C2C63" w:rsidRPr="00750D4D" w:rsidRDefault="005C2C63" w:rsidP="0011607E">
      <w:pPr>
        <w:pStyle w:val="FootnoteText"/>
      </w:pPr>
      <w:r>
        <w:rPr>
          <w:rStyle w:val="FootnoteReference"/>
        </w:rPr>
        <w:footnoteRef/>
      </w:r>
      <w:r>
        <w:tab/>
        <w:t>Euroopa Parlamendi ja nõukogu 11. märtsi 2014. aasta määrus (EL) nr 223/2014, mis käsitleb Euroopa abifondi enim puudustkannatavate isikute jaoks (</w:t>
      </w:r>
      <w:r>
        <w:rPr>
          <w:rStyle w:val="Emphasis"/>
          <w:i w:val="0"/>
          <w:color w:val="333333"/>
          <w:shd w:val="clear" w:color="auto" w:fill="FFFFFF"/>
        </w:rPr>
        <w:t>ELT L 72, 12.3.2014, lk 1).</w:t>
      </w:r>
    </w:p>
  </w:footnote>
  <w:footnote w:id="11">
    <w:p w14:paraId="23CE5C80" w14:textId="4BC2600E" w:rsidR="005C2C63" w:rsidRPr="00027C97" w:rsidRDefault="005C2C63">
      <w:pPr>
        <w:pStyle w:val="FootnoteText"/>
      </w:pPr>
      <w:r>
        <w:rPr>
          <w:rStyle w:val="FootnoteReference"/>
        </w:rPr>
        <w:footnoteRef/>
      </w:r>
      <w:r>
        <w:tab/>
        <w:t>Euroopa Parlamendi ja nõukogu 12. aprilli 2022. aasta määrus (EL) 2022/613, millega muudetakse määrusi (EL) nr 1303/2013 ja (EL) nr 223/2014 seoses REACT-EU vahenditest tehtavate eelmaksete suurendamise ja ühikuhinna kehtestamisega (ELT L 115, 13.4.2022, lk 38).</w:t>
      </w:r>
    </w:p>
  </w:footnote>
  <w:footnote w:id="12">
    <w:p w14:paraId="449578F3" w14:textId="77777777" w:rsidR="005C2C63" w:rsidRPr="008F6722" w:rsidRDefault="005C2C63" w:rsidP="00FE6BBA">
      <w:pPr>
        <w:pStyle w:val="FootnoteText"/>
      </w:pPr>
      <w:r>
        <w:rPr>
          <w:rStyle w:val="FootnoteReference"/>
        </w:rPr>
        <w:footnoteRef/>
      </w:r>
      <w:r>
        <w:tab/>
        <w:t>Euroopa Parlamendi ja nõukogu 24. juuni 2021. aasta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30.6.2021, lk 159).</w:t>
      </w:r>
    </w:p>
  </w:footnote>
  <w:footnote w:id="13">
    <w:p w14:paraId="414453F0" w14:textId="34C35DBE" w:rsidR="005C2C63" w:rsidRPr="00027C97" w:rsidRDefault="005C2C63">
      <w:pPr>
        <w:pStyle w:val="FootnoteText"/>
      </w:pPr>
      <w:r>
        <w:rPr>
          <w:rStyle w:val="FootnoteReference"/>
        </w:rPr>
        <w:footnoteRef/>
      </w:r>
      <w:r>
        <w:tab/>
        <w:t>Nõukogu 4. märtsi 2022. aasta rakendusotsus (EL) 2022/382, millega määratakse kindlaks Ukrainast lähtuva põgenike massilise sissevoolu olemasolu direktiivi 2001/55/EÜ artikli 5 tähenduses ning nähakse selle tulemusena ette ajutine kaitse (ELT L 71, 4.3.2022, lk 1).</w:t>
      </w:r>
    </w:p>
  </w:footnote>
  <w:footnote w:id="14">
    <w:p w14:paraId="54544248" w14:textId="2D213DD1" w:rsidR="005C2C63" w:rsidRPr="00027C97" w:rsidRDefault="005C2C63">
      <w:pPr>
        <w:pStyle w:val="FootnoteText"/>
      </w:pPr>
      <w:r>
        <w:rPr>
          <w:rStyle w:val="FootnoteReference"/>
        </w:rPr>
        <w:footnoteRef/>
      </w:r>
      <w:r>
        <w:tab/>
        <w:t>Nõukogu 20. juuli 2001. aasta direktiiv 2001/55/EÜ miinimumnõuete kohta ajutise kaitse andmiseks ümberasustatud isikute massilise sissevoolu korral ning meetmete kohta liikmesriikide jõupingutuste tasakaalustamiseks nende isikute vastuvõtmisel ning selle tagajärgede kandmisel (EÜT L 212, 7.8.2001, lk 12).</w:t>
      </w:r>
    </w:p>
  </w:footnote>
  <w:footnote w:id="15">
    <w:p w14:paraId="58483D1A" w14:textId="77777777" w:rsidR="005C2C63" w:rsidRDefault="005C2C63">
      <w:pPr>
        <w:pStyle w:val="FootnoteText"/>
      </w:pPr>
      <w:r>
        <w:rPr>
          <w:rStyle w:val="FootnoteReference"/>
        </w:rPr>
        <w:footnoteRef/>
      </w:r>
      <w:r>
        <w:tab/>
        <w:t>Euroopa Parlamendi ja nõukogu 17. detsembri 2013. aasta määrus (EL) nr 1301/2013, mis käsitleb Euroopa Regionaalarengu Fondi ja majanduskasvu ja tööhõivesse investeerimise eesmärgiga seonduvaid erisätteid ning millega tunnistatakse kehtetuks määrus (EÜ) nr 1080/200 (ELT L 347, 20.12.2013, lk 289).</w:t>
      </w:r>
    </w:p>
  </w:footnote>
  <w:footnote w:id="16">
    <w:p w14:paraId="665CF5C5" w14:textId="77777777" w:rsidR="005C2C63" w:rsidRDefault="005C2C63">
      <w:pPr>
        <w:pStyle w:val="FootnoteText"/>
      </w:pPr>
      <w:r>
        <w:rPr>
          <w:rStyle w:val="FootnoteReference"/>
        </w:rPr>
        <w:footnoteRef/>
      </w:r>
      <w:r>
        <w:tab/>
        <w:t>Euroopa Parlamendi ja nõukogu 17. detsembri 2013. aasta määrus (EL) nr 1304/2013, mis käsitleb Euroopa Sotsiaalfondi ja millega tunnistatakse kehtetuks nõukogu määrus (EÜ) nr 1081/2006 (ELT L 347, 20.12.2013, lk 470).</w:t>
      </w:r>
    </w:p>
  </w:footnote>
  <w:footnote w:id="17">
    <w:p w14:paraId="174D72EA" w14:textId="77777777" w:rsidR="005C2C63" w:rsidRDefault="005C2C63">
      <w:pPr>
        <w:pStyle w:val="FootnoteText"/>
      </w:pPr>
      <w:r>
        <w:rPr>
          <w:rStyle w:val="FootnoteReference"/>
        </w:rPr>
        <w:footnoteRef/>
      </w:r>
      <w:r>
        <w:tab/>
        <w:t>Euroopa Parlamendi ja nõukogu 17. detsembri 2013. aasta määrus (EL) nr 1300/2013, mis käsitleb Ühtekuuluvusfondi ja millega tunnistatakse kehtetuks määrus (EÜ) nr 1084/2006 (ELT L 347, 20.12.2013, lk 281).</w:t>
      </w:r>
    </w:p>
  </w:footnote>
  <w:footnote w:id="18">
    <w:p w14:paraId="113E4783" w14:textId="77777777" w:rsidR="005C2C63" w:rsidRDefault="005C2C63">
      <w:pPr>
        <w:pStyle w:val="FootnoteText"/>
      </w:pPr>
      <w:r>
        <w:rPr>
          <w:rStyle w:val="FootnoteReference"/>
        </w:rPr>
        <w:footnoteRef/>
      </w:r>
      <w:r>
        <w:tab/>
        <w:t>Euroopa Parlamendi ja nõukogu 17. detsembri 2013. aasta määrus (EL) nr 1299/2013 erisätete kohta, mis käsitlevad Euroopa Regionaalarengu Fondist toetuse andmist Euroopa territoriaalse koostöö eesmärgil (ELT L 347, 20.12.2013, lk 259).</w:t>
      </w:r>
    </w:p>
  </w:footnote>
  <w:footnote w:id="19">
    <w:p w14:paraId="1D4A3187" w14:textId="77777777" w:rsidR="005C2C63" w:rsidRDefault="005C2C63">
      <w:pPr>
        <w:pStyle w:val="FootnoteText"/>
      </w:pPr>
      <w:r>
        <w:rPr>
          <w:rStyle w:val="FootnoteReference"/>
        </w:rPr>
        <w:footnoteRef/>
      </w:r>
      <w:r>
        <w:tab/>
        <w:t>Euroopa Parlamendi ja nõukogu 15. mai 2014. aasta määrus (EL) nr 508/2014 Euroopa Merendus- ja Kalandusfondi kohta ja millega tunnistatakse kehtetuks nõukogu määrused (EÜ) nr 2328/2003, (EÜ) nr 861/2006, (EÜ) nr 1198/2006 ja (EÜ) nr 791/2007 ning Euroopa Parlamendi ja nõukogu määrus (EL) nr 1255/2011 (ELT L 149, 20.5.2014, lk 1).</w:t>
      </w:r>
    </w:p>
  </w:footnote>
  <w:footnote w:id="20">
    <w:p w14:paraId="425ABFB7" w14:textId="77777777" w:rsidR="005C2C63" w:rsidRDefault="005C2C63" w:rsidP="00E41E7D">
      <w:pPr>
        <w:pStyle w:val="FootnoteText"/>
        <w:rPr>
          <w:szCs w:val="24"/>
        </w:rPr>
      </w:pPr>
      <w:r>
        <w:rPr>
          <w:rStyle w:val="FootnoteReference"/>
        </w:rPr>
        <w:footnoteRef/>
      </w:r>
      <w:r>
        <w:tab/>
        <w:t>Vastavalt finantsmääruse artikli 58 lõike 2 punktile a või b.</w:t>
      </w:r>
    </w:p>
  </w:footnote>
  <w:footnote w:id="21">
    <w:p w14:paraId="2E79A7BF" w14:textId="77777777" w:rsidR="005C2C63" w:rsidRDefault="005C2C63" w:rsidP="00E41E7D">
      <w:pPr>
        <w:pStyle w:val="FootnoteText"/>
        <w:jc w:val="left"/>
        <w:rPr>
          <w:szCs w:val="24"/>
        </w:rPr>
      </w:pPr>
      <w:r>
        <w:rPr>
          <w:rStyle w:val="FootnoteReference"/>
        </w:rPr>
        <w:footnoteRef/>
      </w:r>
      <w:r>
        <w:tab/>
        <w:t xml:space="preserve">Eelarve täitmise viise koos viidetega finantsmäärusele on selgitatud veebisaidil: </w:t>
      </w:r>
      <w:hyperlink r:id="rId1" w:history="1">
        <w:r>
          <w:rPr>
            <w:rStyle w:val="Hyperlink"/>
          </w:rPr>
          <w:t>https://myintracomm.ec.europa.eu/budgweb/ET/man/budgmanag/Pages/budgmanag.aspx</w:t>
        </w:r>
      </w:hyperlink>
      <w:r>
        <w:t xml:space="preserve"> </w:t>
      </w:r>
    </w:p>
  </w:footnote>
  <w:footnote w:id="22">
    <w:p w14:paraId="0C25232E" w14:textId="77777777" w:rsidR="005C2C63" w:rsidRDefault="005C2C63" w:rsidP="00C87E1E">
      <w:pPr>
        <w:pStyle w:val="FootnoteText"/>
        <w:rPr>
          <w:szCs w:val="24"/>
        </w:rPr>
      </w:pPr>
      <w:r>
        <w:rPr>
          <w:rStyle w:val="FootnoteReference"/>
        </w:rPr>
        <w:footnoteRef/>
      </w:r>
      <w:r>
        <w:tab/>
        <w:t>Liigendatud = liigendatud assigneeringud / liigendamata = liigendamata assigneeringud.</w:t>
      </w:r>
    </w:p>
  </w:footnote>
  <w:footnote w:id="23">
    <w:p w14:paraId="07C3588E" w14:textId="77777777" w:rsidR="005C2C63" w:rsidRDefault="005C2C63" w:rsidP="00C87E1E">
      <w:pPr>
        <w:pStyle w:val="FootnoteText"/>
        <w:rPr>
          <w:szCs w:val="24"/>
        </w:rPr>
      </w:pPr>
      <w:r>
        <w:rPr>
          <w:rStyle w:val="FootnoteReference"/>
        </w:rPr>
        <w:footnoteRef/>
      </w:r>
      <w:r>
        <w:tab/>
        <w:t xml:space="preserve">EFTA: Euroopa Vabakaubanduse Assotsiatsioon. </w:t>
      </w:r>
    </w:p>
  </w:footnote>
  <w:footnote w:id="24">
    <w:p w14:paraId="6C2905F1" w14:textId="77777777" w:rsidR="005C2C63" w:rsidRDefault="005C2C63" w:rsidP="00C87E1E">
      <w:pPr>
        <w:pStyle w:val="FootnoteText"/>
        <w:rPr>
          <w:szCs w:val="24"/>
        </w:rPr>
      </w:pPr>
      <w:r>
        <w:rPr>
          <w:rStyle w:val="FootnoteReference"/>
        </w:rPr>
        <w:footnoteRef/>
      </w:r>
      <w:r>
        <w:tab/>
        <w:t>Kandidaatriigid ja vajaduse korral Lääne-Balkani potentsiaalsed kandidaatriigid.</w:t>
      </w:r>
    </w:p>
  </w:footnote>
  <w:footnote w:id="25">
    <w:p w14:paraId="7CD5DDE4" w14:textId="77777777" w:rsidR="005C2C63" w:rsidRDefault="005C2C63" w:rsidP="00431F4F">
      <w:pPr>
        <w:pStyle w:val="FootnoteText"/>
        <w:rPr>
          <w:szCs w:val="24"/>
        </w:rPr>
      </w:pPr>
      <w:r>
        <w:rPr>
          <w:rStyle w:val="FootnoteReference"/>
        </w:rPr>
        <w:footnoteRef/>
      </w:r>
      <w:r>
        <w:tab/>
      </w:r>
      <w:r>
        <w:rPr>
          <w:sz w:val="18"/>
        </w:rPr>
        <w:t>Tehniline ja/või haldusabi ning ELi programmide ja/või meetmete rakendamiseks antava toetusega seotud kulud (endised BA read), kaudne teadustegevus, otsene teadustegevus.</w:t>
      </w:r>
    </w:p>
  </w:footnote>
  <w:footnote w:id="26">
    <w:p w14:paraId="33AE7109" w14:textId="77777777" w:rsidR="005C2C63" w:rsidRDefault="005C2C63" w:rsidP="00C87E1E">
      <w:pPr>
        <w:pStyle w:val="FootnoteText"/>
        <w:rPr>
          <w:szCs w:val="24"/>
        </w:rPr>
      </w:pPr>
      <w:r>
        <w:rPr>
          <w:rStyle w:val="FootnoteReference"/>
        </w:rPr>
        <w:footnoteRef/>
      </w:r>
      <w:r>
        <w:tab/>
        <w:t>Väljunditena käsitatakse tarnitud tooteid ja osutatud teenuseid (nt rahastatud üliõpilasvahetuste arv, ehitatud teede pikkus kilomeetrites jms).</w:t>
      </w:r>
    </w:p>
  </w:footnote>
  <w:footnote w:id="27">
    <w:p w14:paraId="46332DD3" w14:textId="77777777" w:rsidR="005C2C63" w:rsidRDefault="005C2C63" w:rsidP="00C87E1E">
      <w:pPr>
        <w:pStyle w:val="FootnoteText"/>
        <w:rPr>
          <w:szCs w:val="24"/>
        </w:rPr>
      </w:pPr>
      <w:r>
        <w:rPr>
          <w:rStyle w:val="FootnoteReference"/>
        </w:rPr>
        <w:footnoteRef/>
      </w:r>
      <w:r>
        <w:tab/>
        <w:t xml:space="preserve">Vastavalt punktile 1.4.2 „Erieesmärgid ...“ </w:t>
      </w:r>
    </w:p>
  </w:footnote>
  <w:footnote w:id="28">
    <w:p w14:paraId="3471E366" w14:textId="77777777" w:rsidR="005C2C63" w:rsidRPr="008D0E8A" w:rsidRDefault="005C2C63" w:rsidP="00C87E1E">
      <w:pPr>
        <w:pStyle w:val="FootnoteText"/>
        <w:rPr>
          <w:sz w:val="18"/>
          <w:szCs w:val="18"/>
        </w:rPr>
      </w:pPr>
      <w:r>
        <w:rPr>
          <w:rStyle w:val="FootnoteReference"/>
        </w:rPr>
        <w:footnoteRef/>
      </w:r>
      <w:r>
        <w:tab/>
      </w:r>
      <w:r>
        <w:rPr>
          <w:sz w:val="18"/>
        </w:rPr>
        <w:t>N on aasta, mil alustatakse ettepaneku/algatuse rakendamist. „N“ asemel tuleb märkida esimene eeldatav rakendamise aasta (näiteks 2021). Sama tuleb teha ka järgnevate aastate puhul.</w:t>
      </w:r>
    </w:p>
  </w:footnote>
  <w:footnote w:id="29">
    <w:p w14:paraId="102DA18A" w14:textId="77777777" w:rsidR="005C2C63" w:rsidRDefault="005C2C63" w:rsidP="00C87E1E">
      <w:pPr>
        <w:pStyle w:val="FootnoteText"/>
        <w:rPr>
          <w:szCs w:val="24"/>
        </w:rPr>
      </w:pPr>
      <w:r>
        <w:rPr>
          <w:rStyle w:val="FootnoteReference"/>
        </w:rPr>
        <w:footnoteRef/>
      </w:r>
      <w:r>
        <w:tab/>
      </w:r>
      <w:r>
        <w:rPr>
          <w:sz w:val="18"/>
        </w:rPr>
        <w:t>Tehniline ja/või haldusabi ning ELi programmide ja/või meetmete rakendamiseks antava toetusega seotud kulud (endised BA read), kaudne teadustegevus, otsene teadustegevus.</w:t>
      </w:r>
    </w:p>
  </w:footnote>
  <w:footnote w:id="30">
    <w:p w14:paraId="419AEAAC" w14:textId="77777777" w:rsidR="005C2C63" w:rsidRDefault="005C2C63" w:rsidP="00C87E1E">
      <w:pPr>
        <w:pStyle w:val="FootnoteText"/>
        <w:rPr>
          <w:szCs w:val="24"/>
        </w:rPr>
      </w:pPr>
      <w:r>
        <w:rPr>
          <w:rStyle w:val="FootnoteReference"/>
        </w:rPr>
        <w:footnoteRef/>
      </w:r>
      <w:r>
        <w:tab/>
        <w:t xml:space="preserve">Lepingulised töötajad, kohalikud töötajad, riikide lähetatud eksperdid, renditööjõud, noored spetsialistid delegatsioonides. </w:t>
      </w:r>
    </w:p>
  </w:footnote>
  <w:footnote w:id="31">
    <w:p w14:paraId="6F29A385" w14:textId="77777777" w:rsidR="005C2C63" w:rsidRDefault="005C2C63" w:rsidP="00C87E1E">
      <w:pPr>
        <w:pStyle w:val="FootnoteText"/>
        <w:rPr>
          <w:szCs w:val="24"/>
        </w:rPr>
      </w:pPr>
      <w:r>
        <w:rPr>
          <w:rStyle w:val="FootnoteReference"/>
        </w:rPr>
        <w:footnoteRef/>
      </w:r>
      <w:r>
        <w:tab/>
        <w:t>Tegevusassigneeringutest rahastatavate koosseisuväliste töötajate ülempiiri arvestades (endised BA read).</w:t>
      </w:r>
    </w:p>
  </w:footnote>
  <w:footnote w:id="32">
    <w:p w14:paraId="2B7319C2" w14:textId="77777777" w:rsidR="005C2C63" w:rsidRDefault="005C2C63" w:rsidP="00C87E1E">
      <w:pPr>
        <w:pStyle w:val="FootnoteText"/>
      </w:pPr>
      <w:r>
        <w:rPr>
          <w:rStyle w:val="FootnoteReference"/>
        </w:rPr>
        <w:footnoteRef/>
      </w:r>
      <w:r>
        <w:tab/>
        <w:t>N on aasta, mil alustatakse ettepaneku/algatuse rakendamist. „N“ asemel tuleb märkida esimene eeldatav rakendamise aasta (näiteks 2021). Sama tuleb teha ka järgnevate aastate puhul.</w:t>
      </w:r>
    </w:p>
  </w:footnote>
  <w:footnote w:id="33">
    <w:p w14:paraId="79AFE570" w14:textId="77777777" w:rsidR="005C2C63" w:rsidRDefault="005C2C63" w:rsidP="00C87E1E">
      <w:pPr>
        <w:pStyle w:val="FootnoteText"/>
        <w:rPr>
          <w:szCs w:val="24"/>
        </w:rPr>
      </w:pPr>
      <w:r>
        <w:rPr>
          <w:rStyle w:val="FootnoteReference"/>
        </w:rPr>
        <w:footnoteRef/>
      </w:r>
      <w:r>
        <w:tab/>
        <w:t>Traditsiooniliste omavahendite (tollimaksud ja suhkrumaksud) korral tuleb märkida netosummad, st brutosumma pärast 20 % sissenõudmiskulude mahaarvamist.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80C9" w14:textId="77777777" w:rsidR="00116713" w:rsidRPr="00116713" w:rsidRDefault="00116713" w:rsidP="0011671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3F43" w14:textId="77777777" w:rsidR="00116713" w:rsidRPr="00116713" w:rsidRDefault="00116713" w:rsidP="0011671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3317" w14:textId="77777777" w:rsidR="005C2C63" w:rsidRPr="00C36AA6" w:rsidRDefault="005C2C63" w:rsidP="001167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22A8" w14:textId="77777777" w:rsidR="00116713" w:rsidRPr="00116713" w:rsidRDefault="00116713" w:rsidP="00116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0"/>
  </w:num>
  <w:num w:numId="11">
    <w:abstractNumId w:val="19"/>
  </w:num>
  <w:num w:numId="12">
    <w:abstractNumId w:val="14"/>
  </w:num>
  <w:num w:numId="13">
    <w:abstractNumId w:val="13"/>
  </w:num>
  <w:num w:numId="14">
    <w:abstractNumId w:val="22"/>
    <w:lvlOverride w:ilvl="0">
      <w:startOverride w:val="1"/>
    </w:lvlOverride>
  </w:num>
  <w:num w:numId="15">
    <w:abstractNumId w:val="27"/>
    <w:lvlOverride w:ilvl="0">
      <w:startOverride w:val="1"/>
    </w:lvlOverride>
  </w:num>
  <w:num w:numId="16">
    <w:abstractNumId w:val="24"/>
  </w:num>
  <w:num w:numId="17">
    <w:abstractNumId w:val="15"/>
  </w:num>
  <w:num w:numId="18">
    <w:abstractNumId w:val="26"/>
  </w:num>
  <w:num w:numId="19">
    <w:abstractNumId w:val="12"/>
  </w:num>
  <w:num w:numId="20">
    <w:abstractNumId w:val="16"/>
  </w:num>
  <w:num w:numId="21">
    <w:abstractNumId w:val="17"/>
  </w:num>
  <w:num w:numId="22">
    <w:abstractNumId w:val="10"/>
  </w:num>
  <w:num w:numId="23">
    <w:abstractNumId w:val="25"/>
  </w:num>
  <w:num w:numId="24">
    <w:abstractNumId w:val="9"/>
  </w:num>
  <w:num w:numId="25">
    <w:abstractNumId w:val="18"/>
  </w:num>
  <w:num w:numId="26">
    <w:abstractNumId w:val="22"/>
  </w:num>
  <w:num w:numId="27">
    <w:abstractNumId w:val="23"/>
  </w:num>
  <w:num w:numId="28">
    <w:abstractNumId w:val="11"/>
  </w:num>
  <w:num w:numId="29">
    <w:abstractNumId w:val="21"/>
  </w:num>
  <w:num w:numId="30">
    <w:abstractNumId w:val="27"/>
  </w:num>
  <w:num w:numId="31">
    <w:abstractNumId w:val="24"/>
  </w:num>
  <w:num w:numId="32">
    <w:abstractNumId w:val="15"/>
  </w:num>
  <w:num w:numId="33">
    <w:abstractNumId w:val="26"/>
  </w:num>
  <w:num w:numId="34">
    <w:abstractNumId w:val="12"/>
  </w:num>
  <w:num w:numId="35">
    <w:abstractNumId w:val="16"/>
  </w:num>
  <w:num w:numId="36">
    <w:abstractNumId w:val="17"/>
  </w:num>
  <w:num w:numId="37">
    <w:abstractNumId w:val="10"/>
  </w:num>
  <w:num w:numId="38">
    <w:abstractNumId w:val="25"/>
  </w:num>
  <w:num w:numId="39">
    <w:abstractNumId w:val="9"/>
  </w:num>
  <w:num w:numId="40">
    <w:abstractNumId w:val="18"/>
  </w:num>
  <w:num w:numId="41">
    <w:abstractNumId w:val="22"/>
  </w:num>
  <w:num w:numId="42">
    <w:abstractNumId w:val="23"/>
  </w:num>
  <w:num w:numId="43">
    <w:abstractNumId w:val="11"/>
  </w:num>
  <w:num w:numId="44">
    <w:abstractNumId w:val="21"/>
  </w:num>
  <w:num w:numId="4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7-01 10:50:3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A8DC8B75-139A-4A3F-8D55-AC635942ADE1"/>
    <w:docVar w:name="LW_COVERPAGE_TYPE" w:val="1"/>
    <w:docVar w:name="LW_CROSSREFERENCE" w:val="&lt;UNUSED&gt;"/>
    <w:docVar w:name="LW_DocType" w:val="COM"/>
    <w:docVar w:name="LW_EMISSION" w:val="29.6.2022"/>
    <w:docVar w:name="LW_EMISSION_ISODATE" w:val="2022-06-29"/>
    <w:docVar w:name="LW_EMISSION_LOCATION" w:val="BRX"/>
    <w:docVar w:name="LW_EMISSION_PREFIX" w:val="Brüssel,"/>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COD"/>
    <w:docVar w:name="LW_REF.II.NEW.CP_NUMBER" w:val="0208"/>
    <w:docVar w:name="LW_REF.II.NEW.CP_YEAR" w:val="2022"/>
    <w:docVar w:name="LW_REF.INST.NEW" w:val="COM"/>
    <w:docVar w:name="LW_REF.INST.NEW_ADOPTED" w:val="final"/>
    <w:docVar w:name="LW_REF.INST.NEW_TEXT" w:val="(2022)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millega muudetakse määrust (EL) nr 1303/2013 ja määrust (EL) 2021/1060 seoses täiendava paindlikkusega Venemaa Föderatsiooni sõjalise agressiooni tagajärgedega tegelemiseks _x000b_FAST (paindlik abi territooriumidele) – CARE"/>
    <w:docVar w:name="LW_TYPE.DOC.CP" w:val="EUROOPA PARLAMENDI JA NÕUKOGU MÄÄRUS,"/>
    <w:docVar w:name="LwApiVersions" w:val="LW4CoDe 1.23.2.0; LW 8.0, Build 20211117"/>
  </w:docVars>
  <w:rsids>
    <w:rsidRoot w:val="00C1332E"/>
    <w:rsid w:val="0000018F"/>
    <w:rsid w:val="00000438"/>
    <w:rsid w:val="00000D80"/>
    <w:rsid w:val="000013B8"/>
    <w:rsid w:val="00002070"/>
    <w:rsid w:val="00002B5D"/>
    <w:rsid w:val="0000561F"/>
    <w:rsid w:val="00007482"/>
    <w:rsid w:val="00007FCC"/>
    <w:rsid w:val="00010016"/>
    <w:rsid w:val="00011A54"/>
    <w:rsid w:val="00012F1F"/>
    <w:rsid w:val="000144CA"/>
    <w:rsid w:val="00016C39"/>
    <w:rsid w:val="00017758"/>
    <w:rsid w:val="00020FF8"/>
    <w:rsid w:val="00021FA3"/>
    <w:rsid w:val="00027C97"/>
    <w:rsid w:val="000307C8"/>
    <w:rsid w:val="000314FC"/>
    <w:rsid w:val="00032C70"/>
    <w:rsid w:val="00035429"/>
    <w:rsid w:val="000426FD"/>
    <w:rsid w:val="0004555E"/>
    <w:rsid w:val="000467FB"/>
    <w:rsid w:val="00046C9E"/>
    <w:rsid w:val="00050B68"/>
    <w:rsid w:val="00052646"/>
    <w:rsid w:val="000542B4"/>
    <w:rsid w:val="00063A22"/>
    <w:rsid w:val="00065883"/>
    <w:rsid w:val="00070C9F"/>
    <w:rsid w:val="00071941"/>
    <w:rsid w:val="00075498"/>
    <w:rsid w:val="0008111C"/>
    <w:rsid w:val="000819DB"/>
    <w:rsid w:val="00085318"/>
    <w:rsid w:val="0008649A"/>
    <w:rsid w:val="000938DE"/>
    <w:rsid w:val="00095928"/>
    <w:rsid w:val="00096C59"/>
    <w:rsid w:val="000970BF"/>
    <w:rsid w:val="000A1216"/>
    <w:rsid w:val="000A195F"/>
    <w:rsid w:val="000A352E"/>
    <w:rsid w:val="000A6742"/>
    <w:rsid w:val="000B20C4"/>
    <w:rsid w:val="000B57CC"/>
    <w:rsid w:val="000C2BB7"/>
    <w:rsid w:val="000C42C5"/>
    <w:rsid w:val="000C59FD"/>
    <w:rsid w:val="000D4125"/>
    <w:rsid w:val="000D58DE"/>
    <w:rsid w:val="000D75D4"/>
    <w:rsid w:val="000E055F"/>
    <w:rsid w:val="000E5EF5"/>
    <w:rsid w:val="000E6CE2"/>
    <w:rsid w:val="000F0BB3"/>
    <w:rsid w:val="000F7C63"/>
    <w:rsid w:val="00104D2B"/>
    <w:rsid w:val="00104FE3"/>
    <w:rsid w:val="00105416"/>
    <w:rsid w:val="0010591B"/>
    <w:rsid w:val="00106314"/>
    <w:rsid w:val="00107C7D"/>
    <w:rsid w:val="00111C25"/>
    <w:rsid w:val="0011388B"/>
    <w:rsid w:val="00113C50"/>
    <w:rsid w:val="00115AF9"/>
    <w:rsid w:val="0011607E"/>
    <w:rsid w:val="00116216"/>
    <w:rsid w:val="00116713"/>
    <w:rsid w:val="00121158"/>
    <w:rsid w:val="00126FDD"/>
    <w:rsid w:val="001325FC"/>
    <w:rsid w:val="0013335C"/>
    <w:rsid w:val="00133C77"/>
    <w:rsid w:val="001357C0"/>
    <w:rsid w:val="001359C9"/>
    <w:rsid w:val="00136CB4"/>
    <w:rsid w:val="00137595"/>
    <w:rsid w:val="00137AA4"/>
    <w:rsid w:val="001414D1"/>
    <w:rsid w:val="00143278"/>
    <w:rsid w:val="00146C76"/>
    <w:rsid w:val="00151187"/>
    <w:rsid w:val="00155312"/>
    <w:rsid w:val="001555B2"/>
    <w:rsid w:val="00161BA8"/>
    <w:rsid w:val="00163578"/>
    <w:rsid w:val="00164E78"/>
    <w:rsid w:val="00166416"/>
    <w:rsid w:val="001709B1"/>
    <w:rsid w:val="00171099"/>
    <w:rsid w:val="0017323E"/>
    <w:rsid w:val="0017445D"/>
    <w:rsid w:val="001748EE"/>
    <w:rsid w:val="001765BE"/>
    <w:rsid w:val="00182F8D"/>
    <w:rsid w:val="00183B08"/>
    <w:rsid w:val="00187529"/>
    <w:rsid w:val="00193AEB"/>
    <w:rsid w:val="00194A92"/>
    <w:rsid w:val="00196291"/>
    <w:rsid w:val="001971C4"/>
    <w:rsid w:val="001A0977"/>
    <w:rsid w:val="001A599E"/>
    <w:rsid w:val="001B03F8"/>
    <w:rsid w:val="001B0677"/>
    <w:rsid w:val="001B084D"/>
    <w:rsid w:val="001B19CB"/>
    <w:rsid w:val="001C42E9"/>
    <w:rsid w:val="001C5F76"/>
    <w:rsid w:val="001C64D8"/>
    <w:rsid w:val="001D03A2"/>
    <w:rsid w:val="001D2C74"/>
    <w:rsid w:val="001D48CE"/>
    <w:rsid w:val="001D5BF4"/>
    <w:rsid w:val="001D77AA"/>
    <w:rsid w:val="001E602C"/>
    <w:rsid w:val="001E674C"/>
    <w:rsid w:val="001E71F7"/>
    <w:rsid w:val="001E7AAB"/>
    <w:rsid w:val="001F0EDA"/>
    <w:rsid w:val="001F30AD"/>
    <w:rsid w:val="001F63B3"/>
    <w:rsid w:val="00200EE0"/>
    <w:rsid w:val="002062E7"/>
    <w:rsid w:val="00206E18"/>
    <w:rsid w:val="00206E78"/>
    <w:rsid w:val="002103A3"/>
    <w:rsid w:val="00210B15"/>
    <w:rsid w:val="00210F98"/>
    <w:rsid w:val="002118DA"/>
    <w:rsid w:val="00212B56"/>
    <w:rsid w:val="00212D2A"/>
    <w:rsid w:val="00214A4C"/>
    <w:rsid w:val="00215403"/>
    <w:rsid w:val="002169D9"/>
    <w:rsid w:val="00217EB4"/>
    <w:rsid w:val="002222E2"/>
    <w:rsid w:val="00222CEF"/>
    <w:rsid w:val="00226351"/>
    <w:rsid w:val="002275C4"/>
    <w:rsid w:val="002313F4"/>
    <w:rsid w:val="00231D18"/>
    <w:rsid w:val="00232992"/>
    <w:rsid w:val="00240372"/>
    <w:rsid w:val="002463FA"/>
    <w:rsid w:val="00250720"/>
    <w:rsid w:val="00252328"/>
    <w:rsid w:val="00252E6C"/>
    <w:rsid w:val="00255132"/>
    <w:rsid w:val="00255416"/>
    <w:rsid w:val="00257806"/>
    <w:rsid w:val="00271C42"/>
    <w:rsid w:val="002726CD"/>
    <w:rsid w:val="002763E9"/>
    <w:rsid w:val="0027658B"/>
    <w:rsid w:val="00277226"/>
    <w:rsid w:val="00277A05"/>
    <w:rsid w:val="00281195"/>
    <w:rsid w:val="002812B3"/>
    <w:rsid w:val="0028218C"/>
    <w:rsid w:val="00284CBF"/>
    <w:rsid w:val="00291600"/>
    <w:rsid w:val="00292208"/>
    <w:rsid w:val="0029365C"/>
    <w:rsid w:val="00295334"/>
    <w:rsid w:val="002967E3"/>
    <w:rsid w:val="002977C9"/>
    <w:rsid w:val="002A3ED6"/>
    <w:rsid w:val="002A50BA"/>
    <w:rsid w:val="002A5EC6"/>
    <w:rsid w:val="002A66CF"/>
    <w:rsid w:val="002B1527"/>
    <w:rsid w:val="002B168F"/>
    <w:rsid w:val="002B629F"/>
    <w:rsid w:val="002C0859"/>
    <w:rsid w:val="002C3696"/>
    <w:rsid w:val="002C58C3"/>
    <w:rsid w:val="002D0E2E"/>
    <w:rsid w:val="002D130D"/>
    <w:rsid w:val="002D2B41"/>
    <w:rsid w:val="002D44A5"/>
    <w:rsid w:val="002D4EAC"/>
    <w:rsid w:val="002D6338"/>
    <w:rsid w:val="002E0753"/>
    <w:rsid w:val="002E533D"/>
    <w:rsid w:val="002E537C"/>
    <w:rsid w:val="002E6841"/>
    <w:rsid w:val="002F2810"/>
    <w:rsid w:val="002F3ABB"/>
    <w:rsid w:val="002F3FFE"/>
    <w:rsid w:val="002F54C3"/>
    <w:rsid w:val="002F554A"/>
    <w:rsid w:val="00301AC6"/>
    <w:rsid w:val="003039C0"/>
    <w:rsid w:val="00304116"/>
    <w:rsid w:val="003062E4"/>
    <w:rsid w:val="00312293"/>
    <w:rsid w:val="003147B2"/>
    <w:rsid w:val="00324790"/>
    <w:rsid w:val="003261E3"/>
    <w:rsid w:val="003273A3"/>
    <w:rsid w:val="00327C7A"/>
    <w:rsid w:val="00332DE2"/>
    <w:rsid w:val="00333908"/>
    <w:rsid w:val="0033410D"/>
    <w:rsid w:val="00336174"/>
    <w:rsid w:val="00340EA6"/>
    <w:rsid w:val="00341575"/>
    <w:rsid w:val="003418E7"/>
    <w:rsid w:val="003432A2"/>
    <w:rsid w:val="003472E3"/>
    <w:rsid w:val="003503DC"/>
    <w:rsid w:val="00352EDC"/>
    <w:rsid w:val="003535D8"/>
    <w:rsid w:val="0035593D"/>
    <w:rsid w:val="00355B16"/>
    <w:rsid w:val="00360F56"/>
    <w:rsid w:val="00362751"/>
    <w:rsid w:val="00362810"/>
    <w:rsid w:val="00363583"/>
    <w:rsid w:val="00363B80"/>
    <w:rsid w:val="00363F1C"/>
    <w:rsid w:val="00365833"/>
    <w:rsid w:val="00367795"/>
    <w:rsid w:val="00375E07"/>
    <w:rsid w:val="00377B56"/>
    <w:rsid w:val="00383264"/>
    <w:rsid w:val="003901C8"/>
    <w:rsid w:val="00390E35"/>
    <w:rsid w:val="00393C6B"/>
    <w:rsid w:val="00395481"/>
    <w:rsid w:val="00396995"/>
    <w:rsid w:val="003A3FDE"/>
    <w:rsid w:val="003A6B7D"/>
    <w:rsid w:val="003B08B3"/>
    <w:rsid w:val="003B136D"/>
    <w:rsid w:val="003B6A3C"/>
    <w:rsid w:val="003B7094"/>
    <w:rsid w:val="003C0C5B"/>
    <w:rsid w:val="003C1853"/>
    <w:rsid w:val="003C2E36"/>
    <w:rsid w:val="003C6D77"/>
    <w:rsid w:val="003D19EB"/>
    <w:rsid w:val="003D2470"/>
    <w:rsid w:val="003E082F"/>
    <w:rsid w:val="003E0E5F"/>
    <w:rsid w:val="003E1A2D"/>
    <w:rsid w:val="003F1C4C"/>
    <w:rsid w:val="003F1FB5"/>
    <w:rsid w:val="003F6F89"/>
    <w:rsid w:val="00402C8B"/>
    <w:rsid w:val="00403FFD"/>
    <w:rsid w:val="00404DB4"/>
    <w:rsid w:val="00406A17"/>
    <w:rsid w:val="004079F0"/>
    <w:rsid w:val="004110E5"/>
    <w:rsid w:val="00416DDF"/>
    <w:rsid w:val="0042067E"/>
    <w:rsid w:val="00424456"/>
    <w:rsid w:val="00424DFB"/>
    <w:rsid w:val="004300AB"/>
    <w:rsid w:val="004308EA"/>
    <w:rsid w:val="00431DB6"/>
    <w:rsid w:val="00431DCD"/>
    <w:rsid w:val="00431F4F"/>
    <w:rsid w:val="004413FE"/>
    <w:rsid w:val="00445D67"/>
    <w:rsid w:val="0045218B"/>
    <w:rsid w:val="00455562"/>
    <w:rsid w:val="00456B01"/>
    <w:rsid w:val="00460C2D"/>
    <w:rsid w:val="00462411"/>
    <w:rsid w:val="0046493A"/>
    <w:rsid w:val="004700C1"/>
    <w:rsid w:val="0047294E"/>
    <w:rsid w:val="004749B7"/>
    <w:rsid w:val="004760A2"/>
    <w:rsid w:val="004777BD"/>
    <w:rsid w:val="00490C14"/>
    <w:rsid w:val="004953F4"/>
    <w:rsid w:val="004A429E"/>
    <w:rsid w:val="004A5208"/>
    <w:rsid w:val="004B2CE1"/>
    <w:rsid w:val="004B3EAF"/>
    <w:rsid w:val="004B7CEC"/>
    <w:rsid w:val="004C19FB"/>
    <w:rsid w:val="004C35A1"/>
    <w:rsid w:val="004C6D45"/>
    <w:rsid w:val="004D0A81"/>
    <w:rsid w:val="004D233E"/>
    <w:rsid w:val="004D525F"/>
    <w:rsid w:val="004D6CFE"/>
    <w:rsid w:val="004D6D43"/>
    <w:rsid w:val="004D7859"/>
    <w:rsid w:val="004E05FA"/>
    <w:rsid w:val="004E0DDA"/>
    <w:rsid w:val="004E43DD"/>
    <w:rsid w:val="004E542B"/>
    <w:rsid w:val="004F05AF"/>
    <w:rsid w:val="004F1EC4"/>
    <w:rsid w:val="004F1EEF"/>
    <w:rsid w:val="004F527C"/>
    <w:rsid w:val="00505D28"/>
    <w:rsid w:val="00507B51"/>
    <w:rsid w:val="00507FF2"/>
    <w:rsid w:val="0051008E"/>
    <w:rsid w:val="0051257A"/>
    <w:rsid w:val="00516948"/>
    <w:rsid w:val="005314BD"/>
    <w:rsid w:val="00533237"/>
    <w:rsid w:val="00536525"/>
    <w:rsid w:val="005367E7"/>
    <w:rsid w:val="005431A5"/>
    <w:rsid w:val="00543205"/>
    <w:rsid w:val="005442E3"/>
    <w:rsid w:val="0054591C"/>
    <w:rsid w:val="00547E8D"/>
    <w:rsid w:val="005541A2"/>
    <w:rsid w:val="00555DAC"/>
    <w:rsid w:val="00560751"/>
    <w:rsid w:val="00562067"/>
    <w:rsid w:val="00563B97"/>
    <w:rsid w:val="00565149"/>
    <w:rsid w:val="00566267"/>
    <w:rsid w:val="00566A6D"/>
    <w:rsid w:val="00567E10"/>
    <w:rsid w:val="00574DD5"/>
    <w:rsid w:val="00576C98"/>
    <w:rsid w:val="00582703"/>
    <w:rsid w:val="00582788"/>
    <w:rsid w:val="00586419"/>
    <w:rsid w:val="00586D7D"/>
    <w:rsid w:val="0059485C"/>
    <w:rsid w:val="005972C2"/>
    <w:rsid w:val="005A06C8"/>
    <w:rsid w:val="005A158B"/>
    <w:rsid w:val="005A3934"/>
    <w:rsid w:val="005A57CB"/>
    <w:rsid w:val="005A6F12"/>
    <w:rsid w:val="005B119A"/>
    <w:rsid w:val="005B22EF"/>
    <w:rsid w:val="005C0252"/>
    <w:rsid w:val="005C248E"/>
    <w:rsid w:val="005C2C63"/>
    <w:rsid w:val="005C3DED"/>
    <w:rsid w:val="005C4287"/>
    <w:rsid w:val="005D0538"/>
    <w:rsid w:val="005D3171"/>
    <w:rsid w:val="005D4A07"/>
    <w:rsid w:val="005D4FBC"/>
    <w:rsid w:val="005E19C0"/>
    <w:rsid w:val="005E7799"/>
    <w:rsid w:val="005F14A3"/>
    <w:rsid w:val="005F2EEF"/>
    <w:rsid w:val="005F437D"/>
    <w:rsid w:val="005F4A44"/>
    <w:rsid w:val="005F6027"/>
    <w:rsid w:val="005F656C"/>
    <w:rsid w:val="00601839"/>
    <w:rsid w:val="00607116"/>
    <w:rsid w:val="00610796"/>
    <w:rsid w:val="0061518F"/>
    <w:rsid w:val="00616AEC"/>
    <w:rsid w:val="0061723B"/>
    <w:rsid w:val="00620CD6"/>
    <w:rsid w:val="006227FD"/>
    <w:rsid w:val="00623C3F"/>
    <w:rsid w:val="00625FA8"/>
    <w:rsid w:val="00630582"/>
    <w:rsid w:val="00630B52"/>
    <w:rsid w:val="00637447"/>
    <w:rsid w:val="00644EEB"/>
    <w:rsid w:val="006528DC"/>
    <w:rsid w:val="00654E80"/>
    <w:rsid w:val="00655BE3"/>
    <w:rsid w:val="006573D1"/>
    <w:rsid w:val="00661C8C"/>
    <w:rsid w:val="00664403"/>
    <w:rsid w:val="00667A88"/>
    <w:rsid w:val="006718FE"/>
    <w:rsid w:val="0067241D"/>
    <w:rsid w:val="00675CCF"/>
    <w:rsid w:val="00676147"/>
    <w:rsid w:val="00676680"/>
    <w:rsid w:val="006801A3"/>
    <w:rsid w:val="00680A27"/>
    <w:rsid w:val="00680B87"/>
    <w:rsid w:val="00682DA7"/>
    <w:rsid w:val="006832B4"/>
    <w:rsid w:val="006839D4"/>
    <w:rsid w:val="0068659C"/>
    <w:rsid w:val="00686B03"/>
    <w:rsid w:val="00687B90"/>
    <w:rsid w:val="006941F3"/>
    <w:rsid w:val="00695F04"/>
    <w:rsid w:val="0069768A"/>
    <w:rsid w:val="006A36FE"/>
    <w:rsid w:val="006A7615"/>
    <w:rsid w:val="006A79D3"/>
    <w:rsid w:val="006B5C4B"/>
    <w:rsid w:val="006C0365"/>
    <w:rsid w:val="006C2DA8"/>
    <w:rsid w:val="006C2F62"/>
    <w:rsid w:val="006C4DCE"/>
    <w:rsid w:val="006D07A9"/>
    <w:rsid w:val="006D2E24"/>
    <w:rsid w:val="006D3E64"/>
    <w:rsid w:val="006D5ABF"/>
    <w:rsid w:val="006D6D3A"/>
    <w:rsid w:val="006E0D84"/>
    <w:rsid w:val="006E1F7F"/>
    <w:rsid w:val="006E782F"/>
    <w:rsid w:val="006F0ABA"/>
    <w:rsid w:val="006F0E07"/>
    <w:rsid w:val="006F591B"/>
    <w:rsid w:val="006F5AA2"/>
    <w:rsid w:val="006F7F18"/>
    <w:rsid w:val="00705DF8"/>
    <w:rsid w:val="00706F1F"/>
    <w:rsid w:val="00707576"/>
    <w:rsid w:val="0071189A"/>
    <w:rsid w:val="00713710"/>
    <w:rsid w:val="00715C41"/>
    <w:rsid w:val="00716035"/>
    <w:rsid w:val="007167A1"/>
    <w:rsid w:val="00717D0F"/>
    <w:rsid w:val="00720B9E"/>
    <w:rsid w:val="00721154"/>
    <w:rsid w:val="00722A58"/>
    <w:rsid w:val="007325D7"/>
    <w:rsid w:val="007341EF"/>
    <w:rsid w:val="00734475"/>
    <w:rsid w:val="00736D2D"/>
    <w:rsid w:val="00741FD2"/>
    <w:rsid w:val="00745DA6"/>
    <w:rsid w:val="00746CBC"/>
    <w:rsid w:val="007516DD"/>
    <w:rsid w:val="007521D1"/>
    <w:rsid w:val="00752FDF"/>
    <w:rsid w:val="00762F28"/>
    <w:rsid w:val="00766D52"/>
    <w:rsid w:val="00770BB5"/>
    <w:rsid w:val="007909C9"/>
    <w:rsid w:val="00791914"/>
    <w:rsid w:val="007941D8"/>
    <w:rsid w:val="007968CD"/>
    <w:rsid w:val="00797D27"/>
    <w:rsid w:val="007A5D44"/>
    <w:rsid w:val="007A7D2D"/>
    <w:rsid w:val="007B09E8"/>
    <w:rsid w:val="007C42FD"/>
    <w:rsid w:val="007C69F2"/>
    <w:rsid w:val="007D4CDA"/>
    <w:rsid w:val="007D59DE"/>
    <w:rsid w:val="007E15AB"/>
    <w:rsid w:val="007E180E"/>
    <w:rsid w:val="007E2D4A"/>
    <w:rsid w:val="007E541D"/>
    <w:rsid w:val="007E5F2A"/>
    <w:rsid w:val="007E6066"/>
    <w:rsid w:val="007F049D"/>
    <w:rsid w:val="007F3592"/>
    <w:rsid w:val="007F59EC"/>
    <w:rsid w:val="007F5F26"/>
    <w:rsid w:val="00800AC1"/>
    <w:rsid w:val="00802F3B"/>
    <w:rsid w:val="0080688A"/>
    <w:rsid w:val="00811283"/>
    <w:rsid w:val="00816421"/>
    <w:rsid w:val="00820A97"/>
    <w:rsid w:val="00821190"/>
    <w:rsid w:val="00821969"/>
    <w:rsid w:val="008221D5"/>
    <w:rsid w:val="0083171B"/>
    <w:rsid w:val="0083364F"/>
    <w:rsid w:val="008406EE"/>
    <w:rsid w:val="0084104E"/>
    <w:rsid w:val="00841AC1"/>
    <w:rsid w:val="00851EAF"/>
    <w:rsid w:val="008524A7"/>
    <w:rsid w:val="00855A8A"/>
    <w:rsid w:val="0086040B"/>
    <w:rsid w:val="008623B2"/>
    <w:rsid w:val="00863574"/>
    <w:rsid w:val="0086744E"/>
    <w:rsid w:val="00872A2D"/>
    <w:rsid w:val="008730BC"/>
    <w:rsid w:val="00873E97"/>
    <w:rsid w:val="008741BF"/>
    <w:rsid w:val="00875845"/>
    <w:rsid w:val="00875927"/>
    <w:rsid w:val="00876654"/>
    <w:rsid w:val="00882D42"/>
    <w:rsid w:val="0088349C"/>
    <w:rsid w:val="00884E8F"/>
    <w:rsid w:val="008854F0"/>
    <w:rsid w:val="00885C1C"/>
    <w:rsid w:val="008872C1"/>
    <w:rsid w:val="00892800"/>
    <w:rsid w:val="008937FA"/>
    <w:rsid w:val="008A26E9"/>
    <w:rsid w:val="008A39EC"/>
    <w:rsid w:val="008A5FB8"/>
    <w:rsid w:val="008B061D"/>
    <w:rsid w:val="008B52E5"/>
    <w:rsid w:val="008C5510"/>
    <w:rsid w:val="008C59E0"/>
    <w:rsid w:val="008C5EC3"/>
    <w:rsid w:val="008C6C87"/>
    <w:rsid w:val="008D530A"/>
    <w:rsid w:val="008D7001"/>
    <w:rsid w:val="008D702D"/>
    <w:rsid w:val="008E36F8"/>
    <w:rsid w:val="008E53F9"/>
    <w:rsid w:val="008E6B21"/>
    <w:rsid w:val="008F0915"/>
    <w:rsid w:val="008F2BD6"/>
    <w:rsid w:val="008F6004"/>
    <w:rsid w:val="00903613"/>
    <w:rsid w:val="0090485C"/>
    <w:rsid w:val="00907553"/>
    <w:rsid w:val="00911BF5"/>
    <w:rsid w:val="00913E3F"/>
    <w:rsid w:val="009154A2"/>
    <w:rsid w:val="00920A6C"/>
    <w:rsid w:val="00920A73"/>
    <w:rsid w:val="00925880"/>
    <w:rsid w:val="00931288"/>
    <w:rsid w:val="009347DF"/>
    <w:rsid w:val="00936901"/>
    <w:rsid w:val="00936F61"/>
    <w:rsid w:val="00940DA1"/>
    <w:rsid w:val="00942383"/>
    <w:rsid w:val="00943666"/>
    <w:rsid w:val="00944661"/>
    <w:rsid w:val="0094611D"/>
    <w:rsid w:val="00961DB6"/>
    <w:rsid w:val="009641DE"/>
    <w:rsid w:val="0096458A"/>
    <w:rsid w:val="00972D05"/>
    <w:rsid w:val="0097374A"/>
    <w:rsid w:val="00975445"/>
    <w:rsid w:val="0098113F"/>
    <w:rsid w:val="00984D91"/>
    <w:rsid w:val="009856E2"/>
    <w:rsid w:val="009879E9"/>
    <w:rsid w:val="00991B1B"/>
    <w:rsid w:val="00993999"/>
    <w:rsid w:val="009939BC"/>
    <w:rsid w:val="00995CFB"/>
    <w:rsid w:val="00997155"/>
    <w:rsid w:val="009976D9"/>
    <w:rsid w:val="009A5D00"/>
    <w:rsid w:val="009A7051"/>
    <w:rsid w:val="009B3DB9"/>
    <w:rsid w:val="009B3FCA"/>
    <w:rsid w:val="009C2580"/>
    <w:rsid w:val="009C2825"/>
    <w:rsid w:val="009C5AC5"/>
    <w:rsid w:val="009C6F40"/>
    <w:rsid w:val="009D1E6F"/>
    <w:rsid w:val="009D2B39"/>
    <w:rsid w:val="009E0594"/>
    <w:rsid w:val="009E492D"/>
    <w:rsid w:val="009E7319"/>
    <w:rsid w:val="009E770D"/>
    <w:rsid w:val="009E7A3C"/>
    <w:rsid w:val="009F121A"/>
    <w:rsid w:val="009F29E4"/>
    <w:rsid w:val="009F3671"/>
    <w:rsid w:val="009F51A3"/>
    <w:rsid w:val="009F526A"/>
    <w:rsid w:val="009F5936"/>
    <w:rsid w:val="009F6908"/>
    <w:rsid w:val="00A029D7"/>
    <w:rsid w:val="00A03A61"/>
    <w:rsid w:val="00A04B9C"/>
    <w:rsid w:val="00A06363"/>
    <w:rsid w:val="00A071F1"/>
    <w:rsid w:val="00A07932"/>
    <w:rsid w:val="00A17E92"/>
    <w:rsid w:val="00A17F91"/>
    <w:rsid w:val="00A21149"/>
    <w:rsid w:val="00A233AB"/>
    <w:rsid w:val="00A24A2B"/>
    <w:rsid w:val="00A24C45"/>
    <w:rsid w:val="00A25BAB"/>
    <w:rsid w:val="00A26786"/>
    <w:rsid w:val="00A26851"/>
    <w:rsid w:val="00A27D48"/>
    <w:rsid w:val="00A27FB0"/>
    <w:rsid w:val="00A301E4"/>
    <w:rsid w:val="00A30C51"/>
    <w:rsid w:val="00A31E83"/>
    <w:rsid w:val="00A32C7F"/>
    <w:rsid w:val="00A34861"/>
    <w:rsid w:val="00A34AF1"/>
    <w:rsid w:val="00A40D00"/>
    <w:rsid w:val="00A4342B"/>
    <w:rsid w:val="00A43444"/>
    <w:rsid w:val="00A446A4"/>
    <w:rsid w:val="00A45FBC"/>
    <w:rsid w:val="00A47F0F"/>
    <w:rsid w:val="00A50101"/>
    <w:rsid w:val="00A5168D"/>
    <w:rsid w:val="00A54245"/>
    <w:rsid w:val="00A546CF"/>
    <w:rsid w:val="00A57E59"/>
    <w:rsid w:val="00A61337"/>
    <w:rsid w:val="00A65CB3"/>
    <w:rsid w:val="00A7155E"/>
    <w:rsid w:val="00A72829"/>
    <w:rsid w:val="00A7634C"/>
    <w:rsid w:val="00A76505"/>
    <w:rsid w:val="00A816CD"/>
    <w:rsid w:val="00A81A9C"/>
    <w:rsid w:val="00A822E1"/>
    <w:rsid w:val="00A826BA"/>
    <w:rsid w:val="00A84BC9"/>
    <w:rsid w:val="00A85A92"/>
    <w:rsid w:val="00A863A7"/>
    <w:rsid w:val="00A87678"/>
    <w:rsid w:val="00A9022D"/>
    <w:rsid w:val="00A91000"/>
    <w:rsid w:val="00A91827"/>
    <w:rsid w:val="00A91B68"/>
    <w:rsid w:val="00A9430D"/>
    <w:rsid w:val="00A9589B"/>
    <w:rsid w:val="00A961D1"/>
    <w:rsid w:val="00A96F99"/>
    <w:rsid w:val="00AA6084"/>
    <w:rsid w:val="00AA6B40"/>
    <w:rsid w:val="00AB1A3C"/>
    <w:rsid w:val="00AB3B6A"/>
    <w:rsid w:val="00AB6D32"/>
    <w:rsid w:val="00AC05C5"/>
    <w:rsid w:val="00AC3611"/>
    <w:rsid w:val="00AD6BCA"/>
    <w:rsid w:val="00AE37AF"/>
    <w:rsid w:val="00AE50E2"/>
    <w:rsid w:val="00AE5A2A"/>
    <w:rsid w:val="00AE6013"/>
    <w:rsid w:val="00AF117E"/>
    <w:rsid w:val="00AF1B5B"/>
    <w:rsid w:val="00AF7BC9"/>
    <w:rsid w:val="00B11792"/>
    <w:rsid w:val="00B15B35"/>
    <w:rsid w:val="00B1714A"/>
    <w:rsid w:val="00B2033A"/>
    <w:rsid w:val="00B236C6"/>
    <w:rsid w:val="00B278FF"/>
    <w:rsid w:val="00B3015B"/>
    <w:rsid w:val="00B336DF"/>
    <w:rsid w:val="00B343CA"/>
    <w:rsid w:val="00B34620"/>
    <w:rsid w:val="00B34B8B"/>
    <w:rsid w:val="00B40170"/>
    <w:rsid w:val="00B41470"/>
    <w:rsid w:val="00B45774"/>
    <w:rsid w:val="00B4693F"/>
    <w:rsid w:val="00B6094A"/>
    <w:rsid w:val="00B63FCC"/>
    <w:rsid w:val="00B6770D"/>
    <w:rsid w:val="00B716FE"/>
    <w:rsid w:val="00B75660"/>
    <w:rsid w:val="00B832CB"/>
    <w:rsid w:val="00B83A12"/>
    <w:rsid w:val="00B83E45"/>
    <w:rsid w:val="00B87BF8"/>
    <w:rsid w:val="00B87C8E"/>
    <w:rsid w:val="00B9351C"/>
    <w:rsid w:val="00B97103"/>
    <w:rsid w:val="00BA0754"/>
    <w:rsid w:val="00BA11AE"/>
    <w:rsid w:val="00BA2ADE"/>
    <w:rsid w:val="00BA5AC6"/>
    <w:rsid w:val="00BB305B"/>
    <w:rsid w:val="00BB4817"/>
    <w:rsid w:val="00BD1AB1"/>
    <w:rsid w:val="00BD2458"/>
    <w:rsid w:val="00BD5597"/>
    <w:rsid w:val="00BE176D"/>
    <w:rsid w:val="00BE3677"/>
    <w:rsid w:val="00BE48DD"/>
    <w:rsid w:val="00BF5445"/>
    <w:rsid w:val="00C01751"/>
    <w:rsid w:val="00C017A2"/>
    <w:rsid w:val="00C066DE"/>
    <w:rsid w:val="00C1089D"/>
    <w:rsid w:val="00C1332E"/>
    <w:rsid w:val="00C15C02"/>
    <w:rsid w:val="00C16980"/>
    <w:rsid w:val="00C172F0"/>
    <w:rsid w:val="00C21D25"/>
    <w:rsid w:val="00C231C8"/>
    <w:rsid w:val="00C237C9"/>
    <w:rsid w:val="00C250B2"/>
    <w:rsid w:val="00C27D70"/>
    <w:rsid w:val="00C30BF5"/>
    <w:rsid w:val="00C3146F"/>
    <w:rsid w:val="00C3178C"/>
    <w:rsid w:val="00C31B11"/>
    <w:rsid w:val="00C35C28"/>
    <w:rsid w:val="00C3688C"/>
    <w:rsid w:val="00C36AA6"/>
    <w:rsid w:val="00C43C95"/>
    <w:rsid w:val="00C45FA2"/>
    <w:rsid w:val="00C46D1B"/>
    <w:rsid w:val="00C47761"/>
    <w:rsid w:val="00C520AE"/>
    <w:rsid w:val="00C52296"/>
    <w:rsid w:val="00C52F63"/>
    <w:rsid w:val="00C54654"/>
    <w:rsid w:val="00C5503D"/>
    <w:rsid w:val="00C55122"/>
    <w:rsid w:val="00C5557F"/>
    <w:rsid w:val="00C62A55"/>
    <w:rsid w:val="00C636B9"/>
    <w:rsid w:val="00C63B3A"/>
    <w:rsid w:val="00C6522B"/>
    <w:rsid w:val="00C6590B"/>
    <w:rsid w:val="00C71348"/>
    <w:rsid w:val="00C73AD9"/>
    <w:rsid w:val="00C755A3"/>
    <w:rsid w:val="00C837E3"/>
    <w:rsid w:val="00C84023"/>
    <w:rsid w:val="00C871F9"/>
    <w:rsid w:val="00C873F6"/>
    <w:rsid w:val="00C87D15"/>
    <w:rsid w:val="00C87E1E"/>
    <w:rsid w:val="00C90D19"/>
    <w:rsid w:val="00C93451"/>
    <w:rsid w:val="00C970E1"/>
    <w:rsid w:val="00CA1BE6"/>
    <w:rsid w:val="00CA4954"/>
    <w:rsid w:val="00CA4F71"/>
    <w:rsid w:val="00CA5FF3"/>
    <w:rsid w:val="00CA71DD"/>
    <w:rsid w:val="00CA72F0"/>
    <w:rsid w:val="00CB0C2F"/>
    <w:rsid w:val="00CB184E"/>
    <w:rsid w:val="00CB4A3E"/>
    <w:rsid w:val="00CC46C1"/>
    <w:rsid w:val="00CC4F67"/>
    <w:rsid w:val="00CD0C1C"/>
    <w:rsid w:val="00CD4C21"/>
    <w:rsid w:val="00CE3297"/>
    <w:rsid w:val="00CE5072"/>
    <w:rsid w:val="00CE61F9"/>
    <w:rsid w:val="00CE696F"/>
    <w:rsid w:val="00CF09B0"/>
    <w:rsid w:val="00CF2C8E"/>
    <w:rsid w:val="00CF2E7F"/>
    <w:rsid w:val="00CF3FF4"/>
    <w:rsid w:val="00CF74A7"/>
    <w:rsid w:val="00D006E7"/>
    <w:rsid w:val="00D01928"/>
    <w:rsid w:val="00D04245"/>
    <w:rsid w:val="00D06183"/>
    <w:rsid w:val="00D06C6A"/>
    <w:rsid w:val="00D14AAD"/>
    <w:rsid w:val="00D17CEE"/>
    <w:rsid w:val="00D225FD"/>
    <w:rsid w:val="00D226DB"/>
    <w:rsid w:val="00D30B02"/>
    <w:rsid w:val="00D32C0F"/>
    <w:rsid w:val="00D37277"/>
    <w:rsid w:val="00D42B7B"/>
    <w:rsid w:val="00D454CC"/>
    <w:rsid w:val="00D45CD0"/>
    <w:rsid w:val="00D4630B"/>
    <w:rsid w:val="00D46BF4"/>
    <w:rsid w:val="00D54D68"/>
    <w:rsid w:val="00D65449"/>
    <w:rsid w:val="00D65D64"/>
    <w:rsid w:val="00D721C8"/>
    <w:rsid w:val="00D74229"/>
    <w:rsid w:val="00D74416"/>
    <w:rsid w:val="00D75195"/>
    <w:rsid w:val="00D836C3"/>
    <w:rsid w:val="00D85035"/>
    <w:rsid w:val="00D87033"/>
    <w:rsid w:val="00D9127F"/>
    <w:rsid w:val="00D91CF7"/>
    <w:rsid w:val="00D9204C"/>
    <w:rsid w:val="00DA0114"/>
    <w:rsid w:val="00DA211F"/>
    <w:rsid w:val="00DA3892"/>
    <w:rsid w:val="00DA6183"/>
    <w:rsid w:val="00DA7085"/>
    <w:rsid w:val="00DB1DFF"/>
    <w:rsid w:val="00DC1588"/>
    <w:rsid w:val="00DC2C80"/>
    <w:rsid w:val="00DC3112"/>
    <w:rsid w:val="00DC5BB7"/>
    <w:rsid w:val="00DC5C58"/>
    <w:rsid w:val="00DC635E"/>
    <w:rsid w:val="00DC6CDD"/>
    <w:rsid w:val="00DC7AC7"/>
    <w:rsid w:val="00DD4B5E"/>
    <w:rsid w:val="00DD4D3E"/>
    <w:rsid w:val="00DD69D0"/>
    <w:rsid w:val="00DE1480"/>
    <w:rsid w:val="00DE279F"/>
    <w:rsid w:val="00DE28F6"/>
    <w:rsid w:val="00DE5996"/>
    <w:rsid w:val="00DE6507"/>
    <w:rsid w:val="00DE6CB8"/>
    <w:rsid w:val="00DE7165"/>
    <w:rsid w:val="00DF2250"/>
    <w:rsid w:val="00DF27C8"/>
    <w:rsid w:val="00DF30BB"/>
    <w:rsid w:val="00DF5D87"/>
    <w:rsid w:val="00E01F89"/>
    <w:rsid w:val="00E02C73"/>
    <w:rsid w:val="00E03943"/>
    <w:rsid w:val="00E056F0"/>
    <w:rsid w:val="00E10BE1"/>
    <w:rsid w:val="00E11891"/>
    <w:rsid w:val="00E14FB1"/>
    <w:rsid w:val="00E17F54"/>
    <w:rsid w:val="00E200F9"/>
    <w:rsid w:val="00E21E1B"/>
    <w:rsid w:val="00E220EC"/>
    <w:rsid w:val="00E22C4E"/>
    <w:rsid w:val="00E23346"/>
    <w:rsid w:val="00E2601F"/>
    <w:rsid w:val="00E33098"/>
    <w:rsid w:val="00E36EC1"/>
    <w:rsid w:val="00E41E7D"/>
    <w:rsid w:val="00E43F2E"/>
    <w:rsid w:val="00E45329"/>
    <w:rsid w:val="00E464CE"/>
    <w:rsid w:val="00E46FC1"/>
    <w:rsid w:val="00E510A0"/>
    <w:rsid w:val="00E54C74"/>
    <w:rsid w:val="00E56A03"/>
    <w:rsid w:val="00E57556"/>
    <w:rsid w:val="00E61475"/>
    <w:rsid w:val="00E6613B"/>
    <w:rsid w:val="00E670A8"/>
    <w:rsid w:val="00E670FA"/>
    <w:rsid w:val="00E67E9A"/>
    <w:rsid w:val="00E751CF"/>
    <w:rsid w:val="00E7533C"/>
    <w:rsid w:val="00E7613D"/>
    <w:rsid w:val="00E76B68"/>
    <w:rsid w:val="00E80C92"/>
    <w:rsid w:val="00E8243D"/>
    <w:rsid w:val="00E82DAE"/>
    <w:rsid w:val="00E83480"/>
    <w:rsid w:val="00E863C0"/>
    <w:rsid w:val="00E86714"/>
    <w:rsid w:val="00E8673D"/>
    <w:rsid w:val="00E90C0B"/>
    <w:rsid w:val="00E921C7"/>
    <w:rsid w:val="00E936DD"/>
    <w:rsid w:val="00E95F4F"/>
    <w:rsid w:val="00E9633C"/>
    <w:rsid w:val="00E97CFE"/>
    <w:rsid w:val="00EB007E"/>
    <w:rsid w:val="00EB06D9"/>
    <w:rsid w:val="00EB21A6"/>
    <w:rsid w:val="00EB25F7"/>
    <w:rsid w:val="00EB57A2"/>
    <w:rsid w:val="00EC0E4B"/>
    <w:rsid w:val="00EC3F8D"/>
    <w:rsid w:val="00EC5ABF"/>
    <w:rsid w:val="00EC5CFB"/>
    <w:rsid w:val="00EC5F50"/>
    <w:rsid w:val="00ED3C5E"/>
    <w:rsid w:val="00EE1190"/>
    <w:rsid w:val="00EE147E"/>
    <w:rsid w:val="00EE27A4"/>
    <w:rsid w:val="00EE4602"/>
    <w:rsid w:val="00EE4F89"/>
    <w:rsid w:val="00EE5D39"/>
    <w:rsid w:val="00EF3B10"/>
    <w:rsid w:val="00EF3D3B"/>
    <w:rsid w:val="00EF5081"/>
    <w:rsid w:val="00EF6110"/>
    <w:rsid w:val="00EF7269"/>
    <w:rsid w:val="00EF77DF"/>
    <w:rsid w:val="00F00871"/>
    <w:rsid w:val="00F10CA8"/>
    <w:rsid w:val="00F14D03"/>
    <w:rsid w:val="00F15559"/>
    <w:rsid w:val="00F23CE4"/>
    <w:rsid w:val="00F26B06"/>
    <w:rsid w:val="00F27244"/>
    <w:rsid w:val="00F31D74"/>
    <w:rsid w:val="00F341A5"/>
    <w:rsid w:val="00F34238"/>
    <w:rsid w:val="00F346B2"/>
    <w:rsid w:val="00F36813"/>
    <w:rsid w:val="00F36932"/>
    <w:rsid w:val="00F36C89"/>
    <w:rsid w:val="00F37677"/>
    <w:rsid w:val="00F37942"/>
    <w:rsid w:val="00F408FD"/>
    <w:rsid w:val="00F42E93"/>
    <w:rsid w:val="00F443BC"/>
    <w:rsid w:val="00F4723F"/>
    <w:rsid w:val="00F47440"/>
    <w:rsid w:val="00F50150"/>
    <w:rsid w:val="00F51510"/>
    <w:rsid w:val="00F536A2"/>
    <w:rsid w:val="00F54312"/>
    <w:rsid w:val="00F6232F"/>
    <w:rsid w:val="00F63B8E"/>
    <w:rsid w:val="00F65858"/>
    <w:rsid w:val="00F677CA"/>
    <w:rsid w:val="00F74EBB"/>
    <w:rsid w:val="00F76FAB"/>
    <w:rsid w:val="00F8187B"/>
    <w:rsid w:val="00F84700"/>
    <w:rsid w:val="00F87216"/>
    <w:rsid w:val="00F90455"/>
    <w:rsid w:val="00F90995"/>
    <w:rsid w:val="00F91ABF"/>
    <w:rsid w:val="00F92178"/>
    <w:rsid w:val="00F92C97"/>
    <w:rsid w:val="00F936C3"/>
    <w:rsid w:val="00F93F97"/>
    <w:rsid w:val="00F94579"/>
    <w:rsid w:val="00FA0E20"/>
    <w:rsid w:val="00FA4BD9"/>
    <w:rsid w:val="00FA64CA"/>
    <w:rsid w:val="00FA7F00"/>
    <w:rsid w:val="00FB18F4"/>
    <w:rsid w:val="00FB195E"/>
    <w:rsid w:val="00FB35BF"/>
    <w:rsid w:val="00FB50B6"/>
    <w:rsid w:val="00FB707B"/>
    <w:rsid w:val="00FB72EB"/>
    <w:rsid w:val="00FC2E67"/>
    <w:rsid w:val="00FC35A7"/>
    <w:rsid w:val="00FC6546"/>
    <w:rsid w:val="00FD102C"/>
    <w:rsid w:val="00FD2A15"/>
    <w:rsid w:val="00FD37F5"/>
    <w:rsid w:val="00FD5D0C"/>
    <w:rsid w:val="00FD63CD"/>
    <w:rsid w:val="00FD6E63"/>
    <w:rsid w:val="00FE364B"/>
    <w:rsid w:val="00FE53BC"/>
    <w:rsid w:val="00FE6BBA"/>
    <w:rsid w:val="00FE771C"/>
    <w:rsid w:val="00FE7FCB"/>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88BE92"/>
  <w15:docId w15:val="{DB8755A5-0B43-4CB7-B8D4-751344D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t-E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t-E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LegalNumPar">
    <w:name w:val="LegalNumPar"/>
    <w:basedOn w:val="Normal"/>
    <w:rsid w:val="00F408FD"/>
    <w:pPr>
      <w:numPr>
        <w:numId w:val="13"/>
      </w:numPr>
      <w:spacing w:line="360" w:lineRule="auto"/>
    </w:pPr>
  </w:style>
  <w:style w:type="paragraph" w:customStyle="1" w:styleId="LegalNumPar2">
    <w:name w:val="LegalNumPar2"/>
    <w:basedOn w:val="Normal"/>
    <w:rsid w:val="00F408FD"/>
    <w:pPr>
      <w:numPr>
        <w:ilvl w:val="1"/>
        <w:numId w:val="13"/>
      </w:numPr>
      <w:spacing w:line="360" w:lineRule="auto"/>
    </w:pPr>
  </w:style>
  <w:style w:type="paragraph" w:customStyle="1" w:styleId="LegalNumPar3">
    <w:name w:val="LegalNumPar3"/>
    <w:basedOn w:val="Normal"/>
    <w:rsid w:val="00F408FD"/>
    <w:pPr>
      <w:numPr>
        <w:ilvl w:val="2"/>
        <w:numId w:val="13"/>
      </w:numPr>
      <w:spacing w:line="360" w:lineRule="auto"/>
    </w:pPr>
  </w:style>
  <w:style w:type="character" w:customStyle="1" w:styleId="conf-macro">
    <w:name w:val="conf-macro"/>
    <w:basedOn w:val="DefaultParagraphFont"/>
    <w:rsid w:val="00E41E7D"/>
  </w:style>
  <w:style w:type="paragraph" w:customStyle="1" w:styleId="norm">
    <w:name w:val="norm"/>
    <w:basedOn w:val="Normal"/>
    <w:rsid w:val="0054591C"/>
    <w:pPr>
      <w:spacing w:before="100" w:beforeAutospacing="1" w:after="100" w:afterAutospacing="1"/>
      <w:jc w:val="left"/>
    </w:pPr>
    <w:rPr>
      <w:rFonts w:eastAsia="Times New Roman"/>
      <w:szCs w:val="24"/>
      <w:lang w:eastAsia="fr-BE"/>
    </w:rPr>
  </w:style>
  <w:style w:type="paragraph" w:customStyle="1" w:styleId="oj-normal">
    <w:name w:val="oj-normal"/>
    <w:basedOn w:val="Normal"/>
    <w:rsid w:val="00FF6E2E"/>
    <w:pPr>
      <w:spacing w:before="100" w:beforeAutospacing="1" w:after="100" w:afterAutospacing="1"/>
      <w:jc w:val="left"/>
    </w:pPr>
    <w:rPr>
      <w:rFonts w:eastAsia="Times New Roman"/>
      <w:szCs w:val="24"/>
      <w:lang w:eastAsia="fr-BE"/>
    </w:rPr>
  </w:style>
  <w:style w:type="character" w:customStyle="1" w:styleId="oj-super">
    <w:name w:val="oj-super"/>
    <w:basedOn w:val="DefaultParagraphFont"/>
    <w:rsid w:val="00FF6E2E"/>
  </w:style>
  <w:style w:type="paragraph" w:customStyle="1" w:styleId="italic">
    <w:name w:val="italic"/>
    <w:basedOn w:val="Normal"/>
    <w:rsid w:val="00CB4A3E"/>
    <w:pPr>
      <w:spacing w:before="100" w:beforeAutospacing="1" w:after="100" w:afterAutospacing="1"/>
      <w:jc w:val="left"/>
    </w:pPr>
    <w:rPr>
      <w:rFonts w:eastAsia="Times New Roman"/>
      <w:szCs w:val="24"/>
      <w:lang w:eastAsia="fr-BE"/>
    </w:rPr>
  </w:style>
  <w:style w:type="character" w:customStyle="1" w:styleId="italic1">
    <w:name w:val="italic1"/>
    <w:basedOn w:val="DefaultParagraphFont"/>
    <w:rsid w:val="00CB4A3E"/>
  </w:style>
  <w:style w:type="paragraph" w:customStyle="1" w:styleId="oj-ti-art">
    <w:name w:val="oj-ti-art"/>
    <w:basedOn w:val="Normal"/>
    <w:rsid w:val="00C520AE"/>
    <w:pPr>
      <w:spacing w:before="100" w:beforeAutospacing="1" w:after="100" w:afterAutospacing="1"/>
      <w:jc w:val="left"/>
    </w:pPr>
    <w:rPr>
      <w:rFonts w:eastAsia="Times New Roman"/>
      <w:szCs w:val="24"/>
      <w:lang w:eastAsia="fr-BE"/>
    </w:rPr>
  </w:style>
  <w:style w:type="paragraph" w:customStyle="1" w:styleId="oj-sti-art">
    <w:name w:val="oj-sti-art"/>
    <w:basedOn w:val="Normal"/>
    <w:rsid w:val="00C520AE"/>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rsid w:val="00116713"/>
    <w:pPr>
      <w:tabs>
        <w:tab w:val="center" w:pos="4535"/>
        <w:tab w:val="right" w:pos="9071"/>
      </w:tabs>
      <w:spacing w:before="0"/>
    </w:pPr>
  </w:style>
  <w:style w:type="character" w:customStyle="1" w:styleId="HeaderChar">
    <w:name w:val="Header Char"/>
    <w:basedOn w:val="DefaultParagraphFont"/>
    <w:link w:val="Header"/>
    <w:uiPriority w:val="99"/>
    <w:rsid w:val="00116713"/>
    <w:rPr>
      <w:rFonts w:ascii="Times New Roman" w:hAnsi="Times New Roman" w:cs="Times New Roman"/>
      <w:sz w:val="24"/>
      <w:lang w:val="et-EE"/>
    </w:rPr>
  </w:style>
  <w:style w:type="paragraph" w:styleId="Footer">
    <w:name w:val="footer"/>
    <w:basedOn w:val="Normal"/>
    <w:link w:val="FooterChar"/>
    <w:uiPriority w:val="99"/>
    <w:unhideWhenUsed/>
    <w:rsid w:val="0011671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6713"/>
    <w:rPr>
      <w:rFonts w:ascii="Times New Roman" w:hAnsi="Times New Roman" w:cs="Times New Roman"/>
      <w:sz w:val="24"/>
      <w:lang w:val="et-E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16713"/>
    <w:pPr>
      <w:tabs>
        <w:tab w:val="center" w:pos="7285"/>
        <w:tab w:val="right" w:pos="14003"/>
      </w:tabs>
      <w:spacing w:before="0"/>
    </w:pPr>
  </w:style>
  <w:style w:type="paragraph" w:customStyle="1" w:styleId="FooterLandscape">
    <w:name w:val="FooterLandscape"/>
    <w:basedOn w:val="Normal"/>
    <w:rsid w:val="0011671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1671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6713"/>
    <w:pPr>
      <w:spacing w:before="0"/>
      <w:jc w:val="right"/>
    </w:pPr>
    <w:rPr>
      <w:sz w:val="28"/>
    </w:rPr>
  </w:style>
  <w:style w:type="paragraph" w:customStyle="1" w:styleId="FooterSensitivity">
    <w:name w:val="Footer Sensitivity"/>
    <w:basedOn w:val="Normal"/>
    <w:rsid w:val="0011671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198">
      <w:bodyDiv w:val="1"/>
      <w:marLeft w:val="0"/>
      <w:marRight w:val="0"/>
      <w:marTop w:val="0"/>
      <w:marBottom w:val="0"/>
      <w:divBdr>
        <w:top w:val="none" w:sz="0" w:space="0" w:color="auto"/>
        <w:left w:val="none" w:sz="0" w:space="0" w:color="auto"/>
        <w:bottom w:val="none" w:sz="0" w:space="0" w:color="auto"/>
        <w:right w:val="none" w:sz="0" w:space="0" w:color="auto"/>
      </w:divBdr>
    </w:div>
    <w:div w:id="46026945">
      <w:bodyDiv w:val="1"/>
      <w:marLeft w:val="0"/>
      <w:marRight w:val="0"/>
      <w:marTop w:val="0"/>
      <w:marBottom w:val="0"/>
      <w:divBdr>
        <w:top w:val="none" w:sz="0" w:space="0" w:color="auto"/>
        <w:left w:val="none" w:sz="0" w:space="0" w:color="auto"/>
        <w:bottom w:val="none" w:sz="0" w:space="0" w:color="auto"/>
        <w:right w:val="none" w:sz="0" w:space="0" w:color="auto"/>
      </w:divBdr>
      <w:divsChild>
        <w:div w:id="1910768907">
          <w:marLeft w:val="0"/>
          <w:marRight w:val="0"/>
          <w:marTop w:val="0"/>
          <w:marBottom w:val="0"/>
          <w:divBdr>
            <w:top w:val="none" w:sz="0" w:space="0" w:color="auto"/>
            <w:left w:val="none" w:sz="0" w:space="0" w:color="auto"/>
            <w:bottom w:val="none" w:sz="0" w:space="0" w:color="auto"/>
            <w:right w:val="none" w:sz="0" w:space="0" w:color="auto"/>
          </w:divBdr>
        </w:div>
      </w:divsChild>
    </w:div>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110514703">
      <w:bodyDiv w:val="1"/>
      <w:marLeft w:val="0"/>
      <w:marRight w:val="0"/>
      <w:marTop w:val="0"/>
      <w:marBottom w:val="0"/>
      <w:divBdr>
        <w:top w:val="none" w:sz="0" w:space="0" w:color="auto"/>
        <w:left w:val="none" w:sz="0" w:space="0" w:color="auto"/>
        <w:bottom w:val="none" w:sz="0" w:space="0" w:color="auto"/>
        <w:right w:val="none" w:sz="0" w:space="0" w:color="auto"/>
      </w:divBdr>
      <w:divsChild>
        <w:div w:id="883712604">
          <w:marLeft w:val="0"/>
          <w:marRight w:val="0"/>
          <w:marTop w:val="0"/>
          <w:marBottom w:val="0"/>
          <w:divBdr>
            <w:top w:val="none" w:sz="0" w:space="0" w:color="auto"/>
            <w:left w:val="none" w:sz="0" w:space="0" w:color="auto"/>
            <w:bottom w:val="none" w:sz="0" w:space="0" w:color="auto"/>
            <w:right w:val="none" w:sz="0" w:space="0" w:color="auto"/>
          </w:divBdr>
        </w:div>
      </w:divsChild>
    </w:div>
    <w:div w:id="144977089">
      <w:bodyDiv w:val="1"/>
      <w:marLeft w:val="0"/>
      <w:marRight w:val="0"/>
      <w:marTop w:val="0"/>
      <w:marBottom w:val="0"/>
      <w:divBdr>
        <w:top w:val="none" w:sz="0" w:space="0" w:color="auto"/>
        <w:left w:val="none" w:sz="0" w:space="0" w:color="auto"/>
        <w:bottom w:val="none" w:sz="0" w:space="0" w:color="auto"/>
        <w:right w:val="none" w:sz="0" w:space="0" w:color="auto"/>
      </w:divBdr>
      <w:divsChild>
        <w:div w:id="622229626">
          <w:marLeft w:val="0"/>
          <w:marRight w:val="0"/>
          <w:marTop w:val="0"/>
          <w:marBottom w:val="0"/>
          <w:divBdr>
            <w:top w:val="none" w:sz="0" w:space="0" w:color="auto"/>
            <w:left w:val="none" w:sz="0" w:space="0" w:color="auto"/>
            <w:bottom w:val="none" w:sz="0" w:space="0" w:color="auto"/>
            <w:right w:val="none" w:sz="0" w:space="0" w:color="auto"/>
          </w:divBdr>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271985018">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342440935">
      <w:bodyDiv w:val="1"/>
      <w:marLeft w:val="0"/>
      <w:marRight w:val="0"/>
      <w:marTop w:val="0"/>
      <w:marBottom w:val="0"/>
      <w:divBdr>
        <w:top w:val="none" w:sz="0" w:space="0" w:color="auto"/>
        <w:left w:val="none" w:sz="0" w:space="0" w:color="auto"/>
        <w:bottom w:val="none" w:sz="0" w:space="0" w:color="auto"/>
        <w:right w:val="none" w:sz="0" w:space="0" w:color="auto"/>
      </w:divBdr>
    </w:div>
    <w:div w:id="347827879">
      <w:bodyDiv w:val="1"/>
      <w:marLeft w:val="0"/>
      <w:marRight w:val="0"/>
      <w:marTop w:val="0"/>
      <w:marBottom w:val="0"/>
      <w:divBdr>
        <w:top w:val="none" w:sz="0" w:space="0" w:color="auto"/>
        <w:left w:val="none" w:sz="0" w:space="0" w:color="auto"/>
        <w:bottom w:val="none" w:sz="0" w:space="0" w:color="auto"/>
        <w:right w:val="none" w:sz="0" w:space="0" w:color="auto"/>
      </w:divBdr>
      <w:divsChild>
        <w:div w:id="967509353">
          <w:marLeft w:val="0"/>
          <w:marRight w:val="0"/>
          <w:marTop w:val="0"/>
          <w:marBottom w:val="0"/>
          <w:divBdr>
            <w:top w:val="none" w:sz="0" w:space="0" w:color="auto"/>
            <w:left w:val="none" w:sz="0" w:space="0" w:color="auto"/>
            <w:bottom w:val="none" w:sz="0" w:space="0" w:color="auto"/>
            <w:right w:val="none" w:sz="0" w:space="0" w:color="auto"/>
          </w:divBdr>
        </w:div>
      </w:divsChild>
    </w:div>
    <w:div w:id="375744408">
      <w:bodyDiv w:val="1"/>
      <w:marLeft w:val="0"/>
      <w:marRight w:val="0"/>
      <w:marTop w:val="0"/>
      <w:marBottom w:val="0"/>
      <w:divBdr>
        <w:top w:val="none" w:sz="0" w:space="0" w:color="auto"/>
        <w:left w:val="none" w:sz="0" w:space="0" w:color="auto"/>
        <w:bottom w:val="none" w:sz="0" w:space="0" w:color="auto"/>
        <w:right w:val="none" w:sz="0" w:space="0" w:color="auto"/>
      </w:divBdr>
    </w:div>
    <w:div w:id="378894176">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427969001">
      <w:bodyDiv w:val="1"/>
      <w:marLeft w:val="0"/>
      <w:marRight w:val="0"/>
      <w:marTop w:val="0"/>
      <w:marBottom w:val="0"/>
      <w:divBdr>
        <w:top w:val="none" w:sz="0" w:space="0" w:color="auto"/>
        <w:left w:val="none" w:sz="0" w:space="0" w:color="auto"/>
        <w:bottom w:val="none" w:sz="0" w:space="0" w:color="auto"/>
        <w:right w:val="none" w:sz="0" w:space="0" w:color="auto"/>
      </w:divBdr>
    </w:div>
    <w:div w:id="463742396">
      <w:bodyDiv w:val="1"/>
      <w:marLeft w:val="0"/>
      <w:marRight w:val="0"/>
      <w:marTop w:val="0"/>
      <w:marBottom w:val="0"/>
      <w:divBdr>
        <w:top w:val="none" w:sz="0" w:space="0" w:color="auto"/>
        <w:left w:val="none" w:sz="0" w:space="0" w:color="auto"/>
        <w:bottom w:val="none" w:sz="0" w:space="0" w:color="auto"/>
        <w:right w:val="none" w:sz="0" w:space="0" w:color="auto"/>
      </w:divBdr>
    </w:div>
    <w:div w:id="649292010">
      <w:bodyDiv w:val="1"/>
      <w:marLeft w:val="0"/>
      <w:marRight w:val="0"/>
      <w:marTop w:val="0"/>
      <w:marBottom w:val="0"/>
      <w:divBdr>
        <w:top w:val="none" w:sz="0" w:space="0" w:color="auto"/>
        <w:left w:val="none" w:sz="0" w:space="0" w:color="auto"/>
        <w:bottom w:val="none" w:sz="0" w:space="0" w:color="auto"/>
        <w:right w:val="none" w:sz="0" w:space="0" w:color="auto"/>
      </w:divBdr>
    </w:div>
    <w:div w:id="658193626">
      <w:bodyDiv w:val="1"/>
      <w:marLeft w:val="0"/>
      <w:marRight w:val="0"/>
      <w:marTop w:val="0"/>
      <w:marBottom w:val="0"/>
      <w:divBdr>
        <w:top w:val="none" w:sz="0" w:space="0" w:color="auto"/>
        <w:left w:val="none" w:sz="0" w:space="0" w:color="auto"/>
        <w:bottom w:val="none" w:sz="0" w:space="0" w:color="auto"/>
        <w:right w:val="none" w:sz="0" w:space="0" w:color="auto"/>
      </w:divBdr>
      <w:divsChild>
        <w:div w:id="39019151">
          <w:marLeft w:val="0"/>
          <w:marRight w:val="0"/>
          <w:marTop w:val="0"/>
          <w:marBottom w:val="0"/>
          <w:divBdr>
            <w:top w:val="none" w:sz="0" w:space="0" w:color="auto"/>
            <w:left w:val="none" w:sz="0" w:space="0" w:color="auto"/>
            <w:bottom w:val="none" w:sz="0" w:space="0" w:color="auto"/>
            <w:right w:val="none" w:sz="0" w:space="0" w:color="auto"/>
          </w:divBdr>
          <w:divsChild>
            <w:div w:id="1690065773">
              <w:marLeft w:val="0"/>
              <w:marRight w:val="0"/>
              <w:marTop w:val="0"/>
              <w:marBottom w:val="0"/>
              <w:divBdr>
                <w:top w:val="none" w:sz="0" w:space="0" w:color="auto"/>
                <w:left w:val="none" w:sz="0" w:space="0" w:color="auto"/>
                <w:bottom w:val="none" w:sz="0" w:space="0" w:color="auto"/>
                <w:right w:val="none" w:sz="0" w:space="0" w:color="auto"/>
              </w:divBdr>
            </w:div>
          </w:divsChild>
        </w:div>
        <w:div w:id="1411003199">
          <w:marLeft w:val="0"/>
          <w:marRight w:val="0"/>
          <w:marTop w:val="0"/>
          <w:marBottom w:val="0"/>
          <w:divBdr>
            <w:top w:val="none" w:sz="0" w:space="0" w:color="auto"/>
            <w:left w:val="none" w:sz="0" w:space="0" w:color="auto"/>
            <w:bottom w:val="none" w:sz="0" w:space="0" w:color="auto"/>
            <w:right w:val="none" w:sz="0" w:space="0" w:color="auto"/>
          </w:divBdr>
          <w:divsChild>
            <w:div w:id="1874607878">
              <w:marLeft w:val="0"/>
              <w:marRight w:val="0"/>
              <w:marTop w:val="0"/>
              <w:marBottom w:val="0"/>
              <w:divBdr>
                <w:top w:val="none" w:sz="0" w:space="0" w:color="auto"/>
                <w:left w:val="none" w:sz="0" w:space="0" w:color="auto"/>
                <w:bottom w:val="none" w:sz="0" w:space="0" w:color="auto"/>
                <w:right w:val="none" w:sz="0" w:space="0" w:color="auto"/>
              </w:divBdr>
            </w:div>
          </w:divsChild>
        </w:div>
        <w:div w:id="1746800817">
          <w:marLeft w:val="0"/>
          <w:marRight w:val="0"/>
          <w:marTop w:val="0"/>
          <w:marBottom w:val="0"/>
          <w:divBdr>
            <w:top w:val="none" w:sz="0" w:space="0" w:color="auto"/>
            <w:left w:val="none" w:sz="0" w:space="0" w:color="auto"/>
            <w:bottom w:val="none" w:sz="0" w:space="0" w:color="auto"/>
            <w:right w:val="none" w:sz="0" w:space="0" w:color="auto"/>
          </w:divBdr>
          <w:divsChild>
            <w:div w:id="249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8602">
      <w:bodyDiv w:val="1"/>
      <w:marLeft w:val="0"/>
      <w:marRight w:val="0"/>
      <w:marTop w:val="0"/>
      <w:marBottom w:val="0"/>
      <w:divBdr>
        <w:top w:val="none" w:sz="0" w:space="0" w:color="auto"/>
        <w:left w:val="none" w:sz="0" w:space="0" w:color="auto"/>
        <w:bottom w:val="none" w:sz="0" w:space="0" w:color="auto"/>
        <w:right w:val="none" w:sz="0" w:space="0" w:color="auto"/>
      </w:divBdr>
    </w:div>
    <w:div w:id="706106811">
      <w:bodyDiv w:val="1"/>
      <w:marLeft w:val="0"/>
      <w:marRight w:val="0"/>
      <w:marTop w:val="0"/>
      <w:marBottom w:val="0"/>
      <w:divBdr>
        <w:top w:val="none" w:sz="0" w:space="0" w:color="auto"/>
        <w:left w:val="none" w:sz="0" w:space="0" w:color="auto"/>
        <w:bottom w:val="none" w:sz="0" w:space="0" w:color="auto"/>
        <w:right w:val="none" w:sz="0" w:space="0" w:color="auto"/>
      </w:divBdr>
    </w:div>
    <w:div w:id="79083116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02888683">
      <w:bodyDiv w:val="1"/>
      <w:marLeft w:val="0"/>
      <w:marRight w:val="0"/>
      <w:marTop w:val="0"/>
      <w:marBottom w:val="0"/>
      <w:divBdr>
        <w:top w:val="none" w:sz="0" w:space="0" w:color="auto"/>
        <w:left w:val="none" w:sz="0" w:space="0" w:color="auto"/>
        <w:bottom w:val="none" w:sz="0" w:space="0" w:color="auto"/>
        <w:right w:val="none" w:sz="0" w:space="0" w:color="auto"/>
      </w:divBdr>
    </w:div>
    <w:div w:id="805901146">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871914680">
      <w:bodyDiv w:val="1"/>
      <w:marLeft w:val="0"/>
      <w:marRight w:val="0"/>
      <w:marTop w:val="0"/>
      <w:marBottom w:val="0"/>
      <w:divBdr>
        <w:top w:val="none" w:sz="0" w:space="0" w:color="auto"/>
        <w:left w:val="none" w:sz="0" w:space="0" w:color="auto"/>
        <w:bottom w:val="none" w:sz="0" w:space="0" w:color="auto"/>
        <w:right w:val="none" w:sz="0" w:space="0" w:color="auto"/>
      </w:divBdr>
      <w:divsChild>
        <w:div w:id="1716734589">
          <w:marLeft w:val="0"/>
          <w:marRight w:val="0"/>
          <w:marTop w:val="0"/>
          <w:marBottom w:val="0"/>
          <w:divBdr>
            <w:top w:val="none" w:sz="0" w:space="0" w:color="auto"/>
            <w:left w:val="none" w:sz="0" w:space="0" w:color="auto"/>
            <w:bottom w:val="none" w:sz="0" w:space="0" w:color="auto"/>
            <w:right w:val="none" w:sz="0" w:space="0" w:color="auto"/>
          </w:divBdr>
          <w:divsChild>
            <w:div w:id="5881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1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058">
          <w:marLeft w:val="0"/>
          <w:marRight w:val="0"/>
          <w:marTop w:val="0"/>
          <w:marBottom w:val="0"/>
          <w:divBdr>
            <w:top w:val="none" w:sz="0" w:space="0" w:color="auto"/>
            <w:left w:val="none" w:sz="0" w:space="0" w:color="auto"/>
            <w:bottom w:val="none" w:sz="0" w:space="0" w:color="auto"/>
            <w:right w:val="none" w:sz="0" w:space="0" w:color="auto"/>
          </w:divBdr>
        </w:div>
      </w:divsChild>
    </w:div>
    <w:div w:id="1001155353">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27120312">
      <w:bodyDiv w:val="1"/>
      <w:marLeft w:val="0"/>
      <w:marRight w:val="0"/>
      <w:marTop w:val="0"/>
      <w:marBottom w:val="0"/>
      <w:divBdr>
        <w:top w:val="none" w:sz="0" w:space="0" w:color="auto"/>
        <w:left w:val="none" w:sz="0" w:space="0" w:color="auto"/>
        <w:bottom w:val="none" w:sz="0" w:space="0" w:color="auto"/>
        <w:right w:val="none" w:sz="0" w:space="0" w:color="auto"/>
      </w:divBdr>
    </w:div>
    <w:div w:id="1133525164">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298338917">
      <w:bodyDiv w:val="1"/>
      <w:marLeft w:val="0"/>
      <w:marRight w:val="0"/>
      <w:marTop w:val="0"/>
      <w:marBottom w:val="0"/>
      <w:divBdr>
        <w:top w:val="none" w:sz="0" w:space="0" w:color="auto"/>
        <w:left w:val="none" w:sz="0" w:space="0" w:color="auto"/>
        <w:bottom w:val="none" w:sz="0" w:space="0" w:color="auto"/>
        <w:right w:val="none" w:sz="0" w:space="0" w:color="auto"/>
      </w:divBdr>
    </w:div>
    <w:div w:id="1323239417">
      <w:bodyDiv w:val="1"/>
      <w:marLeft w:val="0"/>
      <w:marRight w:val="0"/>
      <w:marTop w:val="0"/>
      <w:marBottom w:val="0"/>
      <w:divBdr>
        <w:top w:val="none" w:sz="0" w:space="0" w:color="auto"/>
        <w:left w:val="none" w:sz="0" w:space="0" w:color="auto"/>
        <w:bottom w:val="none" w:sz="0" w:space="0" w:color="auto"/>
        <w:right w:val="none" w:sz="0" w:space="0" w:color="auto"/>
      </w:divBdr>
    </w:div>
    <w:div w:id="1351371084">
      <w:bodyDiv w:val="1"/>
      <w:marLeft w:val="0"/>
      <w:marRight w:val="0"/>
      <w:marTop w:val="0"/>
      <w:marBottom w:val="0"/>
      <w:divBdr>
        <w:top w:val="none" w:sz="0" w:space="0" w:color="auto"/>
        <w:left w:val="none" w:sz="0" w:space="0" w:color="auto"/>
        <w:bottom w:val="none" w:sz="0" w:space="0" w:color="auto"/>
        <w:right w:val="none" w:sz="0" w:space="0" w:color="auto"/>
      </w:divBdr>
      <w:divsChild>
        <w:div w:id="390813519">
          <w:marLeft w:val="0"/>
          <w:marRight w:val="0"/>
          <w:marTop w:val="0"/>
          <w:marBottom w:val="0"/>
          <w:divBdr>
            <w:top w:val="none" w:sz="0" w:space="0" w:color="auto"/>
            <w:left w:val="none" w:sz="0" w:space="0" w:color="auto"/>
            <w:bottom w:val="none" w:sz="0" w:space="0" w:color="auto"/>
            <w:right w:val="none" w:sz="0" w:space="0" w:color="auto"/>
          </w:divBdr>
        </w:div>
        <w:div w:id="355737634">
          <w:marLeft w:val="0"/>
          <w:marRight w:val="0"/>
          <w:marTop w:val="0"/>
          <w:marBottom w:val="0"/>
          <w:divBdr>
            <w:top w:val="none" w:sz="0" w:space="0" w:color="auto"/>
            <w:left w:val="none" w:sz="0" w:space="0" w:color="auto"/>
            <w:bottom w:val="none" w:sz="0" w:space="0" w:color="auto"/>
            <w:right w:val="none" w:sz="0" w:space="0" w:color="auto"/>
          </w:divBdr>
        </w:div>
      </w:divsChild>
    </w:div>
    <w:div w:id="1357467509">
      <w:bodyDiv w:val="1"/>
      <w:marLeft w:val="0"/>
      <w:marRight w:val="0"/>
      <w:marTop w:val="0"/>
      <w:marBottom w:val="0"/>
      <w:divBdr>
        <w:top w:val="none" w:sz="0" w:space="0" w:color="auto"/>
        <w:left w:val="none" w:sz="0" w:space="0" w:color="auto"/>
        <w:bottom w:val="none" w:sz="0" w:space="0" w:color="auto"/>
        <w:right w:val="none" w:sz="0" w:space="0" w:color="auto"/>
      </w:divBdr>
    </w:div>
    <w:div w:id="1380010866">
      <w:bodyDiv w:val="1"/>
      <w:marLeft w:val="0"/>
      <w:marRight w:val="0"/>
      <w:marTop w:val="0"/>
      <w:marBottom w:val="0"/>
      <w:divBdr>
        <w:top w:val="none" w:sz="0" w:space="0" w:color="auto"/>
        <w:left w:val="none" w:sz="0" w:space="0" w:color="auto"/>
        <w:bottom w:val="none" w:sz="0" w:space="0" w:color="auto"/>
        <w:right w:val="none" w:sz="0" w:space="0" w:color="auto"/>
      </w:divBdr>
    </w:div>
    <w:div w:id="1393191772">
      <w:bodyDiv w:val="1"/>
      <w:marLeft w:val="0"/>
      <w:marRight w:val="0"/>
      <w:marTop w:val="0"/>
      <w:marBottom w:val="0"/>
      <w:divBdr>
        <w:top w:val="none" w:sz="0" w:space="0" w:color="auto"/>
        <w:left w:val="none" w:sz="0" w:space="0" w:color="auto"/>
        <w:bottom w:val="none" w:sz="0" w:space="0" w:color="auto"/>
        <w:right w:val="none" w:sz="0" w:space="0" w:color="auto"/>
      </w:divBdr>
      <w:divsChild>
        <w:div w:id="808400285">
          <w:marLeft w:val="0"/>
          <w:marRight w:val="0"/>
          <w:marTop w:val="0"/>
          <w:marBottom w:val="0"/>
          <w:divBdr>
            <w:top w:val="none" w:sz="0" w:space="0" w:color="auto"/>
            <w:left w:val="none" w:sz="0" w:space="0" w:color="auto"/>
            <w:bottom w:val="none" w:sz="0" w:space="0" w:color="auto"/>
            <w:right w:val="none" w:sz="0" w:space="0" w:color="auto"/>
          </w:divBdr>
        </w:div>
      </w:divsChild>
    </w:div>
    <w:div w:id="1504468489">
      <w:bodyDiv w:val="1"/>
      <w:marLeft w:val="0"/>
      <w:marRight w:val="0"/>
      <w:marTop w:val="0"/>
      <w:marBottom w:val="0"/>
      <w:divBdr>
        <w:top w:val="none" w:sz="0" w:space="0" w:color="auto"/>
        <w:left w:val="none" w:sz="0" w:space="0" w:color="auto"/>
        <w:bottom w:val="none" w:sz="0" w:space="0" w:color="auto"/>
        <w:right w:val="none" w:sz="0" w:space="0" w:color="auto"/>
      </w:divBdr>
    </w:div>
    <w:div w:id="1549952501">
      <w:bodyDiv w:val="1"/>
      <w:marLeft w:val="0"/>
      <w:marRight w:val="0"/>
      <w:marTop w:val="0"/>
      <w:marBottom w:val="0"/>
      <w:divBdr>
        <w:top w:val="none" w:sz="0" w:space="0" w:color="auto"/>
        <w:left w:val="none" w:sz="0" w:space="0" w:color="auto"/>
        <w:bottom w:val="none" w:sz="0" w:space="0" w:color="auto"/>
        <w:right w:val="none" w:sz="0" w:space="0" w:color="auto"/>
      </w:divBdr>
    </w:div>
    <w:div w:id="1575777495">
      <w:bodyDiv w:val="1"/>
      <w:marLeft w:val="0"/>
      <w:marRight w:val="0"/>
      <w:marTop w:val="0"/>
      <w:marBottom w:val="0"/>
      <w:divBdr>
        <w:top w:val="none" w:sz="0" w:space="0" w:color="auto"/>
        <w:left w:val="none" w:sz="0" w:space="0" w:color="auto"/>
        <w:bottom w:val="none" w:sz="0" w:space="0" w:color="auto"/>
        <w:right w:val="none" w:sz="0" w:space="0" w:color="auto"/>
      </w:divBdr>
    </w:div>
    <w:div w:id="1599096399">
      <w:bodyDiv w:val="1"/>
      <w:marLeft w:val="0"/>
      <w:marRight w:val="0"/>
      <w:marTop w:val="0"/>
      <w:marBottom w:val="0"/>
      <w:divBdr>
        <w:top w:val="none" w:sz="0" w:space="0" w:color="auto"/>
        <w:left w:val="none" w:sz="0" w:space="0" w:color="auto"/>
        <w:bottom w:val="none" w:sz="0" w:space="0" w:color="auto"/>
        <w:right w:val="none" w:sz="0" w:space="0" w:color="auto"/>
      </w:divBdr>
    </w:div>
    <w:div w:id="1611007894">
      <w:bodyDiv w:val="1"/>
      <w:marLeft w:val="0"/>
      <w:marRight w:val="0"/>
      <w:marTop w:val="0"/>
      <w:marBottom w:val="0"/>
      <w:divBdr>
        <w:top w:val="none" w:sz="0" w:space="0" w:color="auto"/>
        <w:left w:val="none" w:sz="0" w:space="0" w:color="auto"/>
        <w:bottom w:val="none" w:sz="0" w:space="0" w:color="auto"/>
        <w:right w:val="none" w:sz="0" w:space="0" w:color="auto"/>
      </w:divBdr>
    </w:div>
    <w:div w:id="1719159734">
      <w:bodyDiv w:val="1"/>
      <w:marLeft w:val="0"/>
      <w:marRight w:val="0"/>
      <w:marTop w:val="0"/>
      <w:marBottom w:val="0"/>
      <w:divBdr>
        <w:top w:val="none" w:sz="0" w:space="0" w:color="auto"/>
        <w:left w:val="none" w:sz="0" w:space="0" w:color="auto"/>
        <w:bottom w:val="none" w:sz="0" w:space="0" w:color="auto"/>
        <w:right w:val="none" w:sz="0" w:space="0" w:color="auto"/>
      </w:divBdr>
      <w:divsChild>
        <w:div w:id="197164470">
          <w:marLeft w:val="0"/>
          <w:marRight w:val="0"/>
          <w:marTop w:val="0"/>
          <w:marBottom w:val="0"/>
          <w:divBdr>
            <w:top w:val="none" w:sz="0" w:space="0" w:color="auto"/>
            <w:left w:val="none" w:sz="0" w:space="0" w:color="auto"/>
            <w:bottom w:val="none" w:sz="0" w:space="0" w:color="auto"/>
            <w:right w:val="none" w:sz="0" w:space="0" w:color="auto"/>
          </w:divBdr>
          <w:divsChild>
            <w:div w:id="160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115">
      <w:bodyDiv w:val="1"/>
      <w:marLeft w:val="0"/>
      <w:marRight w:val="0"/>
      <w:marTop w:val="0"/>
      <w:marBottom w:val="0"/>
      <w:divBdr>
        <w:top w:val="none" w:sz="0" w:space="0" w:color="auto"/>
        <w:left w:val="none" w:sz="0" w:space="0" w:color="auto"/>
        <w:bottom w:val="none" w:sz="0" w:space="0" w:color="auto"/>
        <w:right w:val="none" w:sz="0" w:space="0" w:color="auto"/>
      </w:divBdr>
      <w:divsChild>
        <w:div w:id="794253794">
          <w:marLeft w:val="0"/>
          <w:marRight w:val="0"/>
          <w:marTop w:val="0"/>
          <w:marBottom w:val="0"/>
          <w:divBdr>
            <w:top w:val="none" w:sz="0" w:space="0" w:color="auto"/>
            <w:left w:val="none" w:sz="0" w:space="0" w:color="auto"/>
            <w:bottom w:val="none" w:sz="0" w:space="0" w:color="auto"/>
            <w:right w:val="none" w:sz="0" w:space="0" w:color="auto"/>
          </w:divBdr>
        </w:div>
        <w:div w:id="1325544407">
          <w:marLeft w:val="0"/>
          <w:marRight w:val="0"/>
          <w:marTop w:val="0"/>
          <w:marBottom w:val="0"/>
          <w:divBdr>
            <w:top w:val="none" w:sz="0" w:space="0" w:color="auto"/>
            <w:left w:val="none" w:sz="0" w:space="0" w:color="auto"/>
            <w:bottom w:val="none" w:sz="0" w:space="0" w:color="auto"/>
            <w:right w:val="none" w:sz="0" w:space="0" w:color="auto"/>
          </w:divBdr>
        </w:div>
      </w:divsChild>
    </w:div>
    <w:div w:id="1751344001">
      <w:bodyDiv w:val="1"/>
      <w:marLeft w:val="0"/>
      <w:marRight w:val="0"/>
      <w:marTop w:val="0"/>
      <w:marBottom w:val="0"/>
      <w:divBdr>
        <w:top w:val="none" w:sz="0" w:space="0" w:color="auto"/>
        <w:left w:val="none" w:sz="0" w:space="0" w:color="auto"/>
        <w:bottom w:val="none" w:sz="0" w:space="0" w:color="auto"/>
        <w:right w:val="none" w:sz="0" w:space="0" w:color="auto"/>
      </w:divBdr>
      <w:divsChild>
        <w:div w:id="1312056641">
          <w:marLeft w:val="0"/>
          <w:marRight w:val="0"/>
          <w:marTop w:val="0"/>
          <w:marBottom w:val="0"/>
          <w:divBdr>
            <w:top w:val="none" w:sz="0" w:space="0" w:color="auto"/>
            <w:left w:val="none" w:sz="0" w:space="0" w:color="auto"/>
            <w:bottom w:val="none" w:sz="0" w:space="0" w:color="auto"/>
            <w:right w:val="none" w:sz="0" w:space="0" w:color="auto"/>
          </w:divBdr>
          <w:divsChild>
            <w:div w:id="616331001">
              <w:marLeft w:val="0"/>
              <w:marRight w:val="0"/>
              <w:marTop w:val="120"/>
              <w:marBottom w:val="0"/>
              <w:divBdr>
                <w:top w:val="none" w:sz="0" w:space="0" w:color="auto"/>
                <w:left w:val="none" w:sz="0" w:space="0" w:color="auto"/>
                <w:bottom w:val="none" w:sz="0" w:space="0" w:color="auto"/>
                <w:right w:val="none" w:sz="0" w:space="0" w:color="auto"/>
              </w:divBdr>
            </w:div>
            <w:div w:id="1550385774">
              <w:marLeft w:val="0"/>
              <w:marRight w:val="0"/>
              <w:marTop w:val="0"/>
              <w:marBottom w:val="0"/>
              <w:divBdr>
                <w:top w:val="none" w:sz="0" w:space="0" w:color="auto"/>
                <w:left w:val="none" w:sz="0" w:space="0" w:color="auto"/>
                <w:bottom w:val="none" w:sz="0" w:space="0" w:color="auto"/>
                <w:right w:val="none" w:sz="0" w:space="0" w:color="auto"/>
              </w:divBdr>
            </w:div>
          </w:divsChild>
        </w:div>
        <w:div w:id="1152217495">
          <w:marLeft w:val="0"/>
          <w:marRight w:val="0"/>
          <w:marTop w:val="0"/>
          <w:marBottom w:val="0"/>
          <w:divBdr>
            <w:top w:val="none" w:sz="0" w:space="0" w:color="auto"/>
            <w:left w:val="none" w:sz="0" w:space="0" w:color="auto"/>
            <w:bottom w:val="none" w:sz="0" w:space="0" w:color="auto"/>
            <w:right w:val="none" w:sz="0" w:space="0" w:color="auto"/>
          </w:divBdr>
          <w:divsChild>
            <w:div w:id="239220322">
              <w:marLeft w:val="0"/>
              <w:marRight w:val="0"/>
              <w:marTop w:val="120"/>
              <w:marBottom w:val="0"/>
              <w:divBdr>
                <w:top w:val="none" w:sz="0" w:space="0" w:color="auto"/>
                <w:left w:val="none" w:sz="0" w:space="0" w:color="auto"/>
                <w:bottom w:val="none" w:sz="0" w:space="0" w:color="auto"/>
                <w:right w:val="none" w:sz="0" w:space="0" w:color="auto"/>
              </w:divBdr>
            </w:div>
            <w:div w:id="1814715901">
              <w:marLeft w:val="0"/>
              <w:marRight w:val="0"/>
              <w:marTop w:val="0"/>
              <w:marBottom w:val="0"/>
              <w:divBdr>
                <w:top w:val="none" w:sz="0" w:space="0" w:color="auto"/>
                <w:left w:val="none" w:sz="0" w:space="0" w:color="auto"/>
                <w:bottom w:val="none" w:sz="0" w:space="0" w:color="auto"/>
                <w:right w:val="none" w:sz="0" w:space="0" w:color="auto"/>
              </w:divBdr>
            </w:div>
          </w:divsChild>
        </w:div>
        <w:div w:id="1299267251">
          <w:marLeft w:val="0"/>
          <w:marRight w:val="0"/>
          <w:marTop w:val="0"/>
          <w:marBottom w:val="0"/>
          <w:divBdr>
            <w:top w:val="none" w:sz="0" w:space="0" w:color="auto"/>
            <w:left w:val="none" w:sz="0" w:space="0" w:color="auto"/>
            <w:bottom w:val="none" w:sz="0" w:space="0" w:color="auto"/>
            <w:right w:val="none" w:sz="0" w:space="0" w:color="auto"/>
          </w:divBdr>
          <w:divsChild>
            <w:div w:id="1151168019">
              <w:marLeft w:val="0"/>
              <w:marRight w:val="0"/>
              <w:marTop w:val="120"/>
              <w:marBottom w:val="0"/>
              <w:divBdr>
                <w:top w:val="none" w:sz="0" w:space="0" w:color="auto"/>
                <w:left w:val="none" w:sz="0" w:space="0" w:color="auto"/>
                <w:bottom w:val="none" w:sz="0" w:space="0" w:color="auto"/>
                <w:right w:val="none" w:sz="0" w:space="0" w:color="auto"/>
              </w:divBdr>
            </w:div>
            <w:div w:id="1875846058">
              <w:marLeft w:val="0"/>
              <w:marRight w:val="0"/>
              <w:marTop w:val="0"/>
              <w:marBottom w:val="0"/>
              <w:divBdr>
                <w:top w:val="none" w:sz="0" w:space="0" w:color="auto"/>
                <w:left w:val="none" w:sz="0" w:space="0" w:color="auto"/>
                <w:bottom w:val="none" w:sz="0" w:space="0" w:color="auto"/>
                <w:right w:val="none" w:sz="0" w:space="0" w:color="auto"/>
              </w:divBdr>
            </w:div>
          </w:divsChild>
        </w:div>
        <w:div w:id="955676773">
          <w:marLeft w:val="0"/>
          <w:marRight w:val="0"/>
          <w:marTop w:val="0"/>
          <w:marBottom w:val="0"/>
          <w:divBdr>
            <w:top w:val="none" w:sz="0" w:space="0" w:color="auto"/>
            <w:left w:val="none" w:sz="0" w:space="0" w:color="auto"/>
            <w:bottom w:val="none" w:sz="0" w:space="0" w:color="auto"/>
            <w:right w:val="none" w:sz="0" w:space="0" w:color="auto"/>
          </w:divBdr>
          <w:divsChild>
            <w:div w:id="1925217323">
              <w:marLeft w:val="0"/>
              <w:marRight w:val="0"/>
              <w:marTop w:val="120"/>
              <w:marBottom w:val="0"/>
              <w:divBdr>
                <w:top w:val="none" w:sz="0" w:space="0" w:color="auto"/>
                <w:left w:val="none" w:sz="0" w:space="0" w:color="auto"/>
                <w:bottom w:val="none" w:sz="0" w:space="0" w:color="auto"/>
                <w:right w:val="none" w:sz="0" w:space="0" w:color="auto"/>
              </w:divBdr>
            </w:div>
            <w:div w:id="722944193">
              <w:marLeft w:val="0"/>
              <w:marRight w:val="0"/>
              <w:marTop w:val="0"/>
              <w:marBottom w:val="0"/>
              <w:divBdr>
                <w:top w:val="none" w:sz="0" w:space="0" w:color="auto"/>
                <w:left w:val="none" w:sz="0" w:space="0" w:color="auto"/>
                <w:bottom w:val="none" w:sz="0" w:space="0" w:color="auto"/>
                <w:right w:val="none" w:sz="0" w:space="0" w:color="auto"/>
              </w:divBdr>
            </w:div>
          </w:divsChild>
        </w:div>
        <w:div w:id="1973830635">
          <w:marLeft w:val="0"/>
          <w:marRight w:val="0"/>
          <w:marTop w:val="0"/>
          <w:marBottom w:val="0"/>
          <w:divBdr>
            <w:top w:val="none" w:sz="0" w:space="0" w:color="auto"/>
            <w:left w:val="none" w:sz="0" w:space="0" w:color="auto"/>
            <w:bottom w:val="none" w:sz="0" w:space="0" w:color="auto"/>
            <w:right w:val="none" w:sz="0" w:space="0" w:color="auto"/>
          </w:divBdr>
          <w:divsChild>
            <w:div w:id="1862081827">
              <w:marLeft w:val="0"/>
              <w:marRight w:val="0"/>
              <w:marTop w:val="120"/>
              <w:marBottom w:val="0"/>
              <w:divBdr>
                <w:top w:val="none" w:sz="0" w:space="0" w:color="auto"/>
                <w:left w:val="none" w:sz="0" w:space="0" w:color="auto"/>
                <w:bottom w:val="none" w:sz="0" w:space="0" w:color="auto"/>
                <w:right w:val="none" w:sz="0" w:space="0" w:color="auto"/>
              </w:divBdr>
            </w:div>
            <w:div w:id="1555655794">
              <w:marLeft w:val="0"/>
              <w:marRight w:val="0"/>
              <w:marTop w:val="0"/>
              <w:marBottom w:val="0"/>
              <w:divBdr>
                <w:top w:val="none" w:sz="0" w:space="0" w:color="auto"/>
                <w:left w:val="none" w:sz="0" w:space="0" w:color="auto"/>
                <w:bottom w:val="none" w:sz="0" w:space="0" w:color="auto"/>
                <w:right w:val="none" w:sz="0" w:space="0" w:color="auto"/>
              </w:divBdr>
            </w:div>
          </w:divsChild>
        </w:div>
        <w:div w:id="1490751165">
          <w:marLeft w:val="0"/>
          <w:marRight w:val="0"/>
          <w:marTop w:val="0"/>
          <w:marBottom w:val="0"/>
          <w:divBdr>
            <w:top w:val="none" w:sz="0" w:space="0" w:color="auto"/>
            <w:left w:val="none" w:sz="0" w:space="0" w:color="auto"/>
            <w:bottom w:val="none" w:sz="0" w:space="0" w:color="auto"/>
            <w:right w:val="none" w:sz="0" w:space="0" w:color="auto"/>
          </w:divBdr>
          <w:divsChild>
            <w:div w:id="584606673">
              <w:marLeft w:val="0"/>
              <w:marRight w:val="0"/>
              <w:marTop w:val="120"/>
              <w:marBottom w:val="0"/>
              <w:divBdr>
                <w:top w:val="none" w:sz="0" w:space="0" w:color="auto"/>
                <w:left w:val="none" w:sz="0" w:space="0" w:color="auto"/>
                <w:bottom w:val="none" w:sz="0" w:space="0" w:color="auto"/>
                <w:right w:val="none" w:sz="0" w:space="0" w:color="auto"/>
              </w:divBdr>
            </w:div>
            <w:div w:id="2131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853">
      <w:bodyDiv w:val="1"/>
      <w:marLeft w:val="0"/>
      <w:marRight w:val="0"/>
      <w:marTop w:val="0"/>
      <w:marBottom w:val="0"/>
      <w:divBdr>
        <w:top w:val="none" w:sz="0" w:space="0" w:color="auto"/>
        <w:left w:val="none" w:sz="0" w:space="0" w:color="auto"/>
        <w:bottom w:val="none" w:sz="0" w:space="0" w:color="auto"/>
        <w:right w:val="none" w:sz="0" w:space="0" w:color="auto"/>
      </w:divBdr>
    </w:div>
    <w:div w:id="1827281227">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58488630">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06787814">
      <w:bodyDiv w:val="1"/>
      <w:marLeft w:val="0"/>
      <w:marRight w:val="0"/>
      <w:marTop w:val="0"/>
      <w:marBottom w:val="0"/>
      <w:divBdr>
        <w:top w:val="none" w:sz="0" w:space="0" w:color="auto"/>
        <w:left w:val="none" w:sz="0" w:space="0" w:color="auto"/>
        <w:bottom w:val="none" w:sz="0" w:space="0" w:color="auto"/>
        <w:right w:val="none" w:sz="0" w:space="0" w:color="auto"/>
      </w:divBdr>
      <w:divsChild>
        <w:div w:id="963192657">
          <w:marLeft w:val="0"/>
          <w:marRight w:val="0"/>
          <w:marTop w:val="120"/>
          <w:marBottom w:val="0"/>
          <w:divBdr>
            <w:top w:val="none" w:sz="0" w:space="0" w:color="auto"/>
            <w:left w:val="none" w:sz="0" w:space="0" w:color="auto"/>
            <w:bottom w:val="none" w:sz="0" w:space="0" w:color="auto"/>
            <w:right w:val="none" w:sz="0" w:space="0" w:color="auto"/>
          </w:divBdr>
        </w:div>
        <w:div w:id="1923491862">
          <w:marLeft w:val="0"/>
          <w:marRight w:val="0"/>
          <w:marTop w:val="0"/>
          <w:marBottom w:val="0"/>
          <w:divBdr>
            <w:top w:val="none" w:sz="0" w:space="0" w:color="auto"/>
            <w:left w:val="none" w:sz="0" w:space="0" w:color="auto"/>
            <w:bottom w:val="none" w:sz="0" w:space="0" w:color="auto"/>
            <w:right w:val="none" w:sz="0" w:space="0" w:color="auto"/>
          </w:divBdr>
        </w:div>
      </w:divsChild>
    </w:div>
    <w:div w:id="206787809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
    <w:div w:id="2089226084">
      <w:bodyDiv w:val="1"/>
      <w:marLeft w:val="0"/>
      <w:marRight w:val="0"/>
      <w:marTop w:val="0"/>
      <w:marBottom w:val="0"/>
      <w:divBdr>
        <w:top w:val="none" w:sz="0" w:space="0" w:color="auto"/>
        <w:left w:val="none" w:sz="0" w:space="0" w:color="auto"/>
        <w:bottom w:val="none" w:sz="0" w:space="0" w:color="auto"/>
        <w:right w:val="none" w:sz="0" w:space="0" w:color="auto"/>
      </w:divBdr>
      <w:divsChild>
        <w:div w:id="1856187882">
          <w:blockQuote w:val="1"/>
          <w:marLeft w:val="1050"/>
          <w:marRight w:val="0"/>
          <w:marTop w:val="192"/>
          <w:marBottom w:val="0"/>
          <w:divBdr>
            <w:top w:val="none" w:sz="0" w:space="0" w:color="auto"/>
            <w:left w:val="none" w:sz="0" w:space="0" w:color="auto"/>
            <w:bottom w:val="none" w:sz="0" w:space="0" w:color="auto"/>
            <w:right w:val="none" w:sz="0" w:space="0" w:color="auto"/>
          </w:divBdr>
        </w:div>
      </w:divsChild>
    </w:div>
    <w:div w:id="2089304101">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T/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716F78-C311-4872-8C4A-C603A696F179}">
  <ds:schemaRefs>
    <ds:schemaRef ds:uri="http://schemas.microsoft.com/sharepoint/v3/field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62e97ea9-7ea3-481f-81a3-2d45a5a9b393"/>
    <ds:schemaRef ds:uri="http://www.w3.org/XML/1998/namespace"/>
    <ds:schemaRef ds:uri="http://purl.org/dc/dcmitype/"/>
  </ds:schemaRefs>
</ds:datastoreItem>
</file>

<file path=customXml/itemProps2.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4.xml><?xml version="1.0" encoding="utf-8"?>
<ds:datastoreItem xmlns:ds="http://schemas.openxmlformats.org/officeDocument/2006/customXml" ds:itemID="{739C220A-2FA6-478E-8310-8EA3886C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31</Pages>
  <Words>6277</Words>
  <Characters>47269</Characters>
  <Application>Microsoft Office Word</Application>
  <DocSecurity>0</DocSecurity>
  <Lines>1688</Lines>
  <Paragraphs>588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48</cp:revision>
  <dcterms:created xsi:type="dcterms:W3CDTF">2022-06-28T18:06:00Z</dcterms:created>
  <dcterms:modified xsi:type="dcterms:W3CDTF">2022-07-01T08:50:00Z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8.0, Build 20220128</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MSIP_Label_6bd9ddd1-4d20-43f6-abfa-fc3c07406f94_Enabled">
    <vt:lpwstr>true</vt:lpwstr>
  </property>
  <property fmtid="{D5CDD505-2E9C-101B-9397-08002B2CF9AE}" pid="12" name="MSIP_Label_6bd9ddd1-4d20-43f6-abfa-fc3c07406f94_SetDate">
    <vt:lpwstr>2022-06-09T13:59:46Z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9f857206-ec98-44d0-a630-2030ad4220b9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