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2C98" w:rsidRDefault="00C70C1C">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5DBE2664-7872-41EA-8749-D8E9CECC4173" style="width:451.1pt;height:321.05pt">
            <v:imagedata r:id="rId9" o:title=""/>
          </v:shape>
        </w:pict>
      </w:r>
    </w:p>
    <w:bookmarkEnd w:id="0"/>
    <w:p w:rsidR="00972C98" w:rsidRDefault="00972C98">
      <w:pPr>
        <w:keepLines/>
        <w:rPr>
          <w:noProof/>
        </w:rPr>
        <w:sectPr w:rsidR="00972C98">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26"/>
        </w:sectPr>
      </w:pPr>
    </w:p>
    <w:p w:rsidR="00972C98" w:rsidRDefault="00972C98">
      <w:pPr>
        <w:keepLines/>
        <w:jc w:val="center"/>
        <w:rPr>
          <w:b/>
          <w:noProof/>
          <w:sz w:val="32"/>
          <w:szCs w:val="32"/>
        </w:rPr>
      </w:pPr>
    </w:p>
    <w:p w:rsidR="00972C98" w:rsidRDefault="00972C98">
      <w:pPr>
        <w:keepLines/>
        <w:jc w:val="center"/>
        <w:rPr>
          <w:b/>
          <w:noProof/>
          <w:sz w:val="32"/>
          <w:szCs w:val="32"/>
        </w:rPr>
      </w:pPr>
    </w:p>
    <w:p w:rsidR="00972C98" w:rsidRDefault="00972C98">
      <w:pPr>
        <w:keepLines/>
        <w:jc w:val="center"/>
        <w:rPr>
          <w:b/>
          <w:noProof/>
          <w:sz w:val="32"/>
          <w:szCs w:val="32"/>
        </w:rPr>
      </w:pPr>
    </w:p>
    <w:p w:rsidR="00972C98" w:rsidRDefault="00972C98">
      <w:pPr>
        <w:keepLines/>
        <w:jc w:val="center"/>
        <w:rPr>
          <w:b/>
          <w:noProof/>
          <w:sz w:val="32"/>
          <w:szCs w:val="32"/>
        </w:rPr>
      </w:pPr>
    </w:p>
    <w:p w:rsidR="00972C98" w:rsidRDefault="00972C98">
      <w:pPr>
        <w:keepLines/>
        <w:jc w:val="center"/>
        <w:rPr>
          <w:b/>
          <w:noProof/>
          <w:sz w:val="32"/>
          <w:szCs w:val="32"/>
        </w:rPr>
      </w:pPr>
    </w:p>
    <w:p w:rsidR="00972C98" w:rsidRDefault="00972C98">
      <w:pPr>
        <w:keepLines/>
        <w:jc w:val="center"/>
        <w:rPr>
          <w:b/>
          <w:noProof/>
          <w:sz w:val="32"/>
          <w:szCs w:val="32"/>
        </w:rPr>
      </w:pPr>
    </w:p>
    <w:p w:rsidR="00972C98" w:rsidRDefault="00C70C1C">
      <w:pPr>
        <w:keepLines/>
        <w:jc w:val="center"/>
        <w:rPr>
          <w:b/>
          <w:noProof/>
          <w:sz w:val="44"/>
          <w:szCs w:val="32"/>
        </w:rPr>
      </w:pPr>
      <w:r>
        <w:rPr>
          <w:b/>
          <w:noProof/>
          <w:sz w:val="44"/>
        </w:rPr>
        <w:t xml:space="preserve">Ruoan ja maanviljelyn tulevaisuus </w:t>
      </w:r>
    </w:p>
    <w:p w:rsidR="00972C98" w:rsidRDefault="00972C98">
      <w:pPr>
        <w:keepLines/>
        <w:jc w:val="center"/>
        <w:rPr>
          <w:b/>
          <w:noProof/>
          <w:sz w:val="32"/>
          <w:szCs w:val="32"/>
        </w:rPr>
      </w:pPr>
    </w:p>
    <w:p w:rsidR="00972C98" w:rsidRDefault="00972C98">
      <w:pPr>
        <w:keepLines/>
        <w:jc w:val="center"/>
        <w:rPr>
          <w:b/>
          <w:noProof/>
          <w:sz w:val="32"/>
          <w:szCs w:val="32"/>
        </w:rPr>
      </w:pPr>
    </w:p>
    <w:p w:rsidR="00972C98" w:rsidRDefault="00972C98">
      <w:pPr>
        <w:keepLines/>
        <w:jc w:val="center"/>
        <w:rPr>
          <w:b/>
          <w:noProof/>
          <w:sz w:val="32"/>
          <w:szCs w:val="32"/>
        </w:rPr>
      </w:pPr>
    </w:p>
    <w:p w:rsidR="00972C98" w:rsidRDefault="00972C98">
      <w:pPr>
        <w:keepLines/>
        <w:jc w:val="center"/>
        <w:rPr>
          <w:b/>
          <w:noProof/>
          <w:sz w:val="32"/>
          <w:szCs w:val="32"/>
        </w:rPr>
      </w:pPr>
    </w:p>
    <w:p w:rsidR="00972C98" w:rsidRDefault="00972C98">
      <w:pPr>
        <w:keepLines/>
        <w:jc w:val="center"/>
        <w:rPr>
          <w:b/>
          <w:noProof/>
          <w:sz w:val="32"/>
          <w:szCs w:val="32"/>
        </w:rPr>
      </w:pPr>
    </w:p>
    <w:p w:rsidR="00972C98" w:rsidRDefault="00972C98">
      <w:pPr>
        <w:keepLines/>
        <w:jc w:val="center"/>
        <w:rPr>
          <w:b/>
          <w:noProof/>
          <w:sz w:val="32"/>
          <w:szCs w:val="32"/>
        </w:rPr>
      </w:pPr>
    </w:p>
    <w:p w:rsidR="00972C98" w:rsidRDefault="00972C98">
      <w:pPr>
        <w:keepLines/>
        <w:jc w:val="center"/>
        <w:rPr>
          <w:b/>
          <w:noProof/>
          <w:sz w:val="32"/>
          <w:szCs w:val="32"/>
        </w:rPr>
      </w:pPr>
    </w:p>
    <w:p w:rsidR="00972C98" w:rsidRDefault="00972C98">
      <w:pPr>
        <w:keepLines/>
        <w:jc w:val="center"/>
        <w:rPr>
          <w:b/>
          <w:noProof/>
          <w:sz w:val="32"/>
          <w:szCs w:val="32"/>
        </w:rPr>
      </w:pPr>
    </w:p>
    <w:p w:rsidR="00972C98" w:rsidRDefault="00972C98">
      <w:pPr>
        <w:keepLines/>
        <w:jc w:val="center"/>
        <w:rPr>
          <w:b/>
          <w:noProof/>
          <w:sz w:val="32"/>
          <w:szCs w:val="32"/>
        </w:rPr>
      </w:pPr>
    </w:p>
    <w:p w:rsidR="00972C98" w:rsidRDefault="00972C98">
      <w:pPr>
        <w:keepLines/>
        <w:jc w:val="center"/>
        <w:rPr>
          <w:b/>
          <w:noProof/>
          <w:sz w:val="32"/>
          <w:szCs w:val="32"/>
        </w:rPr>
      </w:pPr>
    </w:p>
    <w:p w:rsidR="00972C98" w:rsidRDefault="00972C98">
      <w:pPr>
        <w:keepLines/>
        <w:jc w:val="center"/>
        <w:rPr>
          <w:b/>
          <w:noProof/>
          <w:sz w:val="32"/>
          <w:szCs w:val="32"/>
        </w:rPr>
      </w:pPr>
    </w:p>
    <w:p w:rsidR="00972C98" w:rsidRDefault="00972C98">
      <w:pPr>
        <w:keepLines/>
        <w:jc w:val="center"/>
        <w:rPr>
          <w:b/>
          <w:noProof/>
          <w:sz w:val="32"/>
          <w:szCs w:val="32"/>
        </w:rPr>
      </w:pPr>
    </w:p>
    <w:p w:rsidR="00972C98" w:rsidRDefault="00972C98">
      <w:pPr>
        <w:keepLines/>
        <w:spacing w:after="0"/>
        <w:jc w:val="left"/>
        <w:rPr>
          <w:b/>
          <w:noProof/>
          <w:sz w:val="32"/>
          <w:szCs w:val="32"/>
        </w:rPr>
      </w:pPr>
    </w:p>
    <w:p w:rsidR="00972C98" w:rsidRDefault="00C70C1C">
      <w:pPr>
        <w:keepLines/>
        <w:spacing w:after="0"/>
        <w:jc w:val="left"/>
        <w:rPr>
          <w:b/>
          <w:noProof/>
          <w:szCs w:val="24"/>
        </w:rPr>
      </w:pPr>
      <w:r>
        <w:rPr>
          <w:noProof/>
        </w:rPr>
        <w:br w:type="page"/>
      </w:r>
    </w:p>
    <w:p w:rsidR="00972C98" w:rsidRDefault="00972C98">
      <w:pPr>
        <w:keepLines/>
        <w:spacing w:after="0"/>
        <w:jc w:val="left"/>
        <w:rPr>
          <w:b/>
          <w:noProof/>
          <w:szCs w:val="24"/>
        </w:rPr>
      </w:pPr>
    </w:p>
    <w:sdt>
      <w:sdtPr>
        <w:rPr>
          <w:b w:val="0"/>
          <w:caps/>
          <w:noProof/>
        </w:rPr>
        <w:id w:val="1512023430"/>
        <w:docPartObj>
          <w:docPartGallery w:val="Table of Contents"/>
          <w:docPartUnique/>
        </w:docPartObj>
      </w:sdtPr>
      <w:sdtEndPr>
        <w:rPr>
          <w:bCs/>
        </w:rPr>
      </w:sdtEndPr>
      <w:sdtContent>
        <w:p w:rsidR="00972C98" w:rsidRDefault="00C70C1C">
          <w:pPr>
            <w:pStyle w:val="TOCHeading"/>
            <w:keepLines/>
            <w:rPr>
              <w:noProof/>
            </w:rPr>
          </w:pPr>
          <w:r>
            <w:rPr>
              <w:noProof/>
            </w:rPr>
            <w:t>Sisältö</w:t>
          </w:r>
        </w:p>
        <w:p w:rsidR="00972C98" w:rsidRDefault="00C70C1C">
          <w:pPr>
            <w:pStyle w:val="TOC1"/>
            <w:rPr>
              <w:rFonts w:asciiTheme="minorHAnsi" w:eastAsia="SimSun" w:hAnsiTheme="minorHAnsi" w:cstheme="minorBidi"/>
              <w:caps w:val="0"/>
              <w:noProof/>
              <w:sz w:val="22"/>
              <w:szCs w:val="22"/>
              <w:lang w:val="en-GB" w:eastAsia="zh-CN" w:bidi="ar-SA"/>
            </w:rPr>
          </w:pPr>
          <w:r>
            <w:rPr>
              <w:noProof/>
            </w:rPr>
            <w:fldChar w:fldCharType="begin"/>
          </w:r>
          <w:r>
            <w:rPr>
              <w:noProof/>
            </w:rPr>
            <w:instrText xml:space="preserve"> TOC \o "1-3" \h \z \u </w:instrText>
          </w:r>
          <w:r>
            <w:rPr>
              <w:noProof/>
            </w:rPr>
            <w:fldChar w:fldCharType="separate"/>
          </w:r>
          <w:hyperlink w:anchor="_Toc499653916" w:history="1">
            <w:r>
              <w:rPr>
                <w:rStyle w:val="Hyperlink"/>
                <w:noProof/>
              </w:rPr>
              <w:t>1.</w:t>
            </w:r>
            <w:r>
              <w:rPr>
                <w:rFonts w:asciiTheme="minorHAnsi" w:eastAsia="SimSun" w:hAnsiTheme="minorHAnsi" w:cstheme="minorBidi"/>
                <w:caps w:val="0"/>
                <w:noProof/>
                <w:sz w:val="22"/>
                <w:szCs w:val="22"/>
                <w:lang w:val="en-GB" w:eastAsia="zh-CN" w:bidi="ar-SA"/>
              </w:rPr>
              <w:tab/>
            </w:r>
            <w:r>
              <w:rPr>
                <w:rStyle w:val="Hyperlink"/>
                <w:noProof/>
              </w:rPr>
              <w:t>Uusi toimintaympäristö</w:t>
            </w:r>
            <w:r>
              <w:rPr>
                <w:noProof/>
                <w:webHidden/>
              </w:rPr>
              <w:tab/>
            </w:r>
            <w:r>
              <w:rPr>
                <w:noProof/>
                <w:webHidden/>
              </w:rPr>
              <w:fldChar w:fldCharType="begin"/>
            </w:r>
            <w:r>
              <w:rPr>
                <w:noProof/>
                <w:webHidden/>
              </w:rPr>
              <w:instrText xml:space="preserve"> PAGEREF _Toc499653916 \h </w:instrText>
            </w:r>
            <w:r>
              <w:rPr>
                <w:noProof/>
                <w:webHidden/>
              </w:rPr>
            </w:r>
            <w:r>
              <w:rPr>
                <w:noProof/>
                <w:webHidden/>
              </w:rPr>
              <w:fldChar w:fldCharType="separate"/>
            </w:r>
            <w:r>
              <w:rPr>
                <w:noProof/>
                <w:webHidden/>
              </w:rPr>
              <w:t>3</w:t>
            </w:r>
            <w:r>
              <w:rPr>
                <w:noProof/>
                <w:webHidden/>
              </w:rPr>
              <w:fldChar w:fldCharType="end"/>
            </w:r>
          </w:hyperlink>
        </w:p>
        <w:p w:rsidR="00972C98" w:rsidRDefault="00C70C1C">
          <w:pPr>
            <w:pStyle w:val="TOC1"/>
            <w:rPr>
              <w:rFonts w:asciiTheme="minorHAnsi" w:eastAsia="SimSun" w:hAnsiTheme="minorHAnsi" w:cstheme="minorBidi"/>
              <w:caps w:val="0"/>
              <w:noProof/>
              <w:sz w:val="22"/>
              <w:szCs w:val="22"/>
              <w:lang w:val="en-GB" w:eastAsia="zh-CN" w:bidi="ar-SA"/>
            </w:rPr>
          </w:pPr>
          <w:hyperlink w:anchor="_Toc499653917" w:history="1">
            <w:r>
              <w:rPr>
                <w:rStyle w:val="Hyperlink"/>
                <w:noProof/>
              </w:rPr>
              <w:t>2.</w:t>
            </w:r>
            <w:r>
              <w:rPr>
                <w:rFonts w:asciiTheme="minorHAnsi" w:eastAsia="SimSun" w:hAnsiTheme="minorHAnsi" w:cstheme="minorBidi"/>
                <w:caps w:val="0"/>
                <w:noProof/>
                <w:sz w:val="22"/>
                <w:szCs w:val="22"/>
                <w:lang w:val="en-GB" w:eastAsia="zh-CN" w:bidi="ar-SA"/>
              </w:rPr>
              <w:tab/>
            </w:r>
            <w:r>
              <w:rPr>
                <w:rStyle w:val="Hyperlink"/>
                <w:noProof/>
              </w:rPr>
              <w:t>Kohti uutta täytäntöönpanomallia ja yksinkertaisempaa yhteistä maatalouspolitiikkaa</w:t>
            </w:r>
            <w:r>
              <w:rPr>
                <w:noProof/>
                <w:webHidden/>
              </w:rPr>
              <w:tab/>
            </w:r>
            <w:r>
              <w:rPr>
                <w:noProof/>
                <w:webHidden/>
              </w:rPr>
              <w:fldChar w:fldCharType="begin"/>
            </w:r>
            <w:r>
              <w:rPr>
                <w:noProof/>
                <w:webHidden/>
              </w:rPr>
              <w:instrText xml:space="preserve"> PAGEREF _Toc499653917 \h </w:instrText>
            </w:r>
            <w:r>
              <w:rPr>
                <w:noProof/>
                <w:webHidden/>
              </w:rPr>
            </w:r>
            <w:r>
              <w:rPr>
                <w:noProof/>
                <w:webHidden/>
              </w:rPr>
              <w:fldChar w:fldCharType="separate"/>
            </w:r>
            <w:r>
              <w:rPr>
                <w:noProof/>
                <w:webHidden/>
              </w:rPr>
              <w:t>9</w:t>
            </w:r>
            <w:r>
              <w:rPr>
                <w:noProof/>
                <w:webHidden/>
              </w:rPr>
              <w:fldChar w:fldCharType="end"/>
            </w:r>
          </w:hyperlink>
        </w:p>
        <w:p w:rsidR="00972C98" w:rsidRDefault="00C70C1C">
          <w:pPr>
            <w:pStyle w:val="TOC1"/>
            <w:rPr>
              <w:rFonts w:asciiTheme="minorHAnsi" w:eastAsia="SimSun" w:hAnsiTheme="minorHAnsi" w:cstheme="minorBidi"/>
              <w:caps w:val="0"/>
              <w:noProof/>
              <w:sz w:val="22"/>
              <w:szCs w:val="22"/>
              <w:lang w:val="en-GB" w:eastAsia="zh-CN" w:bidi="ar-SA"/>
            </w:rPr>
          </w:pPr>
          <w:hyperlink w:anchor="_Toc499653918" w:history="1">
            <w:r>
              <w:rPr>
                <w:rStyle w:val="Hyperlink"/>
                <w:noProof/>
              </w:rPr>
              <w:t>3.</w:t>
            </w:r>
            <w:r>
              <w:rPr>
                <w:rFonts w:asciiTheme="minorHAnsi" w:eastAsia="SimSun" w:hAnsiTheme="minorHAnsi" w:cstheme="minorBidi"/>
                <w:caps w:val="0"/>
                <w:noProof/>
                <w:sz w:val="22"/>
                <w:szCs w:val="22"/>
                <w:lang w:val="en-GB" w:eastAsia="zh-CN" w:bidi="ar-SA"/>
              </w:rPr>
              <w:tab/>
            </w:r>
            <w:r>
              <w:rPr>
                <w:rStyle w:val="Hyperlink"/>
                <w:noProof/>
              </w:rPr>
              <w:t>Älykkäämpi, nykyaikainen ja kestävä yhteinen maatalouspolitiikka</w:t>
            </w:r>
            <w:r>
              <w:rPr>
                <w:noProof/>
                <w:webHidden/>
              </w:rPr>
              <w:tab/>
            </w:r>
            <w:r>
              <w:rPr>
                <w:noProof/>
                <w:webHidden/>
              </w:rPr>
              <w:fldChar w:fldCharType="begin"/>
            </w:r>
            <w:r>
              <w:rPr>
                <w:noProof/>
                <w:webHidden/>
              </w:rPr>
              <w:instrText xml:space="preserve"> PAGEREF _Toc499653918 \h </w:instrText>
            </w:r>
            <w:r>
              <w:rPr>
                <w:noProof/>
                <w:webHidden/>
              </w:rPr>
            </w:r>
            <w:r>
              <w:rPr>
                <w:noProof/>
                <w:webHidden/>
              </w:rPr>
              <w:fldChar w:fldCharType="separate"/>
            </w:r>
            <w:r>
              <w:rPr>
                <w:noProof/>
                <w:webHidden/>
              </w:rPr>
              <w:t>11</w:t>
            </w:r>
            <w:r>
              <w:rPr>
                <w:noProof/>
                <w:webHidden/>
              </w:rPr>
              <w:fldChar w:fldCharType="end"/>
            </w:r>
          </w:hyperlink>
        </w:p>
        <w:p w:rsidR="00972C98" w:rsidRDefault="00C70C1C">
          <w:pPr>
            <w:pStyle w:val="TOC2"/>
            <w:tabs>
              <w:tab w:val="left" w:pos="1077"/>
            </w:tabs>
            <w:rPr>
              <w:rFonts w:asciiTheme="minorHAnsi" w:eastAsia="SimSun" w:hAnsiTheme="minorHAnsi" w:cstheme="minorBidi"/>
              <w:noProof/>
              <w:sz w:val="22"/>
              <w:szCs w:val="22"/>
              <w:lang w:val="en-GB" w:eastAsia="zh-CN" w:bidi="ar-SA"/>
            </w:rPr>
          </w:pPr>
          <w:hyperlink w:anchor="_Toc499653919" w:history="1">
            <w:r>
              <w:rPr>
                <w:rStyle w:val="Hyperlink"/>
                <w:noProof/>
              </w:rPr>
              <w:t>3.1.</w:t>
            </w:r>
            <w:r>
              <w:rPr>
                <w:rFonts w:asciiTheme="minorHAnsi" w:eastAsia="SimSun" w:hAnsiTheme="minorHAnsi" w:cstheme="minorBidi"/>
                <w:noProof/>
                <w:sz w:val="22"/>
                <w:szCs w:val="22"/>
                <w:lang w:val="en-GB" w:eastAsia="zh-CN" w:bidi="ar-SA"/>
              </w:rPr>
              <w:tab/>
            </w:r>
            <w:r>
              <w:rPr>
                <w:rStyle w:val="Hyperlink"/>
                <w:noProof/>
              </w:rPr>
              <w:t>Käytetään tutkimusta ja innovointia liittämään yhteen se, minkä tiedämme, ja se, mitä viljelemme</w:t>
            </w:r>
            <w:r>
              <w:rPr>
                <w:noProof/>
                <w:webHidden/>
              </w:rPr>
              <w:tab/>
            </w:r>
            <w:r>
              <w:rPr>
                <w:noProof/>
                <w:webHidden/>
              </w:rPr>
              <w:fldChar w:fldCharType="begin"/>
            </w:r>
            <w:r>
              <w:rPr>
                <w:noProof/>
                <w:webHidden/>
              </w:rPr>
              <w:instrText xml:space="preserve"> PAGEREF _Toc499653919 \h </w:instrText>
            </w:r>
            <w:r>
              <w:rPr>
                <w:noProof/>
                <w:webHidden/>
              </w:rPr>
            </w:r>
            <w:r>
              <w:rPr>
                <w:noProof/>
                <w:webHidden/>
              </w:rPr>
              <w:fldChar w:fldCharType="separate"/>
            </w:r>
            <w:r>
              <w:rPr>
                <w:noProof/>
                <w:webHidden/>
              </w:rPr>
              <w:t>12</w:t>
            </w:r>
            <w:r>
              <w:rPr>
                <w:noProof/>
                <w:webHidden/>
              </w:rPr>
              <w:fldChar w:fldCharType="end"/>
            </w:r>
          </w:hyperlink>
        </w:p>
        <w:p w:rsidR="00972C98" w:rsidRDefault="00C70C1C">
          <w:pPr>
            <w:pStyle w:val="TOC2"/>
            <w:tabs>
              <w:tab w:val="left" w:pos="1077"/>
            </w:tabs>
            <w:rPr>
              <w:rFonts w:asciiTheme="minorHAnsi" w:eastAsia="SimSun" w:hAnsiTheme="minorHAnsi" w:cstheme="minorBidi"/>
              <w:noProof/>
              <w:sz w:val="22"/>
              <w:szCs w:val="22"/>
              <w:lang w:val="en-GB" w:eastAsia="zh-CN" w:bidi="ar-SA"/>
            </w:rPr>
          </w:pPr>
          <w:hyperlink w:anchor="_Toc499653920" w:history="1">
            <w:r>
              <w:rPr>
                <w:rStyle w:val="Hyperlink"/>
                <w:noProof/>
              </w:rPr>
              <w:t>3.2.</w:t>
            </w:r>
            <w:r>
              <w:rPr>
                <w:rFonts w:asciiTheme="minorHAnsi" w:eastAsia="SimSun" w:hAnsiTheme="minorHAnsi" w:cstheme="minorBidi"/>
                <w:noProof/>
                <w:sz w:val="22"/>
                <w:szCs w:val="22"/>
                <w:lang w:val="en-GB" w:eastAsia="zh-CN" w:bidi="ar-SA"/>
              </w:rPr>
              <w:tab/>
            </w:r>
            <w:r>
              <w:rPr>
                <w:rStyle w:val="Hyperlink"/>
                <w:noProof/>
              </w:rPr>
              <w:t>Tuetaan älykästä ja ilmastonkestävää maatalousalaa</w:t>
            </w:r>
            <w:bookmarkStart w:id="1" w:name="_GoBack"/>
            <w:bookmarkEnd w:id="1"/>
            <w:r>
              <w:rPr>
                <w:noProof/>
                <w:webHidden/>
              </w:rPr>
              <w:tab/>
            </w:r>
            <w:r>
              <w:rPr>
                <w:noProof/>
                <w:webHidden/>
              </w:rPr>
              <w:fldChar w:fldCharType="begin"/>
            </w:r>
            <w:r>
              <w:rPr>
                <w:noProof/>
                <w:webHidden/>
              </w:rPr>
              <w:instrText xml:space="preserve"> PAGEREF _Toc499653920 \h </w:instrText>
            </w:r>
            <w:r>
              <w:rPr>
                <w:noProof/>
                <w:webHidden/>
              </w:rPr>
            </w:r>
            <w:r>
              <w:rPr>
                <w:noProof/>
                <w:webHidden/>
              </w:rPr>
              <w:fldChar w:fldCharType="separate"/>
            </w:r>
            <w:r>
              <w:rPr>
                <w:noProof/>
                <w:webHidden/>
              </w:rPr>
              <w:t>14</w:t>
            </w:r>
            <w:r>
              <w:rPr>
                <w:noProof/>
                <w:webHidden/>
              </w:rPr>
              <w:fldChar w:fldCharType="end"/>
            </w:r>
          </w:hyperlink>
        </w:p>
        <w:p w:rsidR="00972C98" w:rsidRDefault="00C70C1C">
          <w:pPr>
            <w:pStyle w:val="TOC3"/>
            <w:tabs>
              <w:tab w:val="left" w:pos="1916"/>
            </w:tabs>
            <w:rPr>
              <w:rFonts w:asciiTheme="minorHAnsi" w:eastAsia="SimSun" w:hAnsiTheme="minorHAnsi" w:cstheme="minorBidi"/>
              <w:noProof/>
              <w:sz w:val="22"/>
              <w:szCs w:val="22"/>
              <w:lang w:val="en-GB" w:eastAsia="zh-CN" w:bidi="ar-SA"/>
            </w:rPr>
          </w:pPr>
          <w:hyperlink w:anchor="_Toc499653921" w:history="1">
            <w:r>
              <w:rPr>
                <w:rStyle w:val="Hyperlink"/>
                <w:rFonts w:eastAsia="Calibri"/>
                <w:noProof/>
              </w:rPr>
              <w:t>3.2.1.</w:t>
            </w:r>
            <w:r>
              <w:rPr>
                <w:rFonts w:asciiTheme="minorHAnsi" w:eastAsia="SimSun" w:hAnsiTheme="minorHAnsi" w:cstheme="minorBidi"/>
                <w:noProof/>
                <w:sz w:val="22"/>
                <w:szCs w:val="22"/>
                <w:lang w:val="en-GB" w:eastAsia="zh-CN" w:bidi="ar-SA"/>
              </w:rPr>
              <w:tab/>
            </w:r>
            <w:r>
              <w:rPr>
                <w:rStyle w:val="Hyperlink"/>
                <w:noProof/>
              </w:rPr>
              <w:t>Oikeudenmukainen tulotuki viljeli</w:t>
            </w:r>
            <w:r>
              <w:rPr>
                <w:rStyle w:val="Hyperlink"/>
                <w:noProof/>
              </w:rPr>
              <w:t>jöiden toimeentulon turvaamiseksi</w:t>
            </w:r>
            <w:r>
              <w:rPr>
                <w:noProof/>
                <w:webHidden/>
              </w:rPr>
              <w:tab/>
            </w:r>
            <w:r>
              <w:rPr>
                <w:noProof/>
                <w:webHidden/>
              </w:rPr>
              <w:fldChar w:fldCharType="begin"/>
            </w:r>
            <w:r>
              <w:rPr>
                <w:noProof/>
                <w:webHidden/>
              </w:rPr>
              <w:instrText xml:space="preserve"> PAGEREF _Toc499653921 \h </w:instrText>
            </w:r>
            <w:r>
              <w:rPr>
                <w:noProof/>
                <w:webHidden/>
              </w:rPr>
            </w:r>
            <w:r>
              <w:rPr>
                <w:noProof/>
                <w:webHidden/>
              </w:rPr>
              <w:fldChar w:fldCharType="separate"/>
            </w:r>
            <w:r>
              <w:rPr>
                <w:noProof/>
                <w:webHidden/>
              </w:rPr>
              <w:t>14</w:t>
            </w:r>
            <w:r>
              <w:rPr>
                <w:noProof/>
                <w:webHidden/>
              </w:rPr>
              <w:fldChar w:fldCharType="end"/>
            </w:r>
          </w:hyperlink>
        </w:p>
        <w:p w:rsidR="00972C98" w:rsidRDefault="00C70C1C">
          <w:pPr>
            <w:pStyle w:val="TOC3"/>
            <w:tabs>
              <w:tab w:val="left" w:pos="1916"/>
            </w:tabs>
            <w:rPr>
              <w:rFonts w:asciiTheme="minorHAnsi" w:eastAsia="SimSun" w:hAnsiTheme="minorHAnsi" w:cstheme="minorBidi"/>
              <w:noProof/>
              <w:sz w:val="22"/>
              <w:szCs w:val="22"/>
              <w:lang w:val="en-GB" w:eastAsia="zh-CN" w:bidi="ar-SA"/>
            </w:rPr>
          </w:pPr>
          <w:hyperlink w:anchor="_Toc499653922" w:history="1">
            <w:r>
              <w:rPr>
                <w:rStyle w:val="Hyperlink"/>
                <w:rFonts w:eastAsia="Calibri"/>
                <w:noProof/>
              </w:rPr>
              <w:t>3.2.2.</w:t>
            </w:r>
            <w:r>
              <w:rPr>
                <w:rFonts w:asciiTheme="minorHAnsi" w:eastAsia="SimSun" w:hAnsiTheme="minorHAnsi" w:cstheme="minorBidi"/>
                <w:noProof/>
                <w:sz w:val="22"/>
                <w:szCs w:val="22"/>
                <w:lang w:val="en-GB" w:eastAsia="zh-CN" w:bidi="ar-SA"/>
              </w:rPr>
              <w:tab/>
            </w:r>
            <w:r>
              <w:rPr>
                <w:rStyle w:val="Hyperlink"/>
                <w:noProof/>
              </w:rPr>
              <w:t>Tehostetaan viljelijöiden palkitsemista markkinoilla</w:t>
            </w:r>
            <w:r>
              <w:rPr>
                <w:noProof/>
                <w:webHidden/>
              </w:rPr>
              <w:tab/>
            </w:r>
            <w:r>
              <w:rPr>
                <w:noProof/>
                <w:webHidden/>
              </w:rPr>
              <w:fldChar w:fldCharType="begin"/>
            </w:r>
            <w:r>
              <w:rPr>
                <w:noProof/>
                <w:webHidden/>
              </w:rPr>
              <w:instrText xml:space="preserve"> PAGEREF _Toc499653922 \h </w:instrText>
            </w:r>
            <w:r>
              <w:rPr>
                <w:noProof/>
                <w:webHidden/>
              </w:rPr>
            </w:r>
            <w:r>
              <w:rPr>
                <w:noProof/>
                <w:webHidden/>
              </w:rPr>
              <w:fldChar w:fldCharType="separate"/>
            </w:r>
            <w:r>
              <w:rPr>
                <w:noProof/>
                <w:webHidden/>
              </w:rPr>
              <w:t>16</w:t>
            </w:r>
            <w:r>
              <w:rPr>
                <w:noProof/>
                <w:webHidden/>
              </w:rPr>
              <w:fldChar w:fldCharType="end"/>
            </w:r>
          </w:hyperlink>
        </w:p>
        <w:p w:rsidR="00972C98" w:rsidRDefault="00C70C1C">
          <w:pPr>
            <w:pStyle w:val="TOC3"/>
            <w:tabs>
              <w:tab w:val="left" w:pos="1916"/>
            </w:tabs>
            <w:rPr>
              <w:rFonts w:asciiTheme="minorHAnsi" w:eastAsia="SimSun" w:hAnsiTheme="minorHAnsi" w:cstheme="minorBidi"/>
              <w:noProof/>
              <w:sz w:val="22"/>
              <w:szCs w:val="22"/>
              <w:lang w:val="en-GB" w:eastAsia="zh-CN" w:bidi="ar-SA"/>
            </w:rPr>
          </w:pPr>
          <w:hyperlink w:anchor="_Toc499653923" w:history="1">
            <w:r>
              <w:rPr>
                <w:rStyle w:val="Hyperlink"/>
                <w:rFonts w:eastAsia="Calibri"/>
                <w:noProof/>
              </w:rPr>
              <w:t>3.2.3.</w:t>
            </w:r>
            <w:r>
              <w:rPr>
                <w:rFonts w:asciiTheme="minorHAnsi" w:eastAsia="SimSun" w:hAnsiTheme="minorHAnsi" w:cstheme="minorBidi"/>
                <w:noProof/>
                <w:sz w:val="22"/>
                <w:szCs w:val="22"/>
                <w:lang w:val="en-GB" w:eastAsia="zh-CN" w:bidi="ar-SA"/>
              </w:rPr>
              <w:tab/>
            </w:r>
            <w:r>
              <w:rPr>
                <w:rStyle w:val="Hyperlink"/>
                <w:noProof/>
              </w:rPr>
              <w:t>Riskien hallinta</w:t>
            </w:r>
            <w:r>
              <w:rPr>
                <w:noProof/>
                <w:webHidden/>
              </w:rPr>
              <w:tab/>
            </w:r>
            <w:r>
              <w:rPr>
                <w:noProof/>
                <w:webHidden/>
              </w:rPr>
              <w:fldChar w:fldCharType="begin"/>
            </w:r>
            <w:r>
              <w:rPr>
                <w:noProof/>
                <w:webHidden/>
              </w:rPr>
              <w:instrText xml:space="preserve"> PAGEREF _Toc499653923 \h </w:instrText>
            </w:r>
            <w:r>
              <w:rPr>
                <w:noProof/>
                <w:webHidden/>
              </w:rPr>
            </w:r>
            <w:r>
              <w:rPr>
                <w:noProof/>
                <w:webHidden/>
              </w:rPr>
              <w:fldChar w:fldCharType="separate"/>
            </w:r>
            <w:r>
              <w:rPr>
                <w:noProof/>
                <w:webHidden/>
              </w:rPr>
              <w:t>17</w:t>
            </w:r>
            <w:r>
              <w:rPr>
                <w:noProof/>
                <w:webHidden/>
              </w:rPr>
              <w:fldChar w:fldCharType="end"/>
            </w:r>
          </w:hyperlink>
        </w:p>
        <w:p w:rsidR="00972C98" w:rsidRDefault="00C70C1C">
          <w:pPr>
            <w:pStyle w:val="TOC2"/>
            <w:tabs>
              <w:tab w:val="left" w:pos="1077"/>
            </w:tabs>
            <w:rPr>
              <w:rFonts w:asciiTheme="minorHAnsi" w:eastAsia="SimSun" w:hAnsiTheme="minorHAnsi" w:cstheme="minorBidi"/>
              <w:noProof/>
              <w:sz w:val="22"/>
              <w:szCs w:val="22"/>
              <w:lang w:val="en-GB" w:eastAsia="zh-CN" w:bidi="ar-SA"/>
            </w:rPr>
          </w:pPr>
          <w:hyperlink w:anchor="_Toc499653924" w:history="1">
            <w:r>
              <w:rPr>
                <w:rStyle w:val="Hyperlink"/>
                <w:noProof/>
              </w:rPr>
              <w:t>3.3.</w:t>
            </w:r>
            <w:r>
              <w:rPr>
                <w:rFonts w:asciiTheme="minorHAnsi" w:eastAsia="SimSun" w:hAnsiTheme="minorHAnsi" w:cstheme="minorBidi"/>
                <w:noProof/>
                <w:sz w:val="22"/>
                <w:szCs w:val="22"/>
                <w:lang w:val="en-GB" w:eastAsia="zh-CN" w:bidi="ar-SA"/>
              </w:rPr>
              <w:tab/>
            </w:r>
            <w:r>
              <w:rPr>
                <w:rStyle w:val="Hyperlink"/>
                <w:noProof/>
              </w:rPr>
              <w:t>Vahvistetaan ympäristönhoitoa ja ilmastotoimia ja edistetään EU:n ympäristö- ja ilmastotavoitteiden saavuttamista</w:t>
            </w:r>
            <w:r>
              <w:rPr>
                <w:noProof/>
                <w:webHidden/>
              </w:rPr>
              <w:tab/>
            </w:r>
            <w:r>
              <w:rPr>
                <w:noProof/>
                <w:webHidden/>
              </w:rPr>
              <w:fldChar w:fldCharType="begin"/>
            </w:r>
            <w:r>
              <w:rPr>
                <w:noProof/>
                <w:webHidden/>
              </w:rPr>
              <w:instrText xml:space="preserve"> PAGEREF _Toc499653924 \h </w:instrText>
            </w:r>
            <w:r>
              <w:rPr>
                <w:noProof/>
                <w:webHidden/>
              </w:rPr>
            </w:r>
            <w:r>
              <w:rPr>
                <w:noProof/>
                <w:webHidden/>
              </w:rPr>
              <w:fldChar w:fldCharType="separate"/>
            </w:r>
            <w:r>
              <w:rPr>
                <w:noProof/>
                <w:webHidden/>
              </w:rPr>
              <w:t>18</w:t>
            </w:r>
            <w:r>
              <w:rPr>
                <w:noProof/>
                <w:webHidden/>
              </w:rPr>
              <w:fldChar w:fldCharType="end"/>
            </w:r>
          </w:hyperlink>
        </w:p>
        <w:p w:rsidR="00972C98" w:rsidRDefault="00C70C1C">
          <w:pPr>
            <w:pStyle w:val="TOC2"/>
            <w:tabs>
              <w:tab w:val="left" w:pos="1077"/>
            </w:tabs>
            <w:rPr>
              <w:rFonts w:asciiTheme="minorHAnsi" w:eastAsia="SimSun" w:hAnsiTheme="minorHAnsi" w:cstheme="minorBidi"/>
              <w:noProof/>
              <w:sz w:val="22"/>
              <w:szCs w:val="22"/>
              <w:lang w:val="en-GB" w:eastAsia="zh-CN" w:bidi="ar-SA"/>
            </w:rPr>
          </w:pPr>
          <w:hyperlink w:anchor="_Toc499653925" w:history="1">
            <w:r>
              <w:rPr>
                <w:rStyle w:val="Hyperlink"/>
                <w:noProof/>
              </w:rPr>
              <w:t>3.4.</w:t>
            </w:r>
            <w:r>
              <w:rPr>
                <w:rFonts w:asciiTheme="minorHAnsi" w:eastAsia="SimSun" w:hAnsiTheme="minorHAnsi" w:cstheme="minorBidi"/>
                <w:noProof/>
                <w:sz w:val="22"/>
                <w:szCs w:val="22"/>
                <w:lang w:val="en-GB" w:eastAsia="zh-CN" w:bidi="ar-SA"/>
              </w:rPr>
              <w:tab/>
            </w:r>
            <w:r>
              <w:rPr>
                <w:rStyle w:val="Hyperlink"/>
                <w:noProof/>
              </w:rPr>
              <w:t>Lujitet</w:t>
            </w:r>
            <w:r>
              <w:rPr>
                <w:rStyle w:val="Hyperlink"/>
                <w:noProof/>
              </w:rPr>
              <w:t>aan maaseutualueiden sosioekonomista rakennetta</w:t>
            </w:r>
            <w:r>
              <w:rPr>
                <w:noProof/>
                <w:webHidden/>
              </w:rPr>
              <w:tab/>
            </w:r>
            <w:r>
              <w:rPr>
                <w:noProof/>
                <w:webHidden/>
              </w:rPr>
              <w:fldChar w:fldCharType="begin"/>
            </w:r>
            <w:r>
              <w:rPr>
                <w:noProof/>
                <w:webHidden/>
              </w:rPr>
              <w:instrText xml:space="preserve"> PAGEREF _Toc499653925 \h </w:instrText>
            </w:r>
            <w:r>
              <w:rPr>
                <w:noProof/>
                <w:webHidden/>
              </w:rPr>
            </w:r>
            <w:r>
              <w:rPr>
                <w:noProof/>
                <w:webHidden/>
              </w:rPr>
              <w:fldChar w:fldCharType="separate"/>
            </w:r>
            <w:r>
              <w:rPr>
                <w:noProof/>
                <w:webHidden/>
              </w:rPr>
              <w:t>20</w:t>
            </w:r>
            <w:r>
              <w:rPr>
                <w:noProof/>
                <w:webHidden/>
              </w:rPr>
              <w:fldChar w:fldCharType="end"/>
            </w:r>
          </w:hyperlink>
        </w:p>
        <w:p w:rsidR="00972C98" w:rsidRDefault="00C70C1C">
          <w:pPr>
            <w:pStyle w:val="TOC3"/>
            <w:tabs>
              <w:tab w:val="left" w:pos="1916"/>
            </w:tabs>
            <w:rPr>
              <w:rFonts w:asciiTheme="minorHAnsi" w:eastAsia="SimSun" w:hAnsiTheme="minorHAnsi" w:cstheme="minorBidi"/>
              <w:noProof/>
              <w:sz w:val="22"/>
              <w:szCs w:val="22"/>
              <w:lang w:val="en-GB" w:eastAsia="zh-CN" w:bidi="ar-SA"/>
            </w:rPr>
          </w:pPr>
          <w:hyperlink w:anchor="_Toc499653926" w:history="1">
            <w:r>
              <w:rPr>
                <w:rStyle w:val="Hyperlink"/>
                <w:noProof/>
              </w:rPr>
              <w:t>3.4.1.</w:t>
            </w:r>
            <w:r>
              <w:rPr>
                <w:rFonts w:asciiTheme="minorHAnsi" w:eastAsia="SimSun" w:hAnsiTheme="minorHAnsi" w:cstheme="minorBidi"/>
                <w:noProof/>
                <w:sz w:val="22"/>
                <w:szCs w:val="22"/>
                <w:lang w:val="en-GB" w:eastAsia="zh-CN" w:bidi="ar-SA"/>
              </w:rPr>
              <w:tab/>
            </w:r>
            <w:r>
              <w:rPr>
                <w:rStyle w:val="Hyperlink"/>
                <w:noProof/>
              </w:rPr>
              <w:t>Kasvu ja työllisyys maaseutualueilla</w:t>
            </w:r>
            <w:r>
              <w:rPr>
                <w:noProof/>
                <w:webHidden/>
              </w:rPr>
              <w:tab/>
            </w:r>
            <w:r>
              <w:rPr>
                <w:noProof/>
                <w:webHidden/>
              </w:rPr>
              <w:fldChar w:fldCharType="begin"/>
            </w:r>
            <w:r>
              <w:rPr>
                <w:noProof/>
                <w:webHidden/>
              </w:rPr>
              <w:instrText xml:space="preserve"> PAGEREF _Toc499653926 \h </w:instrText>
            </w:r>
            <w:r>
              <w:rPr>
                <w:noProof/>
                <w:webHidden/>
              </w:rPr>
            </w:r>
            <w:r>
              <w:rPr>
                <w:noProof/>
                <w:webHidden/>
              </w:rPr>
              <w:fldChar w:fldCharType="separate"/>
            </w:r>
            <w:r>
              <w:rPr>
                <w:noProof/>
                <w:webHidden/>
              </w:rPr>
              <w:t>20</w:t>
            </w:r>
            <w:r>
              <w:rPr>
                <w:noProof/>
                <w:webHidden/>
              </w:rPr>
              <w:fldChar w:fldCharType="end"/>
            </w:r>
          </w:hyperlink>
        </w:p>
        <w:p w:rsidR="00972C98" w:rsidRDefault="00C70C1C">
          <w:pPr>
            <w:pStyle w:val="TOC3"/>
            <w:tabs>
              <w:tab w:val="left" w:pos="1916"/>
            </w:tabs>
            <w:rPr>
              <w:rFonts w:asciiTheme="minorHAnsi" w:eastAsia="SimSun" w:hAnsiTheme="minorHAnsi" w:cstheme="minorBidi"/>
              <w:noProof/>
              <w:sz w:val="22"/>
              <w:szCs w:val="22"/>
              <w:lang w:val="en-GB" w:eastAsia="zh-CN" w:bidi="ar-SA"/>
            </w:rPr>
          </w:pPr>
          <w:hyperlink w:anchor="_Toc499653927" w:history="1">
            <w:r>
              <w:rPr>
                <w:rStyle w:val="Hyperlink"/>
                <w:noProof/>
              </w:rPr>
              <w:t>3.4.2.</w:t>
            </w:r>
            <w:r>
              <w:rPr>
                <w:rFonts w:asciiTheme="minorHAnsi" w:eastAsia="SimSun" w:hAnsiTheme="minorHAnsi" w:cstheme="minorBidi"/>
                <w:noProof/>
                <w:sz w:val="22"/>
                <w:szCs w:val="22"/>
                <w:lang w:val="en-GB" w:eastAsia="zh-CN" w:bidi="ar-SA"/>
              </w:rPr>
              <w:tab/>
            </w:r>
            <w:r>
              <w:rPr>
                <w:rStyle w:val="Hyperlink"/>
                <w:noProof/>
              </w:rPr>
              <w:t>Uusien viljelijöiden kiinnostuksen herättäminen</w:t>
            </w:r>
            <w:r>
              <w:rPr>
                <w:noProof/>
                <w:webHidden/>
              </w:rPr>
              <w:tab/>
            </w:r>
            <w:r>
              <w:rPr>
                <w:noProof/>
                <w:webHidden/>
              </w:rPr>
              <w:fldChar w:fldCharType="begin"/>
            </w:r>
            <w:r>
              <w:rPr>
                <w:noProof/>
                <w:webHidden/>
              </w:rPr>
              <w:instrText xml:space="preserve"> PAGEREF _Toc499653927 \h </w:instrText>
            </w:r>
            <w:r>
              <w:rPr>
                <w:noProof/>
                <w:webHidden/>
              </w:rPr>
            </w:r>
            <w:r>
              <w:rPr>
                <w:noProof/>
                <w:webHidden/>
              </w:rPr>
              <w:fldChar w:fldCharType="separate"/>
            </w:r>
            <w:r>
              <w:rPr>
                <w:noProof/>
                <w:webHidden/>
              </w:rPr>
              <w:t>22</w:t>
            </w:r>
            <w:r>
              <w:rPr>
                <w:noProof/>
                <w:webHidden/>
              </w:rPr>
              <w:fldChar w:fldCharType="end"/>
            </w:r>
          </w:hyperlink>
        </w:p>
        <w:p w:rsidR="00972C98" w:rsidRDefault="00C70C1C">
          <w:pPr>
            <w:pStyle w:val="TOC2"/>
            <w:tabs>
              <w:tab w:val="left" w:pos="1077"/>
            </w:tabs>
            <w:rPr>
              <w:rFonts w:asciiTheme="minorHAnsi" w:eastAsia="SimSun" w:hAnsiTheme="minorHAnsi" w:cstheme="minorBidi"/>
              <w:noProof/>
              <w:sz w:val="22"/>
              <w:szCs w:val="22"/>
              <w:lang w:val="en-GB" w:eastAsia="zh-CN" w:bidi="ar-SA"/>
            </w:rPr>
          </w:pPr>
          <w:hyperlink w:anchor="_Toc499653928" w:history="1">
            <w:r>
              <w:rPr>
                <w:rStyle w:val="Hyperlink"/>
                <w:noProof/>
              </w:rPr>
              <w:t>3.5.</w:t>
            </w:r>
            <w:r>
              <w:rPr>
                <w:rFonts w:asciiTheme="minorHAnsi" w:eastAsia="SimSun" w:hAnsiTheme="minorHAnsi" w:cstheme="minorBidi"/>
                <w:noProof/>
                <w:sz w:val="22"/>
                <w:szCs w:val="22"/>
                <w:lang w:val="en-GB" w:eastAsia="zh-CN" w:bidi="ar-SA"/>
              </w:rPr>
              <w:tab/>
            </w:r>
            <w:r>
              <w:rPr>
                <w:rStyle w:val="Hyperlink"/>
                <w:noProof/>
              </w:rPr>
              <w:t>Vastataan kestävässä maataloustuotannossa kansalaisia askarruttaviin kysymyksiin – terveys, ravitsemus, elintarvikejäte, eläinten hyvinvointi</w:t>
            </w:r>
            <w:r>
              <w:rPr>
                <w:noProof/>
                <w:webHidden/>
              </w:rPr>
              <w:tab/>
            </w:r>
            <w:r>
              <w:rPr>
                <w:noProof/>
                <w:webHidden/>
              </w:rPr>
              <w:fldChar w:fldCharType="begin"/>
            </w:r>
            <w:r>
              <w:rPr>
                <w:noProof/>
                <w:webHidden/>
              </w:rPr>
              <w:instrText xml:space="preserve"> PAGEREF _Toc499653928 \h </w:instrText>
            </w:r>
            <w:r>
              <w:rPr>
                <w:noProof/>
                <w:webHidden/>
              </w:rPr>
            </w:r>
            <w:r>
              <w:rPr>
                <w:noProof/>
                <w:webHidden/>
              </w:rPr>
              <w:fldChar w:fldCharType="separate"/>
            </w:r>
            <w:r>
              <w:rPr>
                <w:noProof/>
                <w:webHidden/>
              </w:rPr>
              <w:t>24</w:t>
            </w:r>
            <w:r>
              <w:rPr>
                <w:noProof/>
                <w:webHidden/>
              </w:rPr>
              <w:fldChar w:fldCharType="end"/>
            </w:r>
          </w:hyperlink>
        </w:p>
        <w:p w:rsidR="00972C98" w:rsidRDefault="00C70C1C">
          <w:pPr>
            <w:pStyle w:val="TOC1"/>
            <w:rPr>
              <w:rFonts w:asciiTheme="minorHAnsi" w:eastAsia="SimSun" w:hAnsiTheme="minorHAnsi" w:cstheme="minorBidi"/>
              <w:caps w:val="0"/>
              <w:noProof/>
              <w:sz w:val="22"/>
              <w:szCs w:val="22"/>
              <w:lang w:val="en-GB" w:eastAsia="zh-CN" w:bidi="ar-SA"/>
            </w:rPr>
          </w:pPr>
          <w:hyperlink w:anchor="_Toc499653929" w:history="1">
            <w:r>
              <w:rPr>
                <w:rStyle w:val="Hyperlink"/>
                <w:noProof/>
              </w:rPr>
              <w:t>4.</w:t>
            </w:r>
            <w:r>
              <w:rPr>
                <w:rFonts w:asciiTheme="minorHAnsi" w:eastAsia="SimSun" w:hAnsiTheme="minorHAnsi" w:cstheme="minorBidi"/>
                <w:caps w:val="0"/>
                <w:noProof/>
                <w:sz w:val="22"/>
                <w:szCs w:val="22"/>
                <w:lang w:val="en-GB" w:eastAsia="zh-CN" w:bidi="ar-SA"/>
              </w:rPr>
              <w:tab/>
            </w:r>
            <w:r>
              <w:rPr>
                <w:rStyle w:val="Hyperlink"/>
                <w:noProof/>
              </w:rPr>
              <w:t>Yhteisen maatalouspolitiikan maailmanlaajuinen ulottuvuus</w:t>
            </w:r>
            <w:r>
              <w:rPr>
                <w:noProof/>
                <w:webHidden/>
              </w:rPr>
              <w:tab/>
            </w:r>
            <w:r>
              <w:rPr>
                <w:noProof/>
                <w:webHidden/>
              </w:rPr>
              <w:fldChar w:fldCharType="begin"/>
            </w:r>
            <w:r>
              <w:rPr>
                <w:noProof/>
                <w:webHidden/>
              </w:rPr>
              <w:instrText xml:space="preserve"> PAGEREF _Toc499653929 \h </w:instrText>
            </w:r>
            <w:r>
              <w:rPr>
                <w:noProof/>
                <w:webHidden/>
              </w:rPr>
            </w:r>
            <w:r>
              <w:rPr>
                <w:noProof/>
                <w:webHidden/>
              </w:rPr>
              <w:fldChar w:fldCharType="separate"/>
            </w:r>
            <w:r>
              <w:rPr>
                <w:noProof/>
                <w:webHidden/>
              </w:rPr>
              <w:t>26</w:t>
            </w:r>
            <w:r>
              <w:rPr>
                <w:noProof/>
                <w:webHidden/>
              </w:rPr>
              <w:fldChar w:fldCharType="end"/>
            </w:r>
          </w:hyperlink>
        </w:p>
        <w:p w:rsidR="00972C98" w:rsidRDefault="00C70C1C">
          <w:pPr>
            <w:pStyle w:val="TOC2"/>
            <w:tabs>
              <w:tab w:val="left" w:pos="1077"/>
            </w:tabs>
            <w:rPr>
              <w:rFonts w:asciiTheme="minorHAnsi" w:eastAsia="SimSun" w:hAnsiTheme="minorHAnsi" w:cstheme="minorBidi"/>
              <w:noProof/>
              <w:sz w:val="22"/>
              <w:szCs w:val="22"/>
              <w:lang w:val="en-GB" w:eastAsia="zh-CN" w:bidi="ar-SA"/>
            </w:rPr>
          </w:pPr>
          <w:hyperlink w:anchor="_Toc499653930" w:history="1">
            <w:r>
              <w:rPr>
                <w:rStyle w:val="Hyperlink"/>
                <w:noProof/>
              </w:rPr>
              <w:t>4.1.</w:t>
            </w:r>
            <w:r>
              <w:rPr>
                <w:rFonts w:asciiTheme="minorHAnsi" w:eastAsia="SimSun" w:hAnsiTheme="minorHAnsi" w:cstheme="minorBidi"/>
                <w:noProof/>
                <w:sz w:val="22"/>
                <w:szCs w:val="22"/>
                <w:lang w:val="en-GB" w:eastAsia="zh-CN" w:bidi="ar-SA"/>
              </w:rPr>
              <w:tab/>
            </w:r>
            <w:r>
              <w:rPr>
                <w:rStyle w:val="Hyperlink"/>
                <w:noProof/>
              </w:rPr>
              <w:t>Kauppa</w:t>
            </w:r>
            <w:r>
              <w:rPr>
                <w:noProof/>
                <w:webHidden/>
              </w:rPr>
              <w:tab/>
            </w:r>
            <w:r>
              <w:rPr>
                <w:noProof/>
                <w:webHidden/>
              </w:rPr>
              <w:fldChar w:fldCharType="begin"/>
            </w:r>
            <w:r>
              <w:rPr>
                <w:noProof/>
                <w:webHidden/>
              </w:rPr>
              <w:instrText xml:space="preserve"> PAGEREF _Toc499653930 \h </w:instrText>
            </w:r>
            <w:r>
              <w:rPr>
                <w:noProof/>
                <w:webHidden/>
              </w:rPr>
            </w:r>
            <w:r>
              <w:rPr>
                <w:noProof/>
                <w:webHidden/>
              </w:rPr>
              <w:fldChar w:fldCharType="separate"/>
            </w:r>
            <w:r>
              <w:rPr>
                <w:noProof/>
                <w:webHidden/>
              </w:rPr>
              <w:t>27</w:t>
            </w:r>
            <w:r>
              <w:rPr>
                <w:noProof/>
                <w:webHidden/>
              </w:rPr>
              <w:fldChar w:fldCharType="end"/>
            </w:r>
          </w:hyperlink>
        </w:p>
        <w:p w:rsidR="00972C98" w:rsidRDefault="00C70C1C">
          <w:pPr>
            <w:pStyle w:val="TOC2"/>
            <w:tabs>
              <w:tab w:val="left" w:pos="1077"/>
            </w:tabs>
            <w:rPr>
              <w:rFonts w:asciiTheme="minorHAnsi" w:eastAsia="SimSun" w:hAnsiTheme="minorHAnsi" w:cstheme="minorBidi"/>
              <w:noProof/>
              <w:sz w:val="22"/>
              <w:szCs w:val="22"/>
              <w:lang w:val="en-GB" w:eastAsia="zh-CN" w:bidi="ar-SA"/>
            </w:rPr>
          </w:pPr>
          <w:hyperlink w:anchor="_Toc499653931" w:history="1">
            <w:r>
              <w:rPr>
                <w:rStyle w:val="Hyperlink"/>
                <w:noProof/>
              </w:rPr>
              <w:t>4.2.</w:t>
            </w:r>
            <w:r>
              <w:rPr>
                <w:rFonts w:asciiTheme="minorHAnsi" w:eastAsia="SimSun" w:hAnsiTheme="minorHAnsi" w:cstheme="minorBidi"/>
                <w:noProof/>
                <w:sz w:val="22"/>
                <w:szCs w:val="22"/>
                <w:lang w:val="en-GB" w:eastAsia="zh-CN" w:bidi="ar-SA"/>
              </w:rPr>
              <w:tab/>
            </w:r>
            <w:r>
              <w:rPr>
                <w:rStyle w:val="Hyperlink"/>
                <w:noProof/>
              </w:rPr>
              <w:t>Muuttoliike</w:t>
            </w:r>
            <w:r>
              <w:rPr>
                <w:noProof/>
                <w:webHidden/>
              </w:rPr>
              <w:tab/>
            </w:r>
            <w:r>
              <w:rPr>
                <w:noProof/>
                <w:webHidden/>
              </w:rPr>
              <w:fldChar w:fldCharType="begin"/>
            </w:r>
            <w:r>
              <w:rPr>
                <w:noProof/>
                <w:webHidden/>
              </w:rPr>
              <w:instrText xml:space="preserve"> PAGEREF _Toc499653931 \h </w:instrText>
            </w:r>
            <w:r>
              <w:rPr>
                <w:noProof/>
                <w:webHidden/>
              </w:rPr>
            </w:r>
            <w:r>
              <w:rPr>
                <w:noProof/>
                <w:webHidden/>
              </w:rPr>
              <w:fldChar w:fldCharType="separate"/>
            </w:r>
            <w:r>
              <w:rPr>
                <w:noProof/>
                <w:webHidden/>
              </w:rPr>
              <w:t>27</w:t>
            </w:r>
            <w:r>
              <w:rPr>
                <w:noProof/>
                <w:webHidden/>
              </w:rPr>
              <w:fldChar w:fldCharType="end"/>
            </w:r>
          </w:hyperlink>
        </w:p>
        <w:p w:rsidR="00972C98" w:rsidRDefault="00C70C1C">
          <w:pPr>
            <w:pStyle w:val="TOC1"/>
            <w:rPr>
              <w:rFonts w:asciiTheme="minorHAnsi" w:eastAsiaTheme="minorEastAsia" w:hAnsiTheme="minorHAnsi" w:cstheme="minorBidi"/>
              <w:caps w:val="0"/>
              <w:noProof/>
              <w:sz w:val="22"/>
              <w:szCs w:val="22"/>
            </w:rPr>
          </w:pPr>
          <w:r>
            <w:rPr>
              <w:b/>
              <w:bCs/>
              <w:caps w:val="0"/>
              <w:noProof/>
            </w:rPr>
            <w:fldChar w:fldCharType="end"/>
          </w:r>
        </w:p>
      </w:sdtContent>
    </w:sdt>
    <w:p w:rsidR="00972C98" w:rsidRDefault="00972C98">
      <w:pPr>
        <w:keepLines/>
        <w:spacing w:after="0"/>
        <w:jc w:val="left"/>
        <w:rPr>
          <w:b/>
          <w:noProof/>
          <w:szCs w:val="24"/>
        </w:rPr>
      </w:pPr>
    </w:p>
    <w:p w:rsidR="00972C98" w:rsidRDefault="00C70C1C">
      <w:pPr>
        <w:keepLines/>
        <w:tabs>
          <w:tab w:val="left" w:pos="7222"/>
        </w:tabs>
        <w:jc w:val="left"/>
        <w:rPr>
          <w:b/>
          <w:noProof/>
          <w:szCs w:val="24"/>
        </w:rPr>
      </w:pPr>
      <w:r>
        <w:rPr>
          <w:noProof/>
        </w:rPr>
        <w:tab/>
      </w:r>
    </w:p>
    <w:p w:rsidR="00972C98" w:rsidRDefault="00C70C1C">
      <w:pPr>
        <w:keepLines/>
        <w:spacing w:after="0"/>
        <w:jc w:val="left"/>
        <w:rPr>
          <w:b/>
          <w:smallCaps/>
          <w:noProof/>
        </w:rPr>
      </w:pPr>
      <w:r>
        <w:rPr>
          <w:noProof/>
        </w:rPr>
        <w:br w:type="page"/>
      </w:r>
    </w:p>
    <w:p w:rsidR="00972C98" w:rsidRDefault="00C70C1C">
      <w:pPr>
        <w:pStyle w:val="Heading1"/>
        <w:keepLines/>
        <w:rPr>
          <w:noProof/>
        </w:rPr>
      </w:pPr>
      <w:bookmarkStart w:id="2" w:name="_Toc499285558"/>
      <w:bookmarkStart w:id="3" w:name="_Toc499653916"/>
      <w:r>
        <w:rPr>
          <w:noProof/>
        </w:rPr>
        <w:lastRenderedPageBreak/>
        <w:t>Uusi toimintaympäristö</w:t>
      </w:r>
      <w:bookmarkEnd w:id="2"/>
      <w:bookmarkEnd w:id="3"/>
      <w:r>
        <w:rPr>
          <w:noProof/>
        </w:rPr>
        <w:t xml:space="preserve"> </w:t>
      </w:r>
    </w:p>
    <w:p w:rsidR="00972C98" w:rsidRDefault="00C70C1C">
      <w:pPr>
        <w:keepLines/>
        <w:rPr>
          <w:noProof/>
        </w:rPr>
      </w:pPr>
      <w:r>
        <w:rPr>
          <w:noProof/>
        </w:rPr>
        <w:t>EU:n maatalousala ja maaseutualueet ovat tärkeitä tekijöitä unionin hyvinvoinnin ja tulevaisuuden kannalta. EU:n maatalous o</w:t>
      </w:r>
      <w:r>
        <w:rPr>
          <w:noProof/>
        </w:rPr>
        <w:t xml:space="preserve">n yksi </w:t>
      </w:r>
      <w:r>
        <w:rPr>
          <w:b/>
          <w:noProof/>
        </w:rPr>
        <w:t>maailman johtavista elintarvikkeiden tuottajista</w:t>
      </w:r>
      <w:r>
        <w:rPr>
          <w:noProof/>
        </w:rPr>
        <w:t xml:space="preserve">, ja se takaa ruokaturvan yli 500 miljoonalle Euroopan kansalaiselle. EU:n viljelijät ovat myös tärkeitä </w:t>
      </w:r>
      <w:r>
        <w:rPr>
          <w:b/>
          <w:noProof/>
        </w:rPr>
        <w:t>luonnonympäristön</w:t>
      </w:r>
      <w:r>
        <w:rPr>
          <w:noProof/>
        </w:rPr>
        <w:t xml:space="preserve"> säilyttäjiä, sillä he pitävät huolen luonnonvaroista, kuten maaperästä, vesist</w:t>
      </w:r>
      <w:r>
        <w:rPr>
          <w:noProof/>
        </w:rPr>
        <w:t xml:space="preserve">öistä, ilmasta ja luonnon monimuotoisuudesta, </w:t>
      </w:r>
      <w:r>
        <w:rPr>
          <w:b/>
          <w:noProof/>
        </w:rPr>
        <w:t>48 prosentissa EU:n maa-alasta</w:t>
      </w:r>
      <w:r>
        <w:rPr>
          <w:noProof/>
        </w:rPr>
        <w:t xml:space="preserve"> (ja vielä lisäksi 36 prosentissa maa-alasta, jos metsänhoito otetaan huomioon) ja saattavat tärkeitä </w:t>
      </w:r>
      <w:r>
        <w:rPr>
          <w:b/>
          <w:noProof/>
        </w:rPr>
        <w:t>hiilinieluja ja uusiutuvia luonnonvaroja teollisuuden ja energiasektorin</w:t>
      </w:r>
      <w:r>
        <w:rPr>
          <w:noProof/>
        </w:rPr>
        <w:t xml:space="preserve"> käytt</w:t>
      </w:r>
      <w:r>
        <w:rPr>
          <w:noProof/>
        </w:rPr>
        <w:t>öön. Viljelijät ovat myös suoraan riippuvaisia kyseisistä luonnonvaroista. Maatalouteen kytkeytyy suuri määrä työpaikkoja, joko suoraan maatalousalalla (tarjoaa säännöllisen työn 22 miljoonalle henkilölle) tai laajemmin elintarvikealalla (maatalous, elinta</w:t>
      </w:r>
      <w:r>
        <w:rPr>
          <w:noProof/>
        </w:rPr>
        <w:t xml:space="preserve">rvikkeiden jalostus ja alan vähittäiskauppa ja palvelut tarjoavat yhdessä noin 44 miljoonaa työpaikkaa). </w:t>
      </w:r>
      <w:r>
        <w:rPr>
          <w:b/>
          <w:noProof/>
        </w:rPr>
        <w:t>EU:n maaseutualueilla</w:t>
      </w:r>
      <w:r>
        <w:rPr>
          <w:noProof/>
        </w:rPr>
        <w:t xml:space="preserve"> elää </w:t>
      </w:r>
      <w:r>
        <w:rPr>
          <w:b/>
          <w:noProof/>
        </w:rPr>
        <w:t>55 prosenttia EU:n kansalaisista</w:t>
      </w:r>
      <w:r>
        <w:rPr>
          <w:rStyle w:val="FootnoteReference"/>
          <w:b/>
          <w:noProof/>
        </w:rPr>
        <w:footnoteReference w:id="2"/>
      </w:r>
      <w:r>
        <w:rPr>
          <w:noProof/>
        </w:rPr>
        <w:t xml:space="preserve">, ja lisäksi ne ovat </w:t>
      </w:r>
      <w:r>
        <w:rPr>
          <w:b/>
          <w:noProof/>
        </w:rPr>
        <w:t>tärkeitä alueita työn, virkistystoiminnan ja matkailun kannalta</w:t>
      </w:r>
      <w:r>
        <w:rPr>
          <w:noProof/>
        </w:rPr>
        <w:t>.</w:t>
      </w:r>
    </w:p>
    <w:p w:rsidR="00972C98" w:rsidRDefault="00C70C1C">
      <w:pPr>
        <w:pStyle w:val="Caption"/>
        <w:keepLines/>
        <w:rPr>
          <w:noProof/>
        </w:rPr>
      </w:pPr>
      <w:r>
        <w:rPr>
          <w:noProof/>
          <w:lang w:val="en-GB" w:eastAsia="en-GB" w:bidi="ar-SA"/>
        </w:rPr>
        <w:drawing>
          <wp:inline distT="0" distB="0" distL="0" distR="0">
            <wp:extent cx="5402580" cy="3814691"/>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3049" cy="3815022"/>
                    </a:xfrm>
                    <a:prstGeom prst="rect">
                      <a:avLst/>
                    </a:prstGeom>
                  </pic:spPr>
                </pic:pic>
              </a:graphicData>
            </a:graphic>
          </wp:inline>
        </w:drawing>
      </w:r>
    </w:p>
    <w:p w:rsidR="00972C98" w:rsidRDefault="00C70C1C">
      <w:pPr>
        <w:pStyle w:val="Caption"/>
        <w:keepLines/>
        <w:rPr>
          <w:noProof/>
        </w:rPr>
      </w:pPr>
      <w:r>
        <w:rPr>
          <w:noProof/>
        </w:rPr>
        <w:t xml:space="preserve">Kuva </w:t>
      </w:r>
      <w:r>
        <w:rPr>
          <w:noProof/>
        </w:rPr>
        <w:fldChar w:fldCharType="begin"/>
      </w:r>
      <w:r>
        <w:rPr>
          <w:noProof/>
        </w:rPr>
        <w:instrText xml:space="preserve"> SEQ Figure \* ARABIC </w:instrText>
      </w:r>
      <w:r>
        <w:rPr>
          <w:noProof/>
        </w:rPr>
        <w:fldChar w:fldCharType="separate"/>
      </w:r>
      <w:r>
        <w:rPr>
          <w:noProof/>
        </w:rPr>
        <w:t>1</w:t>
      </w:r>
      <w:r>
        <w:rPr>
          <w:noProof/>
        </w:rPr>
        <w:fldChar w:fldCharType="end"/>
      </w:r>
    </w:p>
    <w:p w:rsidR="00972C98" w:rsidRDefault="00C70C1C">
      <w:pPr>
        <w:keepLines/>
        <w:spacing w:before="240"/>
        <w:rPr>
          <w:noProof/>
          <w:szCs w:val="24"/>
        </w:rPr>
      </w:pPr>
      <w:r>
        <w:rPr>
          <w:noProof/>
        </w:rPr>
        <w:t xml:space="preserve">Maatalouteen ja maaseutuun liittyviä etuja ei kuitenkaan voida pitää itsestäänselvyytenä. Toisin kuin useimpiin muihin talouden aloihin, maatalouteen vaikuttaa suuresti </w:t>
      </w:r>
      <w:r>
        <w:rPr>
          <w:b/>
          <w:noProof/>
        </w:rPr>
        <w:t>sää</w:t>
      </w:r>
      <w:r>
        <w:rPr>
          <w:noProof/>
        </w:rPr>
        <w:t xml:space="preserve">, ja lisäksi ala on toistuvasti alttiina </w:t>
      </w:r>
      <w:r>
        <w:rPr>
          <w:b/>
          <w:noProof/>
        </w:rPr>
        <w:t>hintojen ep</w:t>
      </w:r>
      <w:r>
        <w:rPr>
          <w:b/>
          <w:noProof/>
        </w:rPr>
        <w:t>ävakauden</w:t>
      </w:r>
      <w:r>
        <w:rPr>
          <w:noProof/>
        </w:rPr>
        <w:t xml:space="preserve">, </w:t>
      </w:r>
      <w:r>
        <w:rPr>
          <w:b/>
          <w:noProof/>
        </w:rPr>
        <w:t>luonnononnettomuuksien</w:t>
      </w:r>
      <w:r>
        <w:rPr>
          <w:noProof/>
        </w:rPr>
        <w:t xml:space="preserve"> sekä </w:t>
      </w:r>
      <w:r>
        <w:rPr>
          <w:b/>
          <w:noProof/>
        </w:rPr>
        <w:t>tautien ja tuholaisten</w:t>
      </w:r>
      <w:r>
        <w:rPr>
          <w:noProof/>
        </w:rPr>
        <w:t xml:space="preserve"> vaikutuksille. Tämän seurauksena joka vuosi vähintään 20 prosenttia viljelijöistä menettää yli 30 prosenttia tuloistaan kolmen edeltävän vuoden keskimääräiseen tuloon verrattuna. Samaan aikaan </w:t>
      </w:r>
      <w:r>
        <w:rPr>
          <w:b/>
          <w:noProof/>
        </w:rPr>
        <w:t>l</w:t>
      </w:r>
      <w:r>
        <w:rPr>
          <w:b/>
          <w:noProof/>
        </w:rPr>
        <w:t>uonnonvaroihin kohdistuva paine</w:t>
      </w:r>
      <w:r>
        <w:rPr>
          <w:noProof/>
        </w:rPr>
        <w:t xml:space="preserve"> on edelleen selvästi nähtävissä, ja osittain se perustuu tiettyihin maatalouden käytäntöihin. </w:t>
      </w:r>
      <w:r>
        <w:rPr>
          <w:b/>
          <w:noProof/>
        </w:rPr>
        <w:t>Ilmastonmuutos</w:t>
      </w:r>
      <w:r>
        <w:rPr>
          <w:noProof/>
        </w:rPr>
        <w:t xml:space="preserve"> uhkaa pahentaa edellä mainittuja ongelmia. Tästä syystä yhteisen maatalouspolitiikan (YMP) olisi johdettava siirtym</w:t>
      </w:r>
      <w:r>
        <w:rPr>
          <w:noProof/>
        </w:rPr>
        <w:t>istä kestävämpään maatalouteen.</w:t>
      </w:r>
    </w:p>
    <w:p w:rsidR="00972C98" w:rsidRDefault="00C70C1C">
      <w:pPr>
        <w:keepLines/>
        <w:rPr>
          <w:noProof/>
        </w:rPr>
      </w:pPr>
      <w:r>
        <w:rPr>
          <w:noProof/>
        </w:rPr>
        <w:t xml:space="preserve">Yhteinen maatalouspolitiikka on mahdollistanut integroidumpien </w:t>
      </w:r>
      <w:r>
        <w:rPr>
          <w:b/>
          <w:noProof/>
        </w:rPr>
        <w:t>sisämarkkinoiden</w:t>
      </w:r>
      <w:r>
        <w:rPr>
          <w:noProof/>
        </w:rPr>
        <w:t xml:space="preserve"> kehityksen. Yhteisen maatalouspolitiikan ansiosta EU:n maatalousala pystyy vastaamaan kansalaisten vaatimuksiin ruokaturvan ja elintarvikkeiden </w:t>
      </w:r>
      <w:r>
        <w:rPr>
          <w:noProof/>
        </w:rPr>
        <w:t>turvallisuuden, laadun ja kestävyyden osalta. Samaan aikaan alaa rasittavat kuitenkin heikkoon kannattavuuteen liittyvät haasteet. Siihen ovat syynä muun muassa EU:n tiukat tuotantonormit, tuotannontekijöiden korkeat kustannukset ja alkutuotannon hajanaine</w:t>
      </w:r>
      <w:r>
        <w:rPr>
          <w:noProof/>
        </w:rPr>
        <w:t>n rakenne. Nyt ala kilpailee useimmilla sektoreilla maailmanmarkkinahinnoilla, on johtopaikalla elintarvikkeiden monipuolisuuden ja laadun osalta ja vie maataloustuotteita ja elintarvikkeita eniten maailmassa (viennin arvo oli 131 miljardia euroa vuonna 20</w:t>
      </w:r>
      <w:r>
        <w:rPr>
          <w:noProof/>
        </w:rPr>
        <w:t>16</w:t>
      </w:r>
      <w:r>
        <w:rPr>
          <w:rStyle w:val="FootnoteReference"/>
          <w:noProof/>
        </w:rPr>
        <w:footnoteReference w:id="3"/>
      </w:r>
      <w:r>
        <w:rPr>
          <w:noProof/>
        </w:rPr>
        <w:t>).</w:t>
      </w:r>
    </w:p>
    <w:p w:rsidR="00972C98" w:rsidRDefault="00C70C1C">
      <w:pPr>
        <w:keepLines/>
        <w:rPr>
          <w:b/>
          <w:noProof/>
          <w:szCs w:val="24"/>
        </w:rPr>
      </w:pPr>
      <w:r>
        <w:rPr>
          <w:b/>
          <w:noProof/>
        </w:rPr>
        <w:t>Hyvä tulos mutta työtä on vielä tehtävä</w:t>
      </w:r>
    </w:p>
    <w:p w:rsidR="00972C98" w:rsidRDefault="00C70C1C">
      <w:pPr>
        <w:keepLines/>
        <w:rPr>
          <w:noProof/>
          <w:szCs w:val="24"/>
        </w:rPr>
      </w:pPr>
      <w:r>
        <w:rPr>
          <w:noProof/>
        </w:rPr>
        <w:t>Suorat tuet auttavat nykyisellään selviytymisessä seitsemää miljoonaa tilaa, joiden osuus viljelyalasta on 90 prosenttia. Niiden osuus EU:n maatalousväestön tuloista on noin 46 prosenttia, mutta joillakin aluei</w:t>
      </w:r>
      <w:r>
        <w:rPr>
          <w:noProof/>
        </w:rPr>
        <w:t>lla ja sektoreilla paljon tätä suurempi. Siten ne toimivat tuloja vakauttavana tekijänä tilanteessa, jossa viljelijöihin vaikuttaa hintojen ja tuotannon suuri vaihtelevuus, ja myötävaikuttavat näin siihen, että elintärkeä ruoantuotanto säilyy korkealaatuis</w:t>
      </w:r>
      <w:r>
        <w:rPr>
          <w:noProof/>
        </w:rPr>
        <w:t>ena koko EU:n alueella</w:t>
      </w:r>
      <w:r>
        <w:rPr>
          <w:noProof/>
          <w:vertAlign w:val="superscript"/>
        </w:rPr>
        <w:footnoteReference w:id="4"/>
      </w:r>
      <w:r>
        <w:rPr>
          <w:noProof/>
        </w:rPr>
        <w:t>. Suorien tukien vaikutusta täydentävät markkinavälineet. Lisäksi luonnonhaitta-alueille kohdennetaan erityistukea.</w:t>
      </w:r>
    </w:p>
    <w:p w:rsidR="00972C98" w:rsidRDefault="00C70C1C">
      <w:pPr>
        <w:keepLines/>
        <w:rPr>
          <w:noProof/>
          <w:szCs w:val="24"/>
        </w:rPr>
      </w:pPr>
      <w:r>
        <w:rPr>
          <w:noProof/>
        </w:rPr>
        <w:t>Maaseudun kehittämispolitiikalla panostetaan merkittävästi eri tavoin maatilatalouteen ja maaseudun tärkeisiin elinke</w:t>
      </w:r>
      <w:r>
        <w:rPr>
          <w:noProof/>
        </w:rPr>
        <w:t>inoihin. Sillä tuetaan investoimista, tietämyksen lisäämistä, elintarvikeketjun organisoimista, ympäristönsuojelua ja ilmastotoimia. Tämä on perustana vuosien 2014–2020 maaseudun kehittämisohjelmissa, joilla parannetaan mahdollisuuksia investoimiseen ja ri</w:t>
      </w:r>
      <w:r>
        <w:rPr>
          <w:noProof/>
        </w:rPr>
        <w:t>skinhallintaan. Maatalouden tuottavuutta ja kestävyyttä koskevan eurooppalaisen innovaatiokumppanuuden (EIP-AGRI) perustaminen on vauhdittanut tietämyksen kartuttamista ja jakamista. Merkittäviä toimia tarvitaan kuitenkin vielä tietämyksen saattamiseksi pa</w:t>
      </w:r>
      <w:r>
        <w:rPr>
          <w:noProof/>
        </w:rPr>
        <w:t>remmin viljelijöiden ulottuville</w:t>
      </w:r>
      <w:r>
        <w:rPr>
          <w:noProof/>
          <w:vertAlign w:val="superscript"/>
        </w:rPr>
        <w:footnoteReference w:id="5"/>
      </w:r>
      <w:r>
        <w:rPr>
          <w:noProof/>
        </w:rPr>
        <w:t>.</w:t>
      </w:r>
    </w:p>
    <w:p w:rsidR="00972C98" w:rsidRDefault="00C70C1C">
      <w:pPr>
        <w:keepLines/>
        <w:rPr>
          <w:noProof/>
          <w:szCs w:val="24"/>
        </w:rPr>
      </w:pPr>
      <w:r>
        <w:rPr>
          <w:noProof/>
        </w:rPr>
        <w:t>Paljon voidaan oppia yhteisen maatalouspolitiikan uudistamisesta ja yksinkertaistamisesta vuoden 2017 alkupuoliskolla järjestetystä julkisesta kuulemisesta</w:t>
      </w:r>
      <w:r>
        <w:rPr>
          <w:rStyle w:val="FootnoteReference"/>
          <w:noProof/>
        </w:rPr>
        <w:footnoteReference w:id="6"/>
      </w:r>
      <w:r>
        <w:rPr>
          <w:noProof/>
        </w:rPr>
        <w:t>. Sen perusteella vallitsee laaja yksimielisyys siitä, että yhtei</w:t>
      </w:r>
      <w:r>
        <w:rPr>
          <w:noProof/>
        </w:rPr>
        <w:t>sen maatalouspolitiikan nykyisten välineiden avulla voidaan vastata tämänkertaisiin haasteisiin menestyksekkäästi vain joiltakin osin. Tämä koskee myös ympäristöön ja ilmastoon liittyviä haasteita, joiden osalta suurin osa viljelijöistä ja muista toimijois</w:t>
      </w:r>
      <w:r>
        <w:rPr>
          <w:noProof/>
        </w:rPr>
        <w:t>ta katsoo, että yhteisellä maatalouspolitiikalla olisi tehtävä nykyistä enemmän. Samalla korostetaan, että liiallinen byrokratia on suurin syy siihen, ettei nykyisellä politiikalla saavuteta kunnolla sen tavoitteita.</w:t>
      </w:r>
    </w:p>
    <w:p w:rsidR="00972C98" w:rsidRDefault="00C70C1C">
      <w:pPr>
        <w:keepNext/>
        <w:keepLines/>
        <w:spacing w:after="0"/>
        <w:rPr>
          <w:noProof/>
        </w:rPr>
      </w:pPr>
      <w:r>
        <w:rPr>
          <w:noProof/>
          <w:lang w:val="en-GB" w:eastAsia="en-GB" w:bidi="ar-SA"/>
        </w:rPr>
        <w:drawing>
          <wp:inline distT="0" distB="0" distL="0" distR="0">
            <wp:extent cx="5463540" cy="3857734"/>
            <wp:effectExtent l="0" t="0" r="381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64014" cy="3858069"/>
                    </a:xfrm>
                    <a:prstGeom prst="rect">
                      <a:avLst/>
                    </a:prstGeom>
                  </pic:spPr>
                </pic:pic>
              </a:graphicData>
            </a:graphic>
          </wp:inline>
        </w:drawing>
      </w:r>
    </w:p>
    <w:p w:rsidR="00972C98" w:rsidRDefault="00C70C1C">
      <w:pPr>
        <w:keepLines/>
        <w:rPr>
          <w:noProof/>
          <w:szCs w:val="24"/>
        </w:rPr>
      </w:pPr>
      <w:r>
        <w:rPr>
          <w:b/>
          <w:noProof/>
        </w:rPr>
        <w:t xml:space="preserve">Kuva </w:t>
      </w:r>
      <w:r>
        <w:rPr>
          <w:b/>
          <w:noProof/>
        </w:rPr>
        <w:fldChar w:fldCharType="begin"/>
      </w:r>
      <w:r>
        <w:rPr>
          <w:b/>
          <w:noProof/>
        </w:rPr>
        <w:instrText xml:space="preserve"> SEQ Figure \* ARABIC </w:instrText>
      </w:r>
      <w:r>
        <w:rPr>
          <w:b/>
          <w:noProof/>
        </w:rPr>
        <w:fldChar w:fldCharType="separate"/>
      </w:r>
      <w:r>
        <w:rPr>
          <w:b/>
          <w:noProof/>
        </w:rPr>
        <w:t>2</w:t>
      </w:r>
      <w:r>
        <w:rPr>
          <w:b/>
          <w:noProof/>
        </w:rPr>
        <w:fldChar w:fldCharType="end"/>
      </w:r>
    </w:p>
    <w:p w:rsidR="00972C98" w:rsidRDefault="00C70C1C">
      <w:pPr>
        <w:keepLines/>
        <w:rPr>
          <w:noProof/>
          <w:szCs w:val="24"/>
        </w:rPr>
      </w:pPr>
      <w:r>
        <w:rPr>
          <w:noProof/>
        </w:rPr>
        <w:t>Maaha</w:t>
      </w:r>
      <w:r>
        <w:rPr>
          <w:noProof/>
        </w:rPr>
        <w:t>n liittyvät toimenpiteet ovat keskeisiä ympäristöä ja ilmastoa koskevien EU:n tavoitteiden kannalta, ja viljelijät ovat ensisijaisia talouden toimijoita näiden merkittävien yhteiskunnallisten tavoitteiden saavuttamiseksi. Tältä osin on tarkasteltava suoria</w:t>
      </w:r>
      <w:r>
        <w:rPr>
          <w:noProof/>
        </w:rPr>
        <w:t xml:space="preserve"> tukia, jotta voidaan varmistaa, että suurta osaa aktiivisessa viljelyssä olevasta EU:n maa-alasta hoidetaan tavalla, josta on hyötyä ympäristölle. Nykyiset pinta-alaperusteiset maaseudun kehittämistuet perustuvat tähän ajatukseen. Osittain yhteisen maatal</w:t>
      </w:r>
      <w:r>
        <w:rPr>
          <w:noProof/>
        </w:rPr>
        <w:t>ouspolitiikan ansiosta luonnonmukainen viljely on laajentunut merkittävästi, ja vuonna 2015 se kattoi 6 prosenttia käytössä olevasta maatalousmaasta, kun vastaava luku vuonna 2000 oli 2 prosenttia.</w:t>
      </w:r>
    </w:p>
    <w:p w:rsidR="00972C98" w:rsidRDefault="00C70C1C">
      <w:pPr>
        <w:keepLines/>
        <w:rPr>
          <w:noProof/>
          <w:szCs w:val="24"/>
        </w:rPr>
      </w:pPr>
      <w:r>
        <w:rPr>
          <w:noProof/>
        </w:rPr>
        <w:t xml:space="preserve"> Viherryttämisen</w:t>
      </w:r>
      <w:r>
        <w:rPr>
          <w:rStyle w:val="FootnoteReference"/>
          <w:noProof/>
        </w:rPr>
        <w:footnoteReference w:id="7"/>
      </w:r>
      <w:r>
        <w:rPr>
          <w:noProof/>
        </w:rPr>
        <w:t xml:space="preserve"> täytäntöönpanon ei aina katsota olevan n</w:t>
      </w:r>
      <w:r>
        <w:rPr>
          <w:noProof/>
        </w:rPr>
        <w:t xml:space="preserve">iin kunnianhimoista kuin oli tarkoitus, ja julkisessa kuulemisessa sitä pidettiin kaikkein työläämpänä ja monimutkaisimpana yhteisen maatalouspolitiikan osa-alueena, joka rajoittaa politiikan vaikuttavuutta. Samaan aikaan ilmastonmuutoksesta on tullut yhä </w:t>
      </w:r>
      <w:r>
        <w:rPr>
          <w:noProof/>
        </w:rPr>
        <w:t>polttavampi kysymys, josta tulevaisuudessa aiheutuu viljelijäväestölle merkittävät kustannukset.</w:t>
      </w:r>
      <w:r>
        <w:rPr>
          <w:noProof/>
          <w:vertAlign w:val="superscript"/>
        </w:rPr>
        <w:footnoteReference w:id="8"/>
      </w:r>
      <w:r>
        <w:rPr>
          <w:noProof/>
        </w:rPr>
        <w:t xml:space="preserve"> </w:t>
      </w:r>
    </w:p>
    <w:p w:rsidR="00972C98" w:rsidRDefault="00C70C1C">
      <w:pPr>
        <w:keepLines/>
        <w:rPr>
          <w:noProof/>
          <w:szCs w:val="24"/>
        </w:rPr>
      </w:pPr>
      <w:r>
        <w:rPr>
          <w:noProof/>
        </w:rPr>
        <w:t>Saman näkemyksen on tuonut esille REFIT-foorumi, joka on pitänyt keskeisenä nykyisiin viherryttämistoimenpiteisiin liittyvää liiallista hallinnollista rasite</w:t>
      </w:r>
      <w:r>
        <w:rPr>
          <w:noProof/>
        </w:rPr>
        <w:t>tta, valvonta- ja tarkastusjärjestelmää sekä kasvavaa päällekkäisyyttä ensimmäisen ja toisen pilarin välillä</w:t>
      </w:r>
      <w:r>
        <w:rPr>
          <w:rStyle w:val="FootnoteReference"/>
          <w:noProof/>
        </w:rPr>
        <w:footnoteReference w:id="9"/>
      </w:r>
      <w:r>
        <w:rPr>
          <w:noProof/>
        </w:rPr>
        <w:t>. Kuten REFIT-foorumi ilmoitti, on tarpeen vähentää yhteisen maatalouspolitiikan sääntelytaakkaa, parantaa sen kustannustehokkuutta varmistaen sama</w:t>
      </w:r>
      <w:r>
        <w:rPr>
          <w:noProof/>
        </w:rPr>
        <w:t>lla, että tavoitteet saavutetaan, ja integroida se muihin politiikan aloihin.</w:t>
      </w:r>
    </w:p>
    <w:p w:rsidR="00972C98" w:rsidRDefault="00C70C1C">
      <w:pPr>
        <w:keepLines/>
        <w:rPr>
          <w:noProof/>
          <w:szCs w:val="24"/>
        </w:rPr>
      </w:pPr>
      <w:r>
        <w:rPr>
          <w:noProof/>
        </w:rPr>
        <w:t>Ensimmäinen yhteisen maatalouspolitiikan nykyisen yhteisen seuranta- ja arviointikehyksen täytäntöönpanoa koskeva kertomus, johon sisältyvät myös ensimmäiset tulokset, on tarkoit</w:t>
      </w:r>
      <w:r>
        <w:rPr>
          <w:noProof/>
        </w:rPr>
        <w:t>us antaa Euroopan parlamentille ja neuvostolle vuonna 2018. Komission ehdotusta vuoden 2020 jälkeiseksi yhteiseksi maatalouspolitiikaksi tukevassa vaikutusten arvioinnissa on tarkoitus ottaa huomioon kaikki käytettävissä oleva näyttö politiikalla siihen me</w:t>
      </w:r>
      <w:r>
        <w:rPr>
          <w:noProof/>
        </w:rPr>
        <w:t>nnessä saavutetuista tuloksista (myös REFIT-foorumin arviointitulokset ja näkemykset) ja käyttää tätä tietoa, kun analysoidaan yksittäisiä ratkaisuja tulevaisuutta varten.</w:t>
      </w:r>
    </w:p>
    <w:p w:rsidR="00972C98" w:rsidRDefault="00C70C1C">
      <w:pPr>
        <w:keepLines/>
        <w:spacing w:after="0"/>
        <w:jc w:val="left"/>
        <w:rPr>
          <w:b/>
          <w:noProof/>
          <w:szCs w:val="24"/>
        </w:rPr>
      </w:pPr>
      <w:r>
        <w:rPr>
          <w:noProof/>
        </w:rPr>
        <w:br w:type="page"/>
      </w:r>
    </w:p>
    <w:p w:rsidR="00972C98" w:rsidRDefault="00C70C1C">
      <w:pPr>
        <w:keepLines/>
        <w:rPr>
          <w:b/>
          <w:noProof/>
          <w:szCs w:val="24"/>
        </w:rPr>
      </w:pPr>
      <w:r>
        <w:rPr>
          <w:b/>
          <w:noProof/>
        </w:rPr>
        <w:t>Kestävä yhteinen maatalouspolitiikka</w:t>
      </w:r>
    </w:p>
    <w:p w:rsidR="00972C98" w:rsidRDefault="00C70C1C">
      <w:pPr>
        <w:keepLines/>
        <w:rPr>
          <w:b/>
          <w:noProof/>
          <w:szCs w:val="24"/>
        </w:rPr>
      </w:pPr>
      <w:r>
        <w:rPr>
          <w:noProof/>
        </w:rPr>
        <w:t xml:space="preserve">Samalla, kun yhteisellä maatalouspolitiikalla on viety eteenpäin sille </w:t>
      </w:r>
      <w:r>
        <w:rPr>
          <w:b/>
          <w:noProof/>
        </w:rPr>
        <w:t>perussopimuksessa asetettuja tavoitteita</w:t>
      </w:r>
      <w:r>
        <w:rPr>
          <w:noProof/>
        </w:rPr>
        <w:t xml:space="preserve">, se on </w:t>
      </w:r>
      <w:r>
        <w:rPr>
          <w:b/>
          <w:noProof/>
        </w:rPr>
        <w:t>koko ajan kehittynyt ja tuonut EU-tason lisäarvoa</w:t>
      </w:r>
      <w:r>
        <w:rPr>
          <w:noProof/>
        </w:rPr>
        <w:t xml:space="preserve">. Siinä on myös lisätty merkittävästi </w:t>
      </w:r>
      <w:r>
        <w:rPr>
          <w:b/>
          <w:noProof/>
        </w:rPr>
        <w:t>ympäristö- ja ilmastoasioiden</w:t>
      </w:r>
      <w:r>
        <w:rPr>
          <w:noProof/>
        </w:rPr>
        <w:t xml:space="preserve"> sekä </w:t>
      </w:r>
      <w:r>
        <w:rPr>
          <w:b/>
          <w:noProof/>
        </w:rPr>
        <w:t xml:space="preserve">laajemman </w:t>
      </w:r>
      <w:r>
        <w:rPr>
          <w:b/>
          <w:noProof/>
        </w:rPr>
        <w:t>maaseutukontekstin</w:t>
      </w:r>
      <w:r>
        <w:rPr>
          <w:noProof/>
        </w:rPr>
        <w:t xml:space="preserve"> painotusta maatalouden harjoittamisen yhteydessä. Tämän ansiosta ala on pystynyt lisäämään tuottavuuttaan lähes 9 prosenttia vuodesta 2005 ja samalla vähentämään kasvihuonekaasupäästöjä 24 prosenttia vuodesta 1990 ja vähentämään lannoitt</w:t>
      </w:r>
      <w:r>
        <w:rPr>
          <w:noProof/>
        </w:rPr>
        <w:t>eiden käyttöä, mikä on vaikuttanut myönteisellä tavalla veden laatuun. Ilman voimakkaampaa ja kunnianhimoisempaa poliittista tukea on kuitenkin epätodennäköistä, että EU:n maatalouden päästöt vähenisivät jatkossakin samaa tahtia. Yhteisen maatalouspolitiik</w:t>
      </w:r>
      <w:r>
        <w:rPr>
          <w:noProof/>
        </w:rPr>
        <w:t>an on reagoitava tehokkaammin edellä mainittuihin haasteisiin, ja sen on oltava keskeisessä roolissa toteuttamassa Junckerin painopisteitä johdonmukaisesti suhteessa muihin politiikkoihin, erityisesti</w:t>
      </w:r>
    </w:p>
    <w:p w:rsidR="00972C98" w:rsidRDefault="00C70C1C">
      <w:pPr>
        <w:pStyle w:val="ListBullet"/>
        <w:keepLines/>
        <w:rPr>
          <w:noProof/>
        </w:rPr>
      </w:pPr>
      <w:r>
        <w:rPr>
          <w:noProof/>
        </w:rPr>
        <w:t xml:space="preserve">edistäen laadukasta </w:t>
      </w:r>
      <w:r>
        <w:rPr>
          <w:b/>
          <w:noProof/>
        </w:rPr>
        <w:t>työllisyyttä, kasvua ja investointi</w:t>
      </w:r>
      <w:r>
        <w:rPr>
          <w:b/>
          <w:noProof/>
        </w:rPr>
        <w:t>a</w:t>
      </w:r>
      <w:r>
        <w:rPr>
          <w:noProof/>
        </w:rPr>
        <w:t>;</w:t>
      </w:r>
    </w:p>
    <w:p w:rsidR="00972C98" w:rsidRDefault="00C70C1C">
      <w:pPr>
        <w:pStyle w:val="ListBullet"/>
        <w:keepLines/>
        <w:rPr>
          <w:noProof/>
        </w:rPr>
      </w:pPr>
      <w:r>
        <w:rPr>
          <w:noProof/>
        </w:rPr>
        <w:t xml:space="preserve">hyödyntäen </w:t>
      </w:r>
      <w:r>
        <w:rPr>
          <w:b/>
          <w:noProof/>
        </w:rPr>
        <w:t>energiaunionin, kiertotalouden ja biotalouden</w:t>
      </w:r>
      <w:r>
        <w:rPr>
          <w:noProof/>
        </w:rPr>
        <w:t xml:space="preserve"> mahdollisuudet ja samalla vahvistaen </w:t>
      </w:r>
      <w:r>
        <w:rPr>
          <w:b/>
          <w:noProof/>
        </w:rPr>
        <w:t>ympäristönhoitoa sekä ilmastonmuutoksen torjuntaa ja siihen sopeutumista</w:t>
      </w:r>
      <w:r>
        <w:rPr>
          <w:noProof/>
        </w:rPr>
        <w:t>;</w:t>
      </w:r>
    </w:p>
    <w:p w:rsidR="00972C98" w:rsidRDefault="00C70C1C">
      <w:pPr>
        <w:pStyle w:val="ListBullet"/>
        <w:keepLines/>
        <w:rPr>
          <w:noProof/>
        </w:rPr>
      </w:pPr>
      <w:r>
        <w:rPr>
          <w:noProof/>
        </w:rPr>
        <w:t xml:space="preserve">tuoden </w:t>
      </w:r>
      <w:r>
        <w:rPr>
          <w:b/>
          <w:noProof/>
        </w:rPr>
        <w:t>tutkimus ja innovointi</w:t>
      </w:r>
      <w:r>
        <w:rPr>
          <w:noProof/>
        </w:rPr>
        <w:t xml:space="preserve"> ulos laboratorioista pelloille ja markkinoille;</w:t>
      </w:r>
    </w:p>
    <w:p w:rsidR="00972C98" w:rsidRDefault="00C70C1C">
      <w:pPr>
        <w:pStyle w:val="ListBullet"/>
        <w:keepLines/>
        <w:rPr>
          <w:noProof/>
        </w:rPr>
      </w:pPr>
      <w:r>
        <w:rPr>
          <w:noProof/>
        </w:rPr>
        <w:t>yhdistä</w:t>
      </w:r>
      <w:r>
        <w:rPr>
          <w:noProof/>
        </w:rPr>
        <w:t xml:space="preserve">en viljelijät ja maaseutu kaikilta osin </w:t>
      </w:r>
      <w:r>
        <w:rPr>
          <w:b/>
          <w:noProof/>
        </w:rPr>
        <w:t>digitalouteen</w:t>
      </w:r>
      <w:r>
        <w:rPr>
          <w:noProof/>
        </w:rPr>
        <w:t>; ja</w:t>
      </w:r>
    </w:p>
    <w:p w:rsidR="00972C98" w:rsidRDefault="00C70C1C">
      <w:pPr>
        <w:pStyle w:val="ListBullet"/>
        <w:keepLines/>
        <w:rPr>
          <w:noProof/>
        </w:rPr>
      </w:pPr>
      <w:r>
        <w:rPr>
          <w:noProof/>
        </w:rPr>
        <w:t xml:space="preserve">ottaen osaa Euroopan komission </w:t>
      </w:r>
      <w:r>
        <w:rPr>
          <w:b/>
          <w:noProof/>
        </w:rPr>
        <w:t>muuttoliike</w:t>
      </w:r>
      <w:r>
        <w:rPr>
          <w:noProof/>
        </w:rPr>
        <w:t>agendaan.</w:t>
      </w:r>
    </w:p>
    <w:p w:rsidR="00972C98" w:rsidRDefault="00C70C1C">
      <w:pPr>
        <w:keepLines/>
        <w:rPr>
          <w:noProof/>
          <w:szCs w:val="24"/>
        </w:rPr>
      </w:pPr>
      <w:r>
        <w:rPr>
          <w:noProof/>
        </w:rPr>
        <w:t xml:space="preserve">Samaan aikaan EU on sitoutunut voimakkaasti </w:t>
      </w:r>
      <w:r>
        <w:rPr>
          <w:b/>
          <w:noProof/>
        </w:rPr>
        <w:t>Pariisin sopimusta (COP 21) ja Yhdistyneiden kansakuntien kestävän kehityksen tavoitteita</w:t>
      </w:r>
      <w:r>
        <w:rPr>
          <w:noProof/>
        </w:rPr>
        <w:t xml:space="preserve"> koskevaan to</w:t>
      </w:r>
      <w:r>
        <w:rPr>
          <w:noProof/>
        </w:rPr>
        <w:t>imintaan. Yhteinen maatalouspolitiikka on eritoten perusta ilmasto- ja energiapuitteiden 2030 toimille; niissä maatalousalaa kehotetaan ottamaan osaa koko talouden kattavaan 40 prosentin päästövähennystavoitteeseen ja EU:n sopeutumisstrategiaan. Euroopan m</w:t>
      </w:r>
      <w:r>
        <w:rPr>
          <w:noProof/>
        </w:rPr>
        <w:t xml:space="preserve">aatalouden on myös lisättävä panostustaan EU:n ympäristötavoitteiden osalta. Näitä sitoumuksia ei voida täyttää ilman viljelijöitä, metsänhoitajia ja muita maaseudun toimijoita, joiden hoidossa on yli puolet EU:n maa-alasta ja jotka käyttävät ja suojaavat </w:t>
      </w:r>
      <w:r>
        <w:rPr>
          <w:noProof/>
        </w:rPr>
        <w:t xml:space="preserve">siihen liittyviä luonnonvaroja ja saattavat suuria hiilinieluja ja uusiutuvia luonnonvaroja teollisuuden ja energiasektorin käyttöön. Tämän vuoksi </w:t>
      </w:r>
      <w:r>
        <w:rPr>
          <w:b/>
          <w:noProof/>
        </w:rPr>
        <w:t xml:space="preserve">uuden nykyaikaisemman yhteisen maatalouspolitiikan olisi lisättävä tuottamaansa EU-tason lisäarvoa ottamalla </w:t>
      </w:r>
      <w:r>
        <w:rPr>
          <w:b/>
          <w:noProof/>
        </w:rPr>
        <w:t>huomioon nykyistä tiukemmat ympäristö- ja ilmastotavoitteet sekä kansalaisten huolet maataloustuotannon kestävyydestä</w:t>
      </w:r>
      <w:r>
        <w:rPr>
          <w:noProof/>
        </w:rPr>
        <w:t>.</w:t>
      </w:r>
    </w:p>
    <w:p w:rsidR="00972C98" w:rsidRDefault="00C70C1C">
      <w:pPr>
        <w:keepLines/>
        <w:rPr>
          <w:noProof/>
          <w:szCs w:val="24"/>
        </w:rPr>
      </w:pPr>
      <w:r>
        <w:rPr>
          <w:noProof/>
        </w:rPr>
        <w:t>Vuonna 2016 annetussa Cork 2.0 -julistuksessa ”Parempi elämä maaseutualueilla” esitetään konkreettisina tavoitteina, miten EU:n maatalous</w:t>
      </w:r>
      <w:r>
        <w:rPr>
          <w:noProof/>
        </w:rPr>
        <w:t xml:space="preserve"> ja maaseutu voivat menestyä tulevaisuudessa ja olla omalla panoksellaan osa yhteiskuntaa. Siinä esitetään yhteisen maatalouspolitiikan uudistamista koskeva toimintasuunnitelma, jotta politiikalla saavutettaisiin paremmin tuloksia ja se vastaisi tämän päiv</w:t>
      </w:r>
      <w:r>
        <w:rPr>
          <w:noProof/>
        </w:rPr>
        <w:t>än haasteita. Erityisesti taitojen, julkisten palvelujen ja infrastruktuurin kehittäminen sekä toimintakyvyn vahvistaminen ovat tarpeen vireiden maaseutuyhteisöjen luomiseksi.</w:t>
      </w:r>
    </w:p>
    <w:p w:rsidR="00972C98" w:rsidRDefault="00C70C1C">
      <w:pPr>
        <w:pStyle w:val="Caption"/>
        <w:keepNext/>
        <w:keepLines/>
        <w:spacing w:before="0" w:after="0"/>
        <w:rPr>
          <w:noProof/>
        </w:rPr>
      </w:pPr>
      <w:r>
        <w:rPr>
          <w:noProof/>
          <w:lang w:val="en-GB" w:eastAsia="en-GB" w:bidi="ar-SA"/>
        </w:rPr>
        <w:drawing>
          <wp:inline distT="0" distB="0" distL="0" distR="0">
            <wp:extent cx="5410200" cy="3820072"/>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10669" cy="3820403"/>
                    </a:xfrm>
                    <a:prstGeom prst="rect">
                      <a:avLst/>
                    </a:prstGeom>
                  </pic:spPr>
                </pic:pic>
              </a:graphicData>
            </a:graphic>
          </wp:inline>
        </w:drawing>
      </w:r>
    </w:p>
    <w:p w:rsidR="00972C98" w:rsidRDefault="00C70C1C">
      <w:pPr>
        <w:pStyle w:val="Caption"/>
        <w:keepLines/>
        <w:rPr>
          <w:noProof/>
        </w:rPr>
      </w:pPr>
      <w:r>
        <w:rPr>
          <w:noProof/>
        </w:rPr>
        <w:t xml:space="preserve">Kuva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rPr>
          <w:noProof/>
        </w:rPr>
        <w:t xml:space="preserve"> </w:t>
      </w:r>
    </w:p>
    <w:p w:rsidR="00972C98" w:rsidRDefault="00C70C1C">
      <w:pPr>
        <w:keepLines/>
        <w:rPr>
          <w:noProof/>
          <w:szCs w:val="24"/>
        </w:rPr>
      </w:pPr>
      <w:r>
        <w:rPr>
          <w:b/>
          <w:noProof/>
        </w:rPr>
        <w:t>Julkisessa kuulemisessa</w:t>
      </w:r>
      <w:r>
        <w:rPr>
          <w:noProof/>
        </w:rPr>
        <w:t xml:space="preserve"> painotettiin kestävyy</w:t>
      </w:r>
      <w:r>
        <w:rPr>
          <w:noProof/>
        </w:rPr>
        <w:t xml:space="preserve">den kolmen ulottuvuuden (taloudellinen, ympäristöön liittyvä ja sosiaalinen) merkitystä ja yhdistettiin ne laajempaan, politiikan </w:t>
      </w:r>
      <w:r>
        <w:rPr>
          <w:b/>
          <w:noProof/>
        </w:rPr>
        <w:t>nykyaikaistamista</w:t>
      </w:r>
      <w:r>
        <w:rPr>
          <w:noProof/>
        </w:rPr>
        <w:t xml:space="preserve"> ja </w:t>
      </w:r>
      <w:r>
        <w:rPr>
          <w:b/>
          <w:noProof/>
        </w:rPr>
        <w:t>yksinkertaistamista</w:t>
      </w:r>
      <w:r>
        <w:rPr>
          <w:noProof/>
        </w:rPr>
        <w:t xml:space="preserve"> koskevaan tarpeeseen. </w:t>
      </w:r>
    </w:p>
    <w:p w:rsidR="00972C98" w:rsidRDefault="00C70C1C">
      <w:pPr>
        <w:keepLines/>
        <w:rPr>
          <w:noProof/>
          <w:szCs w:val="24"/>
        </w:rPr>
      </w:pPr>
      <w:r>
        <w:rPr>
          <w:noProof/>
        </w:rPr>
        <w:t xml:space="preserve">Komission 1. maaliskuuta 2017 antamalla </w:t>
      </w:r>
      <w:r>
        <w:rPr>
          <w:b/>
          <w:noProof/>
        </w:rPr>
        <w:t>valkoisella kirjalla E</w:t>
      </w:r>
      <w:r>
        <w:rPr>
          <w:b/>
          <w:noProof/>
        </w:rPr>
        <w:t>uroopan tulevaisuudesta</w:t>
      </w:r>
      <w:r>
        <w:rPr>
          <w:noProof/>
        </w:rPr>
        <w:t xml:space="preserve"> käynnistettiin laaja-alainen keskustelu huomispäivän EU:sta, ja siinä kehotettiin unionia ja sen jäsenvaltioita parantamaan vuorovaikutusta kansalaisten kanssa, toimimaan vastuullisesti heitä kohtaan ja toteuttamaan nopeammin ja par</w:t>
      </w:r>
      <w:r>
        <w:rPr>
          <w:noProof/>
        </w:rPr>
        <w:t>emmin se, mistä on yhteisesti sovittu, kuten Euroopan sosiaalisten oikeuksien pilari. Keskustelua elävöitti entisestään EU:n rahoituksen tulevaisuudesta 28. kesäkuuta 2017 julkaistu komission pohdinta-asiakirja, jossa esitetään vaihtoehtoja ja skenaarioita</w:t>
      </w:r>
      <w:r>
        <w:rPr>
          <w:noProof/>
        </w:rPr>
        <w:t xml:space="preserve"> EU:n talousarvion tulevalle suunnalle, muun muassa yhtenä vaihtoehtona yhteisen maatalouspolitiikan tietynasteinen yhteisrahoitus ja sen vaikutukset. Kuten pohdinta-asiakirjassa muistutetaan, EU:n talousarviossa olisi jatkossakin käsiteltävä kulloisenkin </w:t>
      </w:r>
      <w:r>
        <w:rPr>
          <w:noProof/>
        </w:rPr>
        <w:t>ajankohdan kehityssuuntauksia, jotka muovaavat EU:ta tulevina vuosina. On myös joukko uusia haasteita, joiden osalta on tarpeen lisätä EU:n talousarviosta saatavaa rahoitusta. Tältä osin kaikkia nykyisiä välineitä, myös yhteistä maatalouspolitiikkaa, täyty</w:t>
      </w:r>
      <w:r>
        <w:rPr>
          <w:noProof/>
        </w:rPr>
        <w:t>y tarkastella uudelleen. Sen vuoksi tässä tiedonannossa ei ennakoida kyseisen keskustelun tuloksia eikä ehdotuksia seuraavaksi monivuotiseksi rahoituskehykseksi (MRK).</w:t>
      </w:r>
    </w:p>
    <w:p w:rsidR="00972C98" w:rsidRDefault="00C70C1C">
      <w:pPr>
        <w:keepLines/>
        <w:rPr>
          <w:noProof/>
          <w:szCs w:val="24"/>
        </w:rPr>
      </w:pPr>
      <w:r>
        <w:rPr>
          <w:noProof/>
        </w:rPr>
        <w:t xml:space="preserve">EU:n tulevaa rahoitusta koskevassa pohdinta-asiakirjassa vaaditaan muutosta kohti uutta </w:t>
      </w:r>
      <w:r>
        <w:rPr>
          <w:noProof/>
        </w:rPr>
        <w:t>kestävää kasvua, jossa yhdistyy taloudellisten, sosiaalisten ja ympäristönäkökohtien tarkastelu kokonaisvaltaisella ja yhdennetyllä tavalla ja jossa julkishyödykkeiden tarjontaa painotetaan aiempaa enemmän.</w:t>
      </w:r>
    </w:p>
    <w:p w:rsidR="00972C98" w:rsidRDefault="00C70C1C">
      <w:pPr>
        <w:keepLines/>
        <w:rPr>
          <w:noProof/>
          <w:szCs w:val="24"/>
        </w:rPr>
      </w:pPr>
      <w:r>
        <w:rPr>
          <w:noProof/>
        </w:rPr>
        <w:t xml:space="preserve">Tätä taustaa vasten yhteisen maatalouspolitiikan </w:t>
      </w:r>
      <w:r>
        <w:rPr>
          <w:noProof/>
        </w:rPr>
        <w:t>on siirryttävä kehityksessään seuraavaan vaiheeseen – nykyaikaistamisen ja yksinkertaistamisen kautta ja yhteydessä muihin EU-politiikkoihin. Näin sillä voidaan vastata moninaisiin vaikeisiin haasteisiin ja saada unionin maatalousala ja maaseutualueet yltä</w:t>
      </w:r>
      <w:r>
        <w:rPr>
          <w:noProof/>
        </w:rPr>
        <w:t>mään parhaimpaansa samalla, kun painotetaan aiempaa enemmän tiukkoja vaatimuksia ja tosiasiallisia tuloksia, sekä tukea viljelijöitä tulevien haasteiden ja muutosten ennakoinnissa.</w:t>
      </w:r>
    </w:p>
    <w:p w:rsidR="00972C98" w:rsidRDefault="00C70C1C">
      <w:pPr>
        <w:pStyle w:val="Heading1"/>
        <w:keepLines/>
        <w:rPr>
          <w:noProof/>
        </w:rPr>
      </w:pPr>
      <w:bookmarkStart w:id="4" w:name="_Toc499285559"/>
      <w:bookmarkStart w:id="5" w:name="_Toc499653917"/>
      <w:r>
        <w:rPr>
          <w:noProof/>
        </w:rPr>
        <w:t>Kohti uutta täytäntöönpanomallia ja yksinkertaisempaa yhteistä maatalouspol</w:t>
      </w:r>
      <w:r>
        <w:rPr>
          <w:noProof/>
        </w:rPr>
        <w:t>itiikkaa</w:t>
      </w:r>
      <w:bookmarkEnd w:id="4"/>
      <w:bookmarkEnd w:id="5"/>
    </w:p>
    <w:p w:rsidR="00972C98" w:rsidRDefault="00C70C1C">
      <w:pPr>
        <w:keepLines/>
        <w:rPr>
          <w:noProof/>
          <w:szCs w:val="24"/>
        </w:rPr>
      </w:pPr>
      <w:r>
        <w:rPr>
          <w:noProof/>
        </w:rPr>
        <w:t>Yhteistä maatalouspolitiikkaa on kehitettävä eri tavoin ja on terävöitettävä sen kykyä vastata haasteisiin ja mahdollisuuksiin sellaisina kuin ne ilmenevät EU:n tasolla, kansallisella, alueellisella ja paikallisella tasolla ja tilatasolla. Tältä o</w:t>
      </w:r>
      <w:r>
        <w:rPr>
          <w:noProof/>
        </w:rPr>
        <w:t>sin on myös sujuvoitettava yhteisen maatalouspolitiikan hallinnointia, parannettava sen kykyä edistää EU:n tavoitteita ja vähennettävä merkittävästi politiikkaan liittyvää byrokratiaa ja hallinnollista rasitetta.</w:t>
      </w:r>
    </w:p>
    <w:p w:rsidR="00972C98" w:rsidRDefault="00C70C1C">
      <w:pPr>
        <w:keepLines/>
        <w:rPr>
          <w:noProof/>
          <w:szCs w:val="24"/>
        </w:rPr>
      </w:pPr>
      <w:r>
        <w:rPr>
          <w:noProof/>
        </w:rPr>
        <w:t>Yhteisen maatalouspolitiikan täytäntöönpano</w:t>
      </w:r>
      <w:r>
        <w:rPr>
          <w:noProof/>
        </w:rPr>
        <w:t>järjestelmä nojaa koko EU:n kattaviin yksityiskohtaisiin vaatimuksiin, ja sille ovat tyypillisiä tiukat valvonta-, seuraamus- ja tarkastusjärjestelyt. Säännöt ovat usein hyvin sitovia, aina tilatasolle asti. Unionin hyvin erilaisissa viljely- ja ilmasto-ol</w:t>
      </w:r>
      <w:r>
        <w:rPr>
          <w:noProof/>
        </w:rPr>
        <w:t>oissa eivät ’ylhäältä alas’- ja ’yksi sopii kaikille’ -lähestymistavat kuitenkaan sovellu tuottamaan toivottuja tuloksia ja EU-tason lisäarvoa.</w:t>
      </w:r>
    </w:p>
    <w:p w:rsidR="00972C98" w:rsidRDefault="00C70C1C">
      <w:pPr>
        <w:keepLines/>
        <w:rPr>
          <w:noProof/>
          <w:szCs w:val="24"/>
        </w:rPr>
      </w:pPr>
      <w:r>
        <w:rPr>
          <w:noProof/>
        </w:rPr>
        <w:t xml:space="preserve">Tulevan yhteisen maatalouspolitiikan täytäntöönpanomallissa </w:t>
      </w:r>
      <w:r>
        <w:rPr>
          <w:b/>
          <w:noProof/>
        </w:rPr>
        <w:t>unionin olisi vahvistettava politiikan perusparametr</w:t>
      </w:r>
      <w:r>
        <w:rPr>
          <w:b/>
          <w:noProof/>
        </w:rPr>
        <w:t>it</w:t>
      </w:r>
      <w:r>
        <w:rPr>
          <w:noProof/>
        </w:rPr>
        <w:t xml:space="preserve"> (yhteisen maatalouspolitiikan tavoitteet, toimenpiteiden päätyypit, perusvaatimukset), kun taas </w:t>
      </w:r>
      <w:r>
        <w:rPr>
          <w:b/>
          <w:noProof/>
        </w:rPr>
        <w:t>jäsenvaltioiden olisi kannettava nykyistä enemmän vastuuta</w:t>
      </w:r>
      <w:r>
        <w:rPr>
          <w:noProof/>
        </w:rPr>
        <w:t xml:space="preserve"> siitä, kuinka </w:t>
      </w:r>
      <w:r>
        <w:rPr>
          <w:b/>
          <w:noProof/>
        </w:rPr>
        <w:t>ne edistävät yhteisen maatalouspolitiikan tavoitteita ja saavuttavat sovitut päämäär</w:t>
      </w:r>
      <w:r>
        <w:rPr>
          <w:b/>
          <w:noProof/>
        </w:rPr>
        <w:t>ät</w:t>
      </w:r>
      <w:r>
        <w:rPr>
          <w:noProof/>
        </w:rPr>
        <w:t>.</w:t>
      </w:r>
      <w:r>
        <w:rPr>
          <w:b/>
          <w:noProof/>
        </w:rPr>
        <w:t xml:space="preserve"> </w:t>
      </w:r>
      <w:r>
        <w:rPr>
          <w:noProof/>
        </w:rPr>
        <w:t>Yhteisen maatalouspolitiikan tavoitteiden on vastattava EU:n perussopimuksen tavoitteita mutta myös jo sovittuja, esimerkiksi ympäristöä ja ilmastoa (COP 21) koskevia tavoitteita ja päämääriä sekä joitakin kestävän kehityksen tavoitteita. Yhteisen maat</w:t>
      </w:r>
      <w:r>
        <w:rPr>
          <w:noProof/>
        </w:rPr>
        <w:t>alouspolitiikan strategisia suunnitelmia laatiessaan jäsenvaltiot ottavat huomioon omat hyväksytyt, EU:n ympäristö- ja ilmastolainsäädäntöön ja -toimintaperiaatteisiin</w:t>
      </w:r>
      <w:r>
        <w:rPr>
          <w:rStyle w:val="FootnoteReference"/>
          <w:noProof/>
          <w:shd w:val="clear" w:color="auto" w:fill="FFFFFF"/>
        </w:rPr>
        <w:footnoteReference w:id="10"/>
      </w:r>
      <w:r>
        <w:rPr>
          <w:noProof/>
        </w:rPr>
        <w:t xml:space="preserve"> perustuvat suunnitteluvälineensä. Samaan aikaan jäsenvaltioiden vastuulla olisi järjest</w:t>
      </w:r>
      <w:r>
        <w:rPr>
          <w:noProof/>
        </w:rPr>
        <w:t>ää tulosten uskottava seuranta ja raportointi varmistukseksi talousarviota varten.</w:t>
      </w:r>
    </w:p>
    <w:p w:rsidR="00972C98" w:rsidRDefault="00C70C1C">
      <w:pPr>
        <w:keepLines/>
        <w:rPr>
          <w:noProof/>
          <w:szCs w:val="24"/>
        </w:rPr>
      </w:pPr>
      <w:r>
        <w:rPr>
          <w:noProof/>
        </w:rPr>
        <w:t>Nojautumalla enemmän toissijaisuusperiaatteeseen olisi mahdollista ottaa paremmin huomioon paikalliset olosuhteet ja tarpeet kyseisten tavoitteiden ja päämäärien yhteydessä. Jäsenvaltioiden vastuulla olisi mukauttaa yhteisen maatalouspolitiikan toimenpitei</w:t>
      </w:r>
      <w:r>
        <w:rPr>
          <w:noProof/>
        </w:rPr>
        <w:t>tä siten, että ne pystyvät edistämään EU:n tavoitteiden toteutumista mahdollisimman suurella panoksella. Samalla, kun säilytettäisiin nykyiset hallintorakenteet (joilla on edelleen voitava varmistaa seuranta ja toteutuminen politiikan kaikkien tavoitteiden</w:t>
      </w:r>
      <w:r>
        <w:rPr>
          <w:noProof/>
        </w:rPr>
        <w:t xml:space="preserve"> osalta), jäsenvaltioilla olisi myös </w:t>
      </w:r>
      <w:r>
        <w:rPr>
          <w:b/>
          <w:noProof/>
        </w:rPr>
        <w:t>enemmän sananvaltaa</w:t>
      </w:r>
      <w:r>
        <w:rPr>
          <w:noProof/>
        </w:rPr>
        <w:t xml:space="preserve"> tuensaajiin sovellettavan </w:t>
      </w:r>
      <w:r>
        <w:rPr>
          <w:b/>
          <w:noProof/>
        </w:rPr>
        <w:t>vaatimustenmukaisuus- ja valvontakehyksen suunnittelussa</w:t>
      </w:r>
      <w:r>
        <w:rPr>
          <w:noProof/>
        </w:rPr>
        <w:t xml:space="preserve"> (ml. tarkastukset ja seuraamukset).</w:t>
      </w:r>
    </w:p>
    <w:p w:rsidR="00972C98" w:rsidRDefault="00C70C1C">
      <w:pPr>
        <w:keepLines/>
        <w:rPr>
          <w:noProof/>
          <w:szCs w:val="24"/>
        </w:rPr>
      </w:pPr>
      <w:r>
        <w:rPr>
          <w:noProof/>
        </w:rPr>
        <w:t>EU-tason lisäarvon kasvattamiseksi ja toimivien maatalouden sisämarkkinoiden säi</w:t>
      </w:r>
      <w:r>
        <w:rPr>
          <w:noProof/>
        </w:rPr>
        <w:t xml:space="preserve">lyttämiseksi jäsenvaltioiden ei pitäisi tehdä päätöksiään erikseen vaan ne olisi tehtävä osana jäsenneltyä menettelyä, joka luotaisiin laatimalla </w:t>
      </w:r>
      <w:r>
        <w:rPr>
          <w:b/>
          <w:noProof/>
        </w:rPr>
        <w:t>yhteisen maatalouspolitiikan strateginen suunnitelma</w:t>
      </w:r>
      <w:r>
        <w:rPr>
          <w:noProof/>
        </w:rPr>
        <w:t>. Se kattaisi sekä ensimmäisen että toisen pilarin toimenp</w:t>
      </w:r>
      <w:r>
        <w:rPr>
          <w:noProof/>
        </w:rPr>
        <w:t>iteet ja varmistaisi näin, että politiikka on johdonmukaista koko tulevan yhteisen maatalouspolitiikan osalta sekä suhteessa muihin politiikkoihin. Siten täytäntöönpanomalli takaisi edelleen tasavertaiset toimintaolosuhteet, koska siinä säilyisivät politii</w:t>
      </w:r>
      <w:r>
        <w:rPr>
          <w:noProof/>
        </w:rPr>
        <w:t>kan yleinen luonne ja sen kaksi pilaria. Komissio arvioisi ja hyväksyisi kyseiset suunnitelmat pyrkien maksimoimaan sen, kuinka yhteisellä maatalouspolitiikalla edistetään EU:n painopisteitä ja tavoitteita ja kuinka jäsenvaltiot saavuttavat ilmasto- ja ene</w:t>
      </w:r>
      <w:r>
        <w:rPr>
          <w:noProof/>
        </w:rPr>
        <w:t>rgiatavoitteensa. Tämä on tärkeää sen varmistamiseksi, että jäsenvaltiot soveltavat ympäristö- ja ilmastotavoitteiden toteuttamiseen yhteistä lähestymistapaa. Suurempi kunnianhimo on tältä osin ainoa mahdollinen vaihtoehto.</w:t>
      </w:r>
    </w:p>
    <w:p w:rsidR="00972C98" w:rsidRDefault="00C70C1C">
      <w:pPr>
        <w:keepLines/>
        <w:rPr>
          <w:noProof/>
          <w:szCs w:val="24"/>
        </w:rPr>
      </w:pPr>
      <w:r>
        <w:rPr>
          <w:noProof/>
        </w:rPr>
        <w:t>Suunnittelumenettely olisi laadi</w:t>
      </w:r>
      <w:r>
        <w:rPr>
          <w:noProof/>
        </w:rPr>
        <w:t>ttava paljon yksinkertaisemmaksi, ja sen olisi jäätävä mutkikkuudessa kauas nykyisestä maaseudun kehittämisen ohjelmasuunnittelusta. Tämä tarkoittaa etenkin vaatimustenmukaisuuteen liittyvien sitovien seikkojen, kuten toimenpiteitä koskevien yksityiskohtie</w:t>
      </w:r>
      <w:r>
        <w:rPr>
          <w:noProof/>
        </w:rPr>
        <w:t>n ja tukikelpoisuussääntöjen poistamista EU:n lainsäädännöstä. Tällainen yksinkertaistus suosisi yhdennettyjä ja innovatiivisia toimintamalleja ja tekisi politiikkakehyksestä mukautuvaisemman ja suotuisamman innovoinnille.</w:t>
      </w:r>
    </w:p>
    <w:p w:rsidR="00972C98" w:rsidRDefault="00C70C1C">
      <w:pPr>
        <w:keepLines/>
        <w:rPr>
          <w:noProof/>
          <w:szCs w:val="24"/>
        </w:rPr>
      </w:pPr>
      <w:r>
        <w:rPr>
          <w:noProof/>
        </w:rPr>
        <w:t>Edellä sanottu tarkoittaa, että y</w:t>
      </w:r>
      <w:r>
        <w:rPr>
          <w:noProof/>
        </w:rPr>
        <w:t>hteisessä maatalouspolitiikassa ja jäsenvaltioiden suunnitelmissa olisi keskityttävä ennen kaikkea tavoitteisiin ja odotettuihin tuloksiin, jolloin jäsenvaltioilla ja alueilla olisi riittävästi liikkumavaraa käsitellä omia erityistilanteitaan. Tuloksiin ke</w:t>
      </w:r>
      <w:r>
        <w:rPr>
          <w:noProof/>
        </w:rPr>
        <w:t xml:space="preserve">skittyvää talousarviota koskevan komission lähestymistavan mukaisesti </w:t>
      </w:r>
      <w:r>
        <w:rPr>
          <w:b/>
          <w:noProof/>
        </w:rPr>
        <w:t>tulevan täytäntöönpanojärjestelmän</w:t>
      </w:r>
      <w:r>
        <w:rPr>
          <w:noProof/>
        </w:rPr>
        <w:t xml:space="preserve"> olisi näin ollen </w:t>
      </w:r>
      <w:r>
        <w:rPr>
          <w:b/>
          <w:noProof/>
        </w:rPr>
        <w:t>suuntauduttava enemmän tuloksiin</w:t>
      </w:r>
      <w:r>
        <w:rPr>
          <w:noProof/>
        </w:rPr>
        <w:t xml:space="preserve">, siinä olisi vahvistettava </w:t>
      </w:r>
      <w:r>
        <w:rPr>
          <w:b/>
          <w:noProof/>
        </w:rPr>
        <w:t>toissijaisuusperiaatetta</w:t>
      </w:r>
      <w:r>
        <w:rPr>
          <w:noProof/>
        </w:rPr>
        <w:t xml:space="preserve"> antamalla jäsenvaltioille suurempi rooli yhteisen</w:t>
      </w:r>
      <w:r>
        <w:rPr>
          <w:noProof/>
        </w:rPr>
        <w:t xml:space="preserve"> maatalouspolitiikan ohjelmien kehittämisessä, sillä olisi pyrittävä saavuttamaan </w:t>
      </w:r>
      <w:r>
        <w:rPr>
          <w:b/>
          <w:noProof/>
        </w:rPr>
        <w:t>sovitut realistiset ja asianmukaiset tavoitteet</w:t>
      </w:r>
      <w:r>
        <w:rPr>
          <w:noProof/>
        </w:rPr>
        <w:t xml:space="preserve"> ja sen ansiosta olisi voitava vähentää tuensaajiin kohdistuvaa </w:t>
      </w:r>
      <w:r>
        <w:rPr>
          <w:b/>
          <w:noProof/>
        </w:rPr>
        <w:t>EU:hun liittyvää hallinnollista rasitetta</w:t>
      </w:r>
      <w:r>
        <w:rPr>
          <w:noProof/>
        </w:rPr>
        <w:t>. Tässä yhteydessä yks</w:t>
      </w:r>
      <w:r>
        <w:rPr>
          <w:noProof/>
        </w:rPr>
        <w:t>inkertaistetut kustannusvaihtoehdot ja nykyaikaiset teknologiat tarjoavat valtavasti mahdollisuuksia vähentää kyseistä rasitetta, erityisesti tarkastusten osalta. Sekä viljelijöiden että kansalaisten olisi voitava käyttää hyödykseen tällaista uutta kehitys</w:t>
      </w:r>
      <w:r>
        <w:rPr>
          <w:noProof/>
        </w:rPr>
        <w:t>tä, johon liittyy sitovia sääntöjä aikaisempaa vähemmän.</w:t>
      </w:r>
    </w:p>
    <w:p w:rsidR="00972C98" w:rsidRDefault="00C70C1C">
      <w:pPr>
        <w:keepLines/>
        <w:rPr>
          <w:noProof/>
          <w:szCs w:val="24"/>
        </w:rPr>
      </w:pPr>
      <w:r>
        <w:rPr>
          <w:noProof/>
        </w:rPr>
        <w:t>Tällä tavoin yhteisen maatalouspolitiikan järjestelmässä olisi oltava mahdollista kohdentaa toimenpiteitä selkeästi määriteltyjä taloudellisia, sosiaalisia ja ympäristöä koskevia tavoitteita varten j</w:t>
      </w:r>
      <w:r>
        <w:rPr>
          <w:noProof/>
        </w:rPr>
        <w:t>a samalla ottaa huomioon asianomaisten alueiden tarpeet ja pyrkimykset, Cork 2.0 -julistuksen mukaisesti.</w:t>
      </w:r>
    </w:p>
    <w:p w:rsidR="00972C98" w:rsidRDefault="00C70C1C">
      <w:pPr>
        <w:keepLines/>
        <w:rPr>
          <w:noProof/>
          <w:szCs w:val="24"/>
        </w:rPr>
      </w:pPr>
      <w:r>
        <w:rPr>
          <w:noProof/>
        </w:rPr>
        <w:t>Toisena komission keskeisenä tehtävänä olisi tietenkin valvoa tulosten syntymistä sekä EU:n perussääntöjen ja kansainvälisten sitoumusten noudattamist</w:t>
      </w:r>
      <w:r>
        <w:rPr>
          <w:noProof/>
        </w:rPr>
        <w:t>a hyvin suunnitellun tarkastus- ja varmistusjärjestelmän puitteissa. Tätä varten varmistusprosessi olisi mukautettava tuloksiin suuntautuneen politiikkamallin vaatimuksiin, mihin kuuluu luotettavien ja mitattavissa olevien indikaattorien sekä uskottavan tu</w:t>
      </w:r>
      <w:r>
        <w:rPr>
          <w:noProof/>
        </w:rPr>
        <w:t>losseurannan ja -raportoinnin kehittäminen ja soveltaminen.</w:t>
      </w:r>
    </w:p>
    <w:p w:rsidR="00972C98" w:rsidRDefault="00C70C1C">
      <w:pPr>
        <w:pStyle w:val="Heading1"/>
        <w:keepLines/>
        <w:rPr>
          <w:noProof/>
        </w:rPr>
      </w:pPr>
      <w:bookmarkStart w:id="6" w:name="_Toc499285560"/>
      <w:bookmarkStart w:id="7" w:name="_Toc499653918"/>
      <w:r>
        <w:rPr>
          <w:noProof/>
        </w:rPr>
        <w:t>Älykkäämpi, nykyaikainen ja kestävä yhteinen maatalouspolitiikka</w:t>
      </w:r>
      <w:bookmarkEnd w:id="6"/>
      <w:bookmarkEnd w:id="7"/>
    </w:p>
    <w:p w:rsidR="00972C98" w:rsidRDefault="00C70C1C">
      <w:pPr>
        <w:keepLines/>
        <w:rPr>
          <w:noProof/>
        </w:rPr>
      </w:pPr>
      <w:r>
        <w:rPr>
          <w:noProof/>
        </w:rPr>
        <w:t>Euroopan kansalaisilla olisi jatkossakin oltava mahdollisuus saada turvallista, hyvälaatuista, kohtuuhintaista, ravitsevaa ja monip</w:t>
      </w:r>
      <w:r>
        <w:rPr>
          <w:noProof/>
        </w:rPr>
        <w:t>uolista ruokaa. Tapa, jolla ruoka on tuotettu ja pidetty kaupan, olisi mukautettava kansalaisten odotuksiin, erityisesti niiden, jotka koskevat terveyteen kohdistuvia vaikutuksia, ympäristöä ja ilmastoa. Tämän varmistamiseksi ja kun otetaan huomioon maailm</w:t>
      </w:r>
      <w:r>
        <w:rPr>
          <w:noProof/>
        </w:rPr>
        <w:t>an kasvava väestö, suurentunut ympäristöpaine ja ilmastonmuutos, yhteisen maatalouspolitiikan on kehityttävä jatkuvasti, säilyttävä markkinasuuntautuneena ja tuettava edelleen EU:n perheviljelmämallia unionin kaikilla alueilla. Yhteisellä maatalouspolitiik</w:t>
      </w:r>
      <w:r>
        <w:rPr>
          <w:noProof/>
        </w:rPr>
        <w:t>alla on myös tuettava ponnisteluja EU:hun suuntautuvan muuttoliikkeen perussyiden ratkaisemiseksi, ja sen on sovittava yhteen näiden ponnistelujen kanssa.</w:t>
      </w:r>
    </w:p>
    <w:p w:rsidR="00972C98" w:rsidRDefault="00C70C1C">
      <w:pPr>
        <w:keepLines/>
        <w:rPr>
          <w:noProof/>
        </w:rPr>
      </w:pPr>
      <w:r>
        <w:rPr>
          <w:noProof/>
          <w:lang w:val="en-GB" w:eastAsia="en-GB" w:bidi="ar-SA"/>
        </w:rPr>
        <w:drawing>
          <wp:inline distT="0" distB="0" distL="0" distR="0">
            <wp:extent cx="5467350" cy="3829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7350" cy="3829050"/>
                    </a:xfrm>
                    <a:prstGeom prst="rect">
                      <a:avLst/>
                    </a:prstGeom>
                    <a:noFill/>
                    <a:ln>
                      <a:noFill/>
                    </a:ln>
                  </pic:spPr>
                </pic:pic>
              </a:graphicData>
            </a:graphic>
          </wp:inline>
        </w:drawing>
      </w:r>
    </w:p>
    <w:p w:rsidR="00972C98" w:rsidRDefault="00C70C1C">
      <w:pPr>
        <w:pStyle w:val="Caption"/>
        <w:keepLines/>
        <w:rPr>
          <w:noProof/>
        </w:rPr>
      </w:pPr>
      <w:r>
        <w:rPr>
          <w:noProof/>
        </w:rPr>
        <w:t xml:space="preserve">Kuva </w:t>
      </w:r>
      <w:r>
        <w:rPr>
          <w:noProof/>
        </w:rPr>
        <w:fldChar w:fldCharType="begin"/>
      </w:r>
      <w:r>
        <w:rPr>
          <w:noProof/>
        </w:rPr>
        <w:instrText xml:space="preserve"> SEQ Figure \* ARABIC </w:instrText>
      </w:r>
      <w:r>
        <w:rPr>
          <w:noProof/>
        </w:rPr>
        <w:fldChar w:fldCharType="separate"/>
      </w:r>
      <w:r>
        <w:rPr>
          <w:noProof/>
        </w:rPr>
        <w:t>4</w:t>
      </w:r>
      <w:r>
        <w:rPr>
          <w:noProof/>
        </w:rPr>
        <w:fldChar w:fldCharType="end"/>
      </w:r>
    </w:p>
    <w:p w:rsidR="00972C98" w:rsidRDefault="00C70C1C">
      <w:pPr>
        <w:keepLines/>
        <w:rPr>
          <w:noProof/>
        </w:rPr>
      </w:pPr>
      <w:r>
        <w:rPr>
          <w:noProof/>
        </w:rPr>
        <w:t xml:space="preserve">Edellä mainitut tavoitteet voidaan saavuttaa tukeutumalla </w:t>
      </w:r>
      <w:r>
        <w:rPr>
          <w:noProof/>
        </w:rPr>
        <w:t>tuloksiin, joita yhteisellä maatalouspolitiikalla on jo sen tavoitteiden kautta saavutettu uudessa talous-, ilmasto-, ympäristö-, yhteiskunta-, teknologia-, teollisuus- ja politiikkakontekstissa. Seuraavassa jaksossa esitetään tulevan yhteisen maatalouspol</w:t>
      </w:r>
      <w:r>
        <w:rPr>
          <w:noProof/>
        </w:rPr>
        <w:t>itiikan keskeiset tavoitteet:</w:t>
      </w:r>
    </w:p>
    <w:p w:rsidR="00972C98" w:rsidRDefault="00C70C1C">
      <w:pPr>
        <w:pStyle w:val="ListParagraph"/>
        <w:keepLines/>
        <w:numPr>
          <w:ilvl w:val="0"/>
          <w:numId w:val="29"/>
        </w:numPr>
        <w:spacing w:after="0"/>
        <w:rPr>
          <w:rFonts w:ascii="Times New Roman" w:hAnsi="Times New Roman" w:cs="Times New Roman"/>
          <w:noProof/>
          <w:sz w:val="24"/>
          <w:szCs w:val="24"/>
        </w:rPr>
      </w:pPr>
      <w:r>
        <w:rPr>
          <w:rFonts w:ascii="Times New Roman" w:hAnsi="Times New Roman"/>
          <w:noProof/>
          <w:sz w:val="24"/>
        </w:rPr>
        <w:t>tuetaan älykästä ja ilmastonkestävää maatalousalaa;</w:t>
      </w:r>
    </w:p>
    <w:p w:rsidR="00972C98" w:rsidRDefault="00C70C1C">
      <w:pPr>
        <w:pStyle w:val="ListParagraph"/>
        <w:keepLines/>
        <w:numPr>
          <w:ilvl w:val="0"/>
          <w:numId w:val="29"/>
        </w:numPr>
        <w:spacing w:after="0"/>
        <w:rPr>
          <w:rFonts w:ascii="Times New Roman" w:hAnsi="Times New Roman" w:cs="Times New Roman"/>
          <w:noProof/>
          <w:sz w:val="24"/>
          <w:szCs w:val="24"/>
        </w:rPr>
      </w:pPr>
      <w:r>
        <w:rPr>
          <w:rFonts w:ascii="Times New Roman" w:hAnsi="Times New Roman"/>
          <w:noProof/>
          <w:sz w:val="24"/>
        </w:rPr>
        <w:t>tuetaan ympäristönhoitoa ja ilmastotoimia ja edistetään EU:n ympäristö- ja ilmastotavoitteita;</w:t>
      </w:r>
    </w:p>
    <w:p w:rsidR="00972C98" w:rsidRDefault="00C70C1C">
      <w:pPr>
        <w:pStyle w:val="ListParagraph"/>
        <w:keepLines/>
        <w:numPr>
          <w:ilvl w:val="0"/>
          <w:numId w:val="29"/>
        </w:numPr>
        <w:spacing w:after="0"/>
        <w:rPr>
          <w:rFonts w:ascii="Times New Roman" w:hAnsi="Times New Roman" w:cs="Times New Roman"/>
          <w:noProof/>
          <w:sz w:val="24"/>
          <w:szCs w:val="24"/>
        </w:rPr>
      </w:pPr>
      <w:r>
        <w:rPr>
          <w:rFonts w:ascii="Times New Roman" w:hAnsi="Times New Roman"/>
          <w:noProof/>
          <w:sz w:val="24"/>
        </w:rPr>
        <w:t>lujitetaan maaseutualueiden sosioekonomista rakennetta.</w:t>
      </w:r>
    </w:p>
    <w:p w:rsidR="00972C98" w:rsidRDefault="00972C98">
      <w:pPr>
        <w:keepLines/>
        <w:spacing w:after="0"/>
        <w:rPr>
          <w:noProof/>
          <w:szCs w:val="24"/>
        </w:rPr>
      </w:pPr>
    </w:p>
    <w:p w:rsidR="00972C98" w:rsidRDefault="00C70C1C">
      <w:pPr>
        <w:keepLines/>
        <w:rPr>
          <w:noProof/>
        </w:rPr>
      </w:pPr>
      <w:r>
        <w:rPr>
          <w:noProof/>
        </w:rPr>
        <w:t>Mainittujen tavoitteid</w:t>
      </w:r>
      <w:r>
        <w:rPr>
          <w:noProof/>
        </w:rPr>
        <w:t>en toteutumiseksi maatalousala ja EU:n maaseutualueet on nivottava tiiviimmin inhimillisen pääoman kehittämiseen ja tutkimukseen. Innovoinnin tukea on lisättävä.</w:t>
      </w:r>
    </w:p>
    <w:p w:rsidR="00972C98" w:rsidRDefault="00C70C1C">
      <w:pPr>
        <w:keepLines/>
        <w:rPr>
          <w:noProof/>
        </w:rPr>
      </w:pPr>
      <w:r>
        <w:rPr>
          <w:noProof/>
        </w:rPr>
        <w:t>Tulevan yhteisen maatalouspolitiikan on myös edelleen keskityttävä yhteiskunnan odotuksiin kes</w:t>
      </w:r>
      <w:r>
        <w:rPr>
          <w:noProof/>
        </w:rPr>
        <w:t>tävästä ruoantuotannosta, erityisesti elintarvikkeiden turvallisuuden, elintarvikkeiden laadun sekä ympäristöä ja eläinten hyvinvointia koskevia normien osalta.</w:t>
      </w:r>
    </w:p>
    <w:p w:rsidR="00972C98" w:rsidRDefault="00C70C1C">
      <w:pPr>
        <w:pStyle w:val="Heading2"/>
        <w:keepLines/>
        <w:rPr>
          <w:noProof/>
        </w:rPr>
      </w:pPr>
      <w:bookmarkStart w:id="8" w:name="_Toc499285561"/>
      <w:bookmarkStart w:id="9" w:name="_Toc499653919"/>
      <w:r>
        <w:rPr>
          <w:noProof/>
        </w:rPr>
        <w:t>Käytetään tutkimusta ja innovointia liittämään yhteen se, minkä tiedämme, ja se, mitä viljelemm</w:t>
      </w:r>
      <w:r>
        <w:rPr>
          <w:noProof/>
        </w:rPr>
        <w:t>e</w:t>
      </w:r>
      <w:bookmarkEnd w:id="8"/>
      <w:bookmarkEnd w:id="9"/>
    </w:p>
    <w:p w:rsidR="00972C98" w:rsidRDefault="00C70C1C">
      <w:pPr>
        <w:keepLines/>
        <w:rPr>
          <w:noProof/>
          <w:szCs w:val="24"/>
        </w:rPr>
      </w:pPr>
      <w:r>
        <w:rPr>
          <w:noProof/>
        </w:rPr>
        <w:t>Eri alojen innovaatiot (maanviljelyn luontoon perustuvat ratkaisut, eläinten kasvatus, vertikaalinen viljely, kotieläinjalostus ja biologiset, teknologiset, digitaaliset, organisatoriset ja tuotteisiin liittyvät ratkaisut) ovat saatavilla ja voivat palve</w:t>
      </w:r>
      <w:r>
        <w:rPr>
          <w:noProof/>
        </w:rPr>
        <w:t>lla EU:n maatalous- ja elintarvikejärjestelmien monitoiminnallisuutta. Tutkimus ja innovointi ovat osa edistyksen perustaa kaikissa EU:n maatalousalan ja maaseutualueiden haasteissa, olivatpa ne taloudellisia, ympäristöön liittyviä tai sosiaalisia. Maaseut</w:t>
      </w:r>
      <w:r>
        <w:rPr>
          <w:noProof/>
        </w:rPr>
        <w:t xml:space="preserve">ualueiden tarpeet ja panostus olisi otettava selkeästi huomioon EU:n tutkimusagendalla, ja </w:t>
      </w:r>
      <w:r>
        <w:rPr>
          <w:b/>
          <w:noProof/>
        </w:rPr>
        <w:t>innovoinnin edistämiseksi</w:t>
      </w:r>
      <w:r>
        <w:rPr>
          <w:noProof/>
        </w:rPr>
        <w:t xml:space="preserve"> uudella yhteisellä maatalouspolitiikalla on luotava uusia </w:t>
      </w:r>
      <w:r>
        <w:rPr>
          <w:b/>
          <w:noProof/>
        </w:rPr>
        <w:t>synergioita tutkimus- ja innovointipolitiikan kanssa</w:t>
      </w:r>
      <w:r>
        <w:rPr>
          <w:noProof/>
        </w:rPr>
        <w:t>.</w:t>
      </w:r>
    </w:p>
    <w:p w:rsidR="00972C98" w:rsidRDefault="00C70C1C">
      <w:pPr>
        <w:keepLines/>
        <w:rPr>
          <w:noProof/>
          <w:szCs w:val="24"/>
        </w:rPr>
      </w:pPr>
      <w:r>
        <w:rPr>
          <w:b/>
          <w:noProof/>
        </w:rPr>
        <w:t>Tekniikan kehitys ja digita</w:t>
      </w:r>
      <w:r>
        <w:rPr>
          <w:b/>
          <w:noProof/>
        </w:rPr>
        <w:t>lisaatio</w:t>
      </w:r>
      <w:r>
        <w:rPr>
          <w:noProof/>
        </w:rPr>
        <w:t xml:space="preserve"> tekevät mahdollisiksi pitkät harppaukset resurssitehokkuudessa vieden eteenpäin ympäristön ja ilmaston suhteen älykästä maataloutta, joka vähentää maatalouden ympäristö- ja ilmastovaikutuksia, lisää ilmastonkestävyyttä ja maaperän terveyttä ja väh</w:t>
      </w:r>
      <w:r>
        <w:rPr>
          <w:noProof/>
        </w:rPr>
        <w:t>entää viljelijöille aiheutuvia kustannuksia. Uuden teknologian omaksuminen maataloudessa ei kuitenkaan vielä vastaa odotuksia, ja erityisesti on ratkaistava teknologian saatavuuden ongelma pienillä ja keskisuurilla tiloilla.</w:t>
      </w:r>
    </w:p>
    <w:p w:rsidR="00972C98" w:rsidRDefault="00C70C1C">
      <w:pPr>
        <w:keepLines/>
        <w:rPr>
          <w:noProof/>
          <w:szCs w:val="24"/>
        </w:rPr>
      </w:pPr>
      <w:r>
        <w:rPr>
          <w:noProof/>
        </w:rPr>
        <w:t xml:space="preserve">Ei pelkästään teknologian vaan </w:t>
      </w:r>
      <w:r>
        <w:rPr>
          <w:noProof/>
        </w:rPr>
        <w:t xml:space="preserve">myös </w:t>
      </w:r>
      <w:r>
        <w:rPr>
          <w:b/>
          <w:noProof/>
        </w:rPr>
        <w:t>luotettavan, relevantin ja uuden tiedon saatavuus on hyvin epätasaista eri puolilla unionia</w:t>
      </w:r>
      <w:r>
        <w:rPr>
          <w:noProof/>
        </w:rPr>
        <w:t>.</w:t>
      </w:r>
      <w:r>
        <w:rPr>
          <w:b/>
          <w:noProof/>
        </w:rPr>
        <w:t xml:space="preserve"> </w:t>
      </w:r>
      <w:r>
        <w:rPr>
          <w:noProof/>
        </w:rPr>
        <w:t>Tämä heikentää tietyillä yhteisen maatalouspolitiikan välineillä saavutettavaa tulosta sekä maatalousalan kilpailukykyä ja kehittymismahdollisuuksia kokonaisu</w:t>
      </w:r>
      <w:r>
        <w:rPr>
          <w:noProof/>
        </w:rPr>
        <w:t>udessaan. Sitä vastoin yhteisen maatalouspolitiikan mahdollisuus lisätä tiedon liikkumista eri puolilla EU:ta olevien kumppanien välillä voi tuottaa merkittävää lisäarvoa, sillä sen ansiosta säästetään kustannuksissa, lisätään EU:n rahoituksen vaikutusta j</w:t>
      </w:r>
      <w:r>
        <w:rPr>
          <w:noProof/>
        </w:rPr>
        <w:t>a lisätään innovointia eri puolilla EU:ta.</w:t>
      </w:r>
    </w:p>
    <w:p w:rsidR="00972C98" w:rsidRDefault="00C70C1C">
      <w:pPr>
        <w:keepNext/>
        <w:keepLines/>
        <w:spacing w:after="0"/>
        <w:rPr>
          <w:noProof/>
        </w:rPr>
      </w:pPr>
      <w:r>
        <w:rPr>
          <w:noProof/>
        </w:rPr>
        <w:t xml:space="preserve"> </w:t>
      </w:r>
      <w:r>
        <w:rPr>
          <w:noProof/>
          <w:lang w:val="en-GB" w:eastAsia="en-GB" w:bidi="ar-SA"/>
        </w:rPr>
        <w:drawing>
          <wp:inline distT="0" distB="0" distL="0" distR="0">
            <wp:extent cx="5394960" cy="3809311"/>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95428" cy="3809641"/>
                    </a:xfrm>
                    <a:prstGeom prst="rect">
                      <a:avLst/>
                    </a:prstGeom>
                  </pic:spPr>
                </pic:pic>
              </a:graphicData>
            </a:graphic>
          </wp:inline>
        </w:drawing>
      </w:r>
    </w:p>
    <w:p w:rsidR="00972C98" w:rsidRDefault="00C70C1C">
      <w:pPr>
        <w:pStyle w:val="Caption"/>
        <w:keepLines/>
        <w:rPr>
          <w:noProof/>
          <w:szCs w:val="24"/>
        </w:rPr>
      </w:pPr>
      <w:r>
        <w:rPr>
          <w:noProof/>
        </w:rPr>
        <w:t xml:space="preserve">Kuva </w:t>
      </w:r>
      <w:r>
        <w:rPr>
          <w:noProof/>
        </w:rPr>
        <w:fldChar w:fldCharType="begin"/>
      </w:r>
      <w:r>
        <w:rPr>
          <w:noProof/>
        </w:rPr>
        <w:instrText xml:space="preserve"> SEQ Figure \* ARABIC </w:instrText>
      </w:r>
      <w:r>
        <w:rPr>
          <w:noProof/>
        </w:rPr>
        <w:fldChar w:fldCharType="separate"/>
      </w:r>
      <w:r>
        <w:rPr>
          <w:noProof/>
        </w:rPr>
        <w:t>5</w:t>
      </w:r>
      <w:r>
        <w:rPr>
          <w:noProof/>
        </w:rPr>
        <w:fldChar w:fldCharType="end"/>
      </w:r>
    </w:p>
    <w:p w:rsidR="00972C98" w:rsidRDefault="00C70C1C">
      <w:pPr>
        <w:keepLines/>
        <w:rPr>
          <w:noProof/>
          <w:szCs w:val="24"/>
        </w:rPr>
      </w:pPr>
      <w:r>
        <w:rPr>
          <w:b/>
          <w:noProof/>
        </w:rPr>
        <w:t>Tiedonvälityksen, innovoinnin ja teknologian tukeminen on tulevan yhteisen maatalouspolitiikan valmistelulle ratkaisevan tärkeää.</w:t>
      </w:r>
      <w:r>
        <w:rPr>
          <w:noProof/>
        </w:rPr>
        <w:t xml:space="preserve"> Taloudellisten, sosiaalisten tai ympäristönsuojelun tasoa koskevien tulosten parantamiseen sekä ilmastonmuutokseen sopeutumiseen ja sen hillitsemiseen tähtäävät ohjelmat yhdistetään neuvontapalveluihin, jotka tarjoavat tietoa, neuvontaa, osaamista ja inno</w:t>
      </w:r>
      <w:r>
        <w:rPr>
          <w:noProof/>
        </w:rPr>
        <w:t>vointia.</w:t>
      </w:r>
    </w:p>
    <w:p w:rsidR="00972C98" w:rsidRDefault="00C70C1C">
      <w:pPr>
        <w:keepLines/>
        <w:rPr>
          <w:noProof/>
          <w:szCs w:val="24"/>
        </w:rPr>
      </w:pPr>
      <w:r>
        <w:rPr>
          <w:noProof/>
        </w:rPr>
        <w:t>Maatalouden tuottavuutta ja kestävyyttä koskeva eurooppalainen innovaatiokumppanuus (EIP-AGRI) sekä vesialan eurooppalainen innovaatiokumppanuus ovat osoittaneet arvonsa maatalousalan kannustamisessa innovointiin. Kumppanuudella on rahoitettu mone</w:t>
      </w:r>
      <w:r>
        <w:rPr>
          <w:noProof/>
        </w:rPr>
        <w:t xml:space="preserve">n osanottajan pilottihankkeita, ja se verkostoituu parhaillaan eri puolilla Eurooppaa saattaakseen uuden tiedon yleisesti saataville. Menestys riippuu neuvojien, maatalouden koulutusjärjestelmien, tutkijoiden ja viljelijäjärjestöjen, joita usein kutsutaan </w:t>
      </w:r>
      <w:r>
        <w:rPr>
          <w:noProof/>
        </w:rPr>
        <w:t xml:space="preserve">yhteisesti </w:t>
      </w:r>
      <w:r>
        <w:rPr>
          <w:b/>
          <w:noProof/>
        </w:rPr>
        <w:t>maatalouden tieto- ja innovointijärjestelmäksi</w:t>
      </w:r>
      <w:r>
        <w:rPr>
          <w:noProof/>
        </w:rPr>
        <w:t xml:space="preserve"> (AKIS), kokonaissuorituksesta, ja tämä järjestelmä toimii hyvin eri tavoin eri jäsenvaltioissa. Maatalousneuvojien rooli on erityisen tärkeä. Nykyaikaisen yhteisen maatalouspolitiikan olisi tuettava</w:t>
      </w:r>
      <w:r>
        <w:rPr>
          <w:noProof/>
        </w:rPr>
        <w:t xml:space="preserve"> maatalouden neuvontapalvelujen kehittämistä AKIS-järjestelmien puitteissa. Tämä olisi asetettava edellytykseksi yhteisen maatalouspolitiikan strategisten suunnitelmien hyväksymiselle. Tätä olisi helpotettava lisäämällä tukea viljelijöiden vertaisvaihdolle</w:t>
      </w:r>
      <w:r>
        <w:rPr>
          <w:noProof/>
        </w:rPr>
        <w:t xml:space="preserve">, verkostoitumiselle ja yhteistyölle esimerkiksi </w:t>
      </w:r>
      <w:r>
        <w:rPr>
          <w:b/>
          <w:noProof/>
        </w:rPr>
        <w:t>tuottajaorganisaatioiden</w:t>
      </w:r>
      <w:r>
        <w:rPr>
          <w:noProof/>
        </w:rPr>
        <w:t xml:space="preserve"> kautta, sillä ne voivat olla viljelijöille tärkeitä säännöllisesti toimivia tietämyksen jaon, innovoinnin ja kustannussäästön välineitä.</w:t>
      </w:r>
    </w:p>
    <w:p w:rsidR="00972C98" w:rsidRDefault="00972C98">
      <w:pPr>
        <w:keepLines/>
        <w:rPr>
          <w:noProof/>
        </w:rPr>
      </w:pPr>
    </w:p>
    <w:p w:rsidR="00972C98" w:rsidRDefault="00C70C1C">
      <w:pPr>
        <w:pStyle w:val="Heading2"/>
        <w:keepLines/>
        <w:rPr>
          <w:noProof/>
        </w:rPr>
      </w:pPr>
      <w:bookmarkStart w:id="10" w:name="_Ref491779501"/>
      <w:bookmarkStart w:id="11" w:name="_Toc499285562"/>
      <w:bookmarkStart w:id="12" w:name="_Toc499653920"/>
      <w:r>
        <w:rPr>
          <w:noProof/>
        </w:rPr>
        <w:t>Tuetaan älykästä ja ilmastonkestävää maatalo</w:t>
      </w:r>
      <w:r>
        <w:rPr>
          <w:noProof/>
        </w:rPr>
        <w:t>usalaa</w:t>
      </w:r>
      <w:bookmarkEnd w:id="10"/>
      <w:bookmarkEnd w:id="11"/>
      <w:bookmarkEnd w:id="12"/>
    </w:p>
    <w:p w:rsidR="00972C98" w:rsidRDefault="00C70C1C">
      <w:pPr>
        <w:pStyle w:val="Heading3"/>
        <w:keepLines/>
        <w:rPr>
          <w:rFonts w:eastAsia="Calibri"/>
          <w:noProof/>
        </w:rPr>
      </w:pPr>
      <w:bookmarkStart w:id="13" w:name="_Toc499285563"/>
      <w:bookmarkStart w:id="14" w:name="_Toc499653921"/>
      <w:r>
        <w:rPr>
          <w:noProof/>
        </w:rPr>
        <w:t>Oikeudenmukainen tulotuki viljelijöiden toimeentulon turvaamiseksi</w:t>
      </w:r>
      <w:bookmarkEnd w:id="13"/>
      <w:bookmarkEnd w:id="14"/>
      <w:r>
        <w:rPr>
          <w:noProof/>
        </w:rPr>
        <w:t xml:space="preserve"> </w:t>
      </w:r>
    </w:p>
    <w:p w:rsidR="00972C98" w:rsidRDefault="00C70C1C">
      <w:pPr>
        <w:keepLines/>
        <w:rPr>
          <w:noProof/>
          <w:szCs w:val="24"/>
        </w:rPr>
      </w:pPr>
      <w:r>
        <w:rPr>
          <w:noProof/>
        </w:rPr>
        <w:t xml:space="preserve">Kuten </w:t>
      </w:r>
      <w:r>
        <w:rPr>
          <w:i/>
          <w:noProof/>
        </w:rPr>
        <w:t>EU:n tulevaa rahoitusta koskevassa pohdinta-asiakirjassa</w:t>
      </w:r>
      <w:r>
        <w:rPr>
          <w:noProof/>
        </w:rPr>
        <w:t xml:space="preserve"> korostetaan, suorat tuet kattavat osan maataloustulon ja muilla talouden aloilla saatavan tulon erotuksesta. Ne muodos</w:t>
      </w:r>
      <w:r>
        <w:rPr>
          <w:noProof/>
        </w:rPr>
        <w:t>tavat tulojen osalta tärkeän turvaverkon ja varmistavat maatalouden harjoittamisen unionin kaikissa osissa, myös luonnonhaitta-alueilla (jotka saavat tulotukea myös maaseudun kehittämispolitiikan puitteissa), erilaisin taloudellisin, ympäristöä koskevin ja</w:t>
      </w:r>
      <w:r>
        <w:rPr>
          <w:noProof/>
        </w:rPr>
        <w:t xml:space="preserve"> sosiaalisin etuuksin, joihin sisältyy myös julkishyödykkeiden tuottaminen. Sen vuoksi suorat tuet ovat jatkossakin olennainen osa yhteistä maatalouspolitiikkaa sille EU:n perussopimuksen mukaan kuuluvien velvoitteiden mukaisesti.</w:t>
      </w:r>
    </w:p>
    <w:p w:rsidR="00972C98" w:rsidRDefault="00C70C1C">
      <w:pPr>
        <w:keepNext/>
        <w:keepLines/>
        <w:rPr>
          <w:b/>
          <w:noProof/>
          <w:szCs w:val="24"/>
        </w:rPr>
      </w:pPr>
      <w:r>
        <w:rPr>
          <w:noProof/>
          <w:lang w:val="en-GB" w:eastAsia="en-GB" w:bidi="ar-SA"/>
        </w:rPr>
        <w:drawing>
          <wp:inline distT="0" distB="0" distL="0" distR="0">
            <wp:extent cx="5472430" cy="39834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2430" cy="3983408"/>
                    </a:xfrm>
                    <a:prstGeom prst="rect">
                      <a:avLst/>
                    </a:prstGeom>
                    <a:noFill/>
                    <a:ln>
                      <a:noFill/>
                    </a:ln>
                  </pic:spPr>
                </pic:pic>
              </a:graphicData>
            </a:graphic>
          </wp:inline>
        </w:drawing>
      </w:r>
      <w:r>
        <w:rPr>
          <w:noProof/>
        </w:rPr>
        <w:t xml:space="preserve">Kuva </w:t>
      </w:r>
      <w:r>
        <w:rPr>
          <w:b/>
          <w:noProof/>
        </w:rPr>
        <w:fldChar w:fldCharType="begin"/>
      </w:r>
      <w:r>
        <w:rPr>
          <w:b/>
          <w:noProof/>
        </w:rPr>
        <w:instrText xml:space="preserve"> SEQ Figure \* ARAB</w:instrText>
      </w:r>
      <w:r>
        <w:rPr>
          <w:b/>
          <w:noProof/>
        </w:rPr>
        <w:instrText xml:space="preserve">IC </w:instrText>
      </w:r>
      <w:r>
        <w:rPr>
          <w:b/>
          <w:noProof/>
        </w:rPr>
        <w:fldChar w:fldCharType="separate"/>
      </w:r>
      <w:r>
        <w:rPr>
          <w:b/>
          <w:noProof/>
        </w:rPr>
        <w:t>6</w:t>
      </w:r>
      <w:r>
        <w:rPr>
          <w:b/>
          <w:noProof/>
        </w:rPr>
        <w:fldChar w:fldCharType="end"/>
      </w:r>
    </w:p>
    <w:p w:rsidR="00972C98" w:rsidRDefault="00972C98">
      <w:pPr>
        <w:keepLines/>
        <w:rPr>
          <w:noProof/>
          <w:szCs w:val="24"/>
        </w:rPr>
      </w:pPr>
    </w:p>
    <w:p w:rsidR="00972C98" w:rsidRDefault="00C70C1C">
      <w:pPr>
        <w:keepLines/>
        <w:rPr>
          <w:noProof/>
          <w:szCs w:val="24"/>
        </w:rPr>
      </w:pPr>
      <w:r>
        <w:rPr>
          <w:noProof/>
        </w:rPr>
        <w:t>Vaikka suoriin tukiin maataloustulon vakauttajana suhtaudutaan yleisesti myönteisesti, se että 20 prosenttia viljelijöistä saa 80 prosenttia tuista kirvoittaa joskus syytöksiä epäoikeudenmukaisuudesta. Kyseiset luvut kuvastavat järjestelmää, jossa</w:t>
      </w:r>
      <w:r>
        <w:rPr>
          <w:noProof/>
        </w:rPr>
        <w:t xml:space="preserve"> tuet liittyvät viljelijöiden vähemmistölle keskittyneeseen maa-alaan. Puolet yhteisen maatalouspolitiikan mukaisen tuen saajista on hyvin pieniä tiloja ja puolet tuista menee keskisuurille ammattimaista maataloutta harjoittaville perheviljelmille, mutta o</w:t>
      </w:r>
      <w:r>
        <w:rPr>
          <w:noProof/>
        </w:rPr>
        <w:t>n totta, että tuen tasapainoisempaa jakautumista olisi edistettävä. Suorat tuet täyttävät tehtävänsä tehokkaammin ja vaikuttavammin, jos niitä yksinkertaistetaan ja ne kohdennetaan paremmin. Kaikissa muutoksissa olisi kuitenkin säilytettävä yksi politiikan</w:t>
      </w:r>
      <w:r>
        <w:rPr>
          <w:noProof/>
        </w:rPr>
        <w:t xml:space="preserve"> keskeisistä eduista eli yhteisellä maatalouspolitiikalla vuosien kuluessa muodostettuja hyvin toimivia sisämarkkinoita on suojattava.</w:t>
      </w:r>
    </w:p>
    <w:p w:rsidR="00972C98" w:rsidRDefault="00C70C1C">
      <w:pPr>
        <w:keepNext/>
        <w:keepLines/>
        <w:spacing w:after="0"/>
        <w:rPr>
          <w:noProof/>
        </w:rPr>
      </w:pPr>
      <w:r>
        <w:rPr>
          <w:noProof/>
          <w:lang w:val="en-GB" w:eastAsia="en-GB" w:bidi="ar-SA"/>
        </w:rPr>
        <w:drawing>
          <wp:inline distT="0" distB="0" distL="0" distR="0">
            <wp:extent cx="5638800" cy="395107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1217" cy="3952772"/>
                    </a:xfrm>
                    <a:prstGeom prst="rect">
                      <a:avLst/>
                    </a:prstGeom>
                    <a:noFill/>
                    <a:ln>
                      <a:noFill/>
                    </a:ln>
                  </pic:spPr>
                </pic:pic>
              </a:graphicData>
            </a:graphic>
          </wp:inline>
        </w:drawing>
      </w:r>
    </w:p>
    <w:p w:rsidR="00972C98" w:rsidRDefault="00C70C1C">
      <w:pPr>
        <w:pStyle w:val="Caption"/>
        <w:keepLines/>
        <w:rPr>
          <w:noProof/>
          <w:szCs w:val="24"/>
        </w:rPr>
      </w:pPr>
      <w:r>
        <w:rPr>
          <w:noProof/>
        </w:rPr>
        <w:t xml:space="preserve">Kuva </w:t>
      </w:r>
      <w:r>
        <w:rPr>
          <w:noProof/>
        </w:rPr>
        <w:fldChar w:fldCharType="begin"/>
      </w:r>
      <w:r>
        <w:rPr>
          <w:noProof/>
        </w:rPr>
        <w:instrText xml:space="preserve"> SEQ Figure \* ARABIC </w:instrText>
      </w:r>
      <w:r>
        <w:rPr>
          <w:noProof/>
        </w:rPr>
        <w:fldChar w:fldCharType="separate"/>
      </w:r>
      <w:r>
        <w:rPr>
          <w:noProof/>
        </w:rPr>
        <w:t>7</w:t>
      </w:r>
      <w:r>
        <w:rPr>
          <w:noProof/>
        </w:rPr>
        <w:fldChar w:fldCharType="end"/>
      </w:r>
    </w:p>
    <w:p w:rsidR="00972C98" w:rsidRDefault="00C70C1C">
      <w:pPr>
        <w:keepLines/>
        <w:rPr>
          <w:noProof/>
          <w:szCs w:val="24"/>
        </w:rPr>
      </w:pPr>
      <w:r>
        <w:rPr>
          <w:noProof/>
        </w:rPr>
        <w:t xml:space="preserve">Suorien tukien kohdentamiseksi tarkoituksenmukaisemmin siten, että voidaan turvata tulot kaikille EU:n alueella toimiville viljelijöille, edellä mainitun </w:t>
      </w:r>
      <w:r>
        <w:rPr>
          <w:i/>
          <w:noProof/>
        </w:rPr>
        <w:t>pohdinta-asiakirjan</w:t>
      </w:r>
      <w:r>
        <w:rPr>
          <w:noProof/>
        </w:rPr>
        <w:t xml:space="preserve"> mukaisesti, olisi selvitettävä perusteellisemmin ainakin seuraavia mahdollisuuksia</w:t>
      </w:r>
      <w:r>
        <w:rPr>
          <w:noProof/>
        </w:rPr>
        <w:t xml:space="preserve"> tukea viljelijöiden tuloja oikeudenmukaisesti ja paremmin kohdennetusti:</w:t>
      </w:r>
    </w:p>
    <w:p w:rsidR="00972C98" w:rsidRDefault="00C70C1C">
      <w:pPr>
        <w:pStyle w:val="ListDash"/>
        <w:keepLines/>
        <w:rPr>
          <w:noProof/>
        </w:rPr>
      </w:pPr>
      <w:r>
        <w:rPr>
          <w:noProof/>
        </w:rPr>
        <w:t>suorien tukien pakollinen tukikatto, jossa otetaan huomioon työ, työpaikkoihin kohdistuvan negatiivisen vaikutuksen välttämiseksi;</w:t>
      </w:r>
    </w:p>
    <w:p w:rsidR="00972C98" w:rsidRDefault="00C70C1C">
      <w:pPr>
        <w:pStyle w:val="ListDash"/>
        <w:keepLines/>
        <w:rPr>
          <w:noProof/>
        </w:rPr>
      </w:pPr>
      <w:r>
        <w:rPr>
          <w:noProof/>
        </w:rPr>
        <w:t>alenevien tukien käyttöönotto (mahdollisesti) keino</w:t>
      </w:r>
      <w:r>
        <w:rPr>
          <w:noProof/>
        </w:rPr>
        <w:t>na vähentää suuremmille tiloille maksettavaa tukea;</w:t>
      </w:r>
    </w:p>
    <w:p w:rsidR="00972C98" w:rsidRDefault="00C70C1C">
      <w:pPr>
        <w:pStyle w:val="ListDash"/>
        <w:keepLines/>
        <w:rPr>
          <w:noProof/>
        </w:rPr>
      </w:pPr>
      <w:r>
        <w:rPr>
          <w:noProof/>
        </w:rPr>
        <w:t>uudelleenjakotuen painotus, jotta tukea voidaan ohjata kohdennetusti esimerkiksi pienille ja keskisuurille tiloille;</w:t>
      </w:r>
    </w:p>
    <w:p w:rsidR="00972C98" w:rsidRDefault="00C70C1C">
      <w:pPr>
        <w:pStyle w:val="ListDash"/>
        <w:keepLines/>
        <w:rPr>
          <w:noProof/>
        </w:rPr>
      </w:pPr>
      <w:r>
        <w:rPr>
          <w:noProof/>
        </w:rPr>
        <w:t>tuen kohdentaminen todellisille viljelijöille eli niille, jotka harjoittavat aktiivises</w:t>
      </w:r>
      <w:r>
        <w:rPr>
          <w:noProof/>
        </w:rPr>
        <w:t>ti maanviljelyä toimeentulonsa ansaitakseen.</w:t>
      </w:r>
    </w:p>
    <w:p w:rsidR="00972C98" w:rsidRDefault="00C70C1C">
      <w:pPr>
        <w:keepLines/>
        <w:rPr>
          <w:rFonts w:eastAsia="Calibri"/>
          <w:noProof/>
        </w:rPr>
      </w:pPr>
      <w:r>
        <w:rPr>
          <w:noProof/>
        </w:rPr>
        <w:t>Samaan aikaan yhteisen maatalouspolitiikan on osaltaan myös noudatettava periaatteita ”tasa-arvosta kaikkien jäsenten, pienten ja suurten, idän ja lännen, pohjoisen ja etelän välillä”, joihin puheenjohtaja Jean-</w:t>
      </w:r>
      <w:r>
        <w:rPr>
          <w:noProof/>
        </w:rPr>
        <w:t>Claude Juncker viittasi unionin tilaa käsitelleessä puheessaan syyskuussa 2017. Tässä mielessä sillä olisi vähennettävä jäsenvaltioiden välisiä eroja YMP-tuen osalta. Vaikka onkin tunnustettava, että työn ja maan suhteelliset kustannukset vaihtelevat suure</w:t>
      </w:r>
      <w:r>
        <w:rPr>
          <w:noProof/>
        </w:rPr>
        <w:t>sti ja maatalouden potentiaali on erilainen eri puolilla EU:ta, kaikki EU:n viljelijät kohtaavat samanlaisia haasteita.</w:t>
      </w:r>
    </w:p>
    <w:p w:rsidR="00972C98" w:rsidRDefault="00C70C1C">
      <w:pPr>
        <w:pStyle w:val="Heading3"/>
        <w:keepLines/>
        <w:rPr>
          <w:rFonts w:eastAsia="Calibri"/>
          <w:noProof/>
        </w:rPr>
      </w:pPr>
      <w:bookmarkStart w:id="15" w:name="_Toc499285564"/>
      <w:bookmarkStart w:id="16" w:name="_Toc499653922"/>
      <w:r>
        <w:rPr>
          <w:noProof/>
        </w:rPr>
        <w:t>Tehostetaan viljelijöiden palkitsemista markkinoilla</w:t>
      </w:r>
      <w:bookmarkEnd w:id="15"/>
      <w:bookmarkEnd w:id="16"/>
      <w:r>
        <w:rPr>
          <w:noProof/>
        </w:rPr>
        <w:t xml:space="preserve"> </w:t>
      </w:r>
    </w:p>
    <w:p w:rsidR="00972C98" w:rsidRDefault="00C70C1C">
      <w:pPr>
        <w:keepLines/>
        <w:rPr>
          <w:noProof/>
          <w:szCs w:val="24"/>
        </w:rPr>
      </w:pPr>
      <w:r>
        <w:rPr>
          <w:noProof/>
        </w:rPr>
        <w:t>Yhteisellä maatalouspolitiikalla olisi autettava nykyistä suuremmalla panoksella v</w:t>
      </w:r>
      <w:r>
        <w:rPr>
          <w:noProof/>
        </w:rPr>
        <w:t xml:space="preserve">iljelijöitä saamaan rahoitusta markkinoilta. On selvästi tarvetta lisätä </w:t>
      </w:r>
      <w:r>
        <w:rPr>
          <w:b/>
          <w:noProof/>
        </w:rPr>
        <w:t>investointeja</w:t>
      </w:r>
      <w:r>
        <w:rPr>
          <w:noProof/>
        </w:rPr>
        <w:t xml:space="preserve"> tilojen rakenneuudistukseen, nykyaikaistamiseen, innovointiin, monipuolistamiseen sekä uusien teknologioiden ja digitaalisten mahdollisuuksien, kuten täsmäviljelyn, big </w:t>
      </w:r>
      <w:r>
        <w:rPr>
          <w:noProof/>
        </w:rPr>
        <w:t>datan ja puhtaan energian, omaksumiseen, jotta voidaan parantaa yksittäisten tilojen kestävyyttä, kilpailukykyä ja sietokykyä (esim. kyky kestää ilmastonmuutoksen kielteisiä vaikutuksia). Viljelijöiden asema elintarvikeketjussa on tärkeä tekijä, ja sitä kä</w:t>
      </w:r>
      <w:r>
        <w:rPr>
          <w:noProof/>
        </w:rPr>
        <w:t>sitellään ehdotuksessa, joka on tarkoitus laatia EU:n elintarvikeketjun parantamiseksi</w:t>
      </w:r>
      <w:r>
        <w:rPr>
          <w:rStyle w:val="FootnoteReference"/>
          <w:noProof/>
        </w:rPr>
        <w:footnoteReference w:id="11"/>
      </w:r>
      <w:r>
        <w:rPr>
          <w:noProof/>
        </w:rPr>
        <w:t>. Maatalouden tuottajaorganisaatioiden roolin ja tehokkaan toiminnan osalta tarvitaan lisäpohdintoja. Hyväksytyt tuottajaorganisaatiot voivat auttaa viljelijöitä paranta</w:t>
      </w:r>
      <w:r>
        <w:rPr>
          <w:noProof/>
        </w:rPr>
        <w:t>maan neuvotteluasemaansa arvoketjussa, tekemään yhteistyötä kustannusten vähentämiseksi ja parantamaan kilpailukykyään markkinoilla palkitsemisen suhteen. Koska tuottajaorganisaatiot ovat merkityksellisiä erityisesti pienviljelijöille, heidän on tärkeää jä</w:t>
      </w:r>
      <w:r>
        <w:rPr>
          <w:noProof/>
        </w:rPr>
        <w:t xml:space="preserve">rjestäytyä, jotta organisaatioiden tarjoamat mahdollisuudet koskisivat heitä. Kehittymässä olevat maaseudun kestävät arvoketjut biopohjaisen teollisuuden, bioenergian, kiertotalouden ja ekomatkailun kaltaisilla aloilla tarjoavat viljelijöille ja maaseudun </w:t>
      </w:r>
      <w:r>
        <w:rPr>
          <w:noProof/>
        </w:rPr>
        <w:t xml:space="preserve">yrityksille mahdollisuuksia monipuolistaa yritystoimintaa, suojautua riskeiltä ja hankkia lisätuloja. Tällaisen toiminnan tukemista olisi painotettava nykyistä enemmän. </w:t>
      </w:r>
    </w:p>
    <w:p w:rsidR="00972C98" w:rsidRDefault="00C70C1C">
      <w:pPr>
        <w:keepLines/>
        <w:rPr>
          <w:noProof/>
          <w:szCs w:val="24"/>
        </w:rPr>
      </w:pPr>
      <w:r>
        <w:rPr>
          <w:noProof/>
        </w:rPr>
        <w:t>Yhteisen maatalouspolitiikan mukaisen investointituen tuloksia olisi myös parannettava</w:t>
      </w:r>
      <w:r>
        <w:rPr>
          <w:noProof/>
        </w:rPr>
        <w:t xml:space="preserve"> integroimalla mukaan yritysneuvontaa ja edistämällä yhteisiä investointeja ja mekanismeja tarkoituksenmukaisten synergioiden luomiseksi tutkimuksen ja innovoinnin kanssa. Maatalouden nykyinen investointivaje on hoidettava, esimerkiksi käyttämällä enemmän </w:t>
      </w:r>
      <w:r>
        <w:rPr>
          <w:noProof/>
        </w:rPr>
        <w:t>innovatiivisia rahoitusvälineitä, joissa otetaan huomioon maatalouden erityispiirteet, sekä EU:n eri välineisiin (ESIR-, ERI-rahastot) liittyviä integroidumpia hankkeita. Muu työ Euroopan investointipankin (EIP) kanssa saattaa avata uusia näköaloja.</w:t>
      </w:r>
    </w:p>
    <w:p w:rsidR="00972C98" w:rsidRDefault="00C70C1C">
      <w:pPr>
        <w:pStyle w:val="Heading3"/>
        <w:keepLines/>
        <w:rPr>
          <w:rFonts w:eastAsia="Calibri"/>
          <w:noProof/>
        </w:rPr>
      </w:pPr>
      <w:bookmarkStart w:id="17" w:name="_Toc496281866"/>
      <w:bookmarkStart w:id="18" w:name="_Toc496281881"/>
      <w:bookmarkStart w:id="19" w:name="_Toc499285565"/>
      <w:bookmarkStart w:id="20" w:name="_Toc499653923"/>
      <w:bookmarkEnd w:id="17"/>
      <w:bookmarkEnd w:id="18"/>
      <w:r>
        <w:rPr>
          <w:noProof/>
        </w:rPr>
        <w:t>Riskie</w:t>
      </w:r>
      <w:r>
        <w:rPr>
          <w:noProof/>
        </w:rPr>
        <w:t>n hallinta</w:t>
      </w:r>
      <w:bookmarkEnd w:id="19"/>
      <w:bookmarkEnd w:id="20"/>
    </w:p>
    <w:p w:rsidR="00972C98" w:rsidRDefault="00C70C1C">
      <w:pPr>
        <w:keepLines/>
        <w:rPr>
          <w:noProof/>
        </w:rPr>
      </w:pPr>
      <w:r>
        <w:rPr>
          <w:noProof/>
        </w:rPr>
        <w:t>Yhteisen maatalouspolitiikan suuremman markkinasuuntautuneisuuden yhteydessä markkinaolosuhteet ovat lisänneet riskiä hintojen epävakaudesta ja kasvavasta tuloihin kohdistuvasta paineesta. Riskejä aiheuttavat myös ilmastonmuutos, siihen liittyvi</w:t>
      </w:r>
      <w:r>
        <w:rPr>
          <w:noProof/>
        </w:rPr>
        <w:t xml:space="preserve">en ääri-ilmiöiden esiintyminen aiempaa useammin ja ankarampina sekä useammin esiintyvät ihmisten ja eläinten terveyteen tai kasvien terveyteen liittyvät kriisit, joiden vaikutukset kohdistuvat EU:n karjaan ja maatalousomaisuuteen. Vaikka </w:t>
      </w:r>
      <w:r>
        <w:rPr>
          <w:b/>
          <w:noProof/>
        </w:rPr>
        <w:t>viljelijät ovatkin</w:t>
      </w:r>
      <w:r>
        <w:rPr>
          <w:b/>
          <w:noProof/>
        </w:rPr>
        <w:t xml:space="preserve"> yrittäjinä viime kädessä itse vastuussa</w:t>
      </w:r>
      <w:r>
        <w:rPr>
          <w:noProof/>
        </w:rPr>
        <w:t xml:space="preserve"> oman tilansa toimintastrategioiden laatimisesta, on tärkeää perustaa viljelysektorille vankka kehys, jossa se pystyy estämään tai hoitamaan riskit ja kriisit tehokkaasti ja parantamaan sietokykyään, ja samalla tarjo</w:t>
      </w:r>
      <w:r>
        <w:rPr>
          <w:noProof/>
        </w:rPr>
        <w:t>ta oikeat kannustimet yksityisiä toimenpiteitä varten.</w:t>
      </w:r>
    </w:p>
    <w:p w:rsidR="00972C98" w:rsidRDefault="00C70C1C">
      <w:pPr>
        <w:keepNext/>
        <w:keepLines/>
        <w:spacing w:after="0"/>
        <w:rPr>
          <w:noProof/>
        </w:rPr>
      </w:pPr>
      <w:r>
        <w:rPr>
          <w:noProof/>
          <w:lang w:val="en-GB" w:eastAsia="en-GB" w:bidi="ar-SA"/>
        </w:rPr>
        <w:drawing>
          <wp:inline distT="0" distB="0" distL="0" distR="0">
            <wp:extent cx="5425440" cy="3830832"/>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25911" cy="3831164"/>
                    </a:xfrm>
                    <a:prstGeom prst="rect">
                      <a:avLst/>
                    </a:prstGeom>
                  </pic:spPr>
                </pic:pic>
              </a:graphicData>
            </a:graphic>
          </wp:inline>
        </w:drawing>
      </w:r>
    </w:p>
    <w:p w:rsidR="00972C98" w:rsidRDefault="00C70C1C">
      <w:pPr>
        <w:pStyle w:val="Caption"/>
        <w:keepLines/>
        <w:rPr>
          <w:b w:val="0"/>
          <w:noProof/>
        </w:rPr>
      </w:pPr>
      <w:r>
        <w:rPr>
          <w:noProof/>
        </w:rPr>
        <w:t xml:space="preserve">Kuva </w:t>
      </w:r>
      <w:r>
        <w:rPr>
          <w:noProof/>
        </w:rPr>
        <w:fldChar w:fldCharType="begin"/>
      </w:r>
      <w:r>
        <w:rPr>
          <w:noProof/>
        </w:rPr>
        <w:instrText xml:space="preserve"> SEQ Figure \* ARABIC </w:instrText>
      </w:r>
      <w:r>
        <w:rPr>
          <w:noProof/>
        </w:rPr>
        <w:fldChar w:fldCharType="separate"/>
      </w:r>
      <w:r>
        <w:rPr>
          <w:noProof/>
        </w:rPr>
        <w:t>8</w:t>
      </w:r>
      <w:r>
        <w:rPr>
          <w:noProof/>
        </w:rPr>
        <w:fldChar w:fldCharType="end"/>
      </w:r>
    </w:p>
    <w:p w:rsidR="00972C98" w:rsidRDefault="00C70C1C">
      <w:pPr>
        <w:keepLines/>
        <w:rPr>
          <w:noProof/>
        </w:rPr>
      </w:pPr>
      <w:r>
        <w:rPr>
          <w:b/>
          <w:noProof/>
        </w:rPr>
        <w:t>Yhteinen maatalouspolitiikka</w:t>
      </w:r>
      <w:r>
        <w:rPr>
          <w:noProof/>
        </w:rPr>
        <w:t xml:space="preserve"> käsittää jo nyt </w:t>
      </w:r>
      <w:r>
        <w:rPr>
          <w:b/>
          <w:noProof/>
        </w:rPr>
        <w:t>joukon välineitä viljelijöiden auttamiseksi riskien torjunnassa ja hallinnassa</w:t>
      </w:r>
      <w:r>
        <w:rPr>
          <w:noProof/>
        </w:rPr>
        <w:t>. Ne vaihtelevat suorista tuista ja markkina</w:t>
      </w:r>
      <w:r>
        <w:rPr>
          <w:noProof/>
        </w:rPr>
        <w:t>interventioista kriisin jälkeisiin korvauksiin ja nykyisen toisen pilarin toimenpiteisiin, joista mainittakoon erityisesti tulonvakautusväline ja vakuutustuki. Esimerkiksi alakohtainen vakautusväline, jonka soveltamiskynnyksenä on 20 prosentin tulojen mene</w:t>
      </w:r>
      <w:r>
        <w:rPr>
          <w:noProof/>
        </w:rPr>
        <w:t>tys, voi olla tehokas väline. On tärkeää miettiä, olisiko kyseisen välineen toimintamallia syytä muuttaa toimivuuden parantamiseksi. Lisäksi olisi selvitettävä, kuinka nykyisiä riskien hallinnan mahdollisuuksia voitaisiin hyödyntää paremmin, esimerkiksi kä</w:t>
      </w:r>
      <w:r>
        <w:rPr>
          <w:noProof/>
        </w:rPr>
        <w:t>yttämällä maataloustulon menetysten laskennassa indeksejä, jolloin hallinnollinen työ ja kustannukset vähenisivät.</w:t>
      </w:r>
    </w:p>
    <w:p w:rsidR="00972C98" w:rsidRDefault="00C70C1C">
      <w:pPr>
        <w:keepLines/>
        <w:rPr>
          <w:noProof/>
        </w:rPr>
      </w:pPr>
      <w:r>
        <w:rPr>
          <w:noProof/>
        </w:rPr>
        <w:t xml:space="preserve">Viljelijäväestön kykyä ymmärtää ja ottaa huomioon riskien hallinnan välineitä yleisesti ja maatalousvakuutusta erityisesti voidaan parantaa. </w:t>
      </w:r>
      <w:r>
        <w:rPr>
          <w:noProof/>
        </w:rPr>
        <w:t>Tietoa kyseisten järjestelmien eduista on mahdollista lisätä maaseudun kehittämiskoulutuksella, tietämyksen siirtoa koskevilla aloitteilla ja integroimalla viljelijät mukaan maatalouden neuvontapalveluihin.</w:t>
      </w:r>
    </w:p>
    <w:p w:rsidR="00972C98" w:rsidRDefault="00C70C1C">
      <w:pPr>
        <w:keepLines/>
        <w:rPr>
          <w:noProof/>
          <w:szCs w:val="24"/>
        </w:rPr>
      </w:pPr>
      <w:r>
        <w:rPr>
          <w:noProof/>
        </w:rPr>
        <w:t>Piakkoin on tarkoitus perustaa EU:n tasolla riski</w:t>
      </w:r>
      <w:r>
        <w:rPr>
          <w:noProof/>
        </w:rPr>
        <w:t>en hallinnan foorumi, jolla viljelijät, viranomaiset ja muut toimijat voivat vaihtaa kokemuksia ja parhaita käytäntöjä nykyisten välineiden täytäntöönpanon tehostamiseksi ja tietojen hankkimiseksi politiikan tulevaa kehitystä varten.</w:t>
      </w:r>
    </w:p>
    <w:p w:rsidR="00972C98" w:rsidRDefault="00C70C1C">
      <w:pPr>
        <w:keepLines/>
        <w:rPr>
          <w:noProof/>
        </w:rPr>
      </w:pPr>
      <w:r>
        <w:rPr>
          <w:noProof/>
        </w:rPr>
        <w:t>Samaan aikaan kannatta</w:t>
      </w:r>
      <w:r>
        <w:rPr>
          <w:noProof/>
        </w:rPr>
        <w:t xml:space="preserve">a selvittää, kuinka voitaisiin kehittää edelleen riskien ehkäisyyn, hallintaan ja sietämiseen sovellettavaa </w:t>
      </w:r>
      <w:r>
        <w:rPr>
          <w:b/>
          <w:noProof/>
        </w:rPr>
        <w:t>yhdennettyä ja johdonmukaista</w:t>
      </w:r>
      <w:r>
        <w:rPr>
          <w:noProof/>
        </w:rPr>
        <w:t xml:space="preserve"> lähestymistapaa, jossa yhdistyvät toisiaan täydentävästi tulojen vakautta ja ilmastoriskejä koskevat EU:n tason toimen</w:t>
      </w:r>
      <w:r>
        <w:rPr>
          <w:noProof/>
        </w:rPr>
        <w:t>piteet sekä jäsenvaltioiden strategiat ja yksityisen sektorin välineet. Tässä suhteessa välttämätön edellytys on joustava toimintamalli, joka mahdollistaa viljelijöiden erityyppisiin alueellisiin ja alakohtaisiin tarpeisiin sovitetut ratkaisut ja tukee nii</w:t>
      </w:r>
      <w:r>
        <w:rPr>
          <w:noProof/>
        </w:rPr>
        <w:t>den markkinasuuntautuneisuutta.</w:t>
      </w:r>
    </w:p>
    <w:p w:rsidR="00972C98" w:rsidRDefault="00C70C1C">
      <w:pPr>
        <w:keepLines/>
        <w:rPr>
          <w:noProof/>
        </w:rPr>
      </w:pPr>
      <w:r>
        <w:rPr>
          <w:b/>
          <w:noProof/>
        </w:rPr>
        <w:t>Uusia etenemisreittejä olisi kuitenkin etsittävä</w:t>
      </w:r>
      <w:r>
        <w:rPr>
          <w:noProof/>
        </w:rPr>
        <w:t>. Yksityisen pääoman sisäänvirtausta tukevien rahoitusvälineiden avulla voidaan auttaa selviytymään tilapäisistä kassavirtavajeista. Muita nykyistä riskien hallinnan työkalupak</w:t>
      </w:r>
      <w:r>
        <w:rPr>
          <w:noProof/>
        </w:rPr>
        <w:t>kia täydentäviä toimenpiteitä, kuten keskinäisten rahastojen jälleenvakuutuksen tukea tai säästöjärjestelyjen kannustimia voidaan myös harkita.</w:t>
      </w:r>
    </w:p>
    <w:p w:rsidR="00972C98" w:rsidRDefault="00C70C1C">
      <w:pPr>
        <w:keepLines/>
        <w:rPr>
          <w:noProof/>
          <w:szCs w:val="24"/>
        </w:rPr>
      </w:pPr>
      <w:r>
        <w:rPr>
          <w:noProof/>
        </w:rPr>
        <w:t xml:space="preserve">Yhteisen maatalouspolitiikan työkalupakin ulkopuolella </w:t>
      </w:r>
      <w:r>
        <w:rPr>
          <w:b/>
          <w:noProof/>
        </w:rPr>
        <w:t>tietyistä jäsenvaltiotason toimenpiteistä saattaa olla ap</w:t>
      </w:r>
      <w:r>
        <w:rPr>
          <w:b/>
          <w:noProof/>
        </w:rPr>
        <w:t>ua</w:t>
      </w:r>
      <w:r>
        <w:rPr>
          <w:noProof/>
        </w:rPr>
        <w:t xml:space="preserve"> edellyttäen, että ne ovat valtiontukisääntöjen mukaisia. Tämä koskee esimerkiksi veropolitiikan säännöksiä, jotka eivät nykyisellään kannusta viljelijöitä kerryttämään hyvinä vuosina säästöjä huonojen vuosien varalle.</w:t>
      </w:r>
    </w:p>
    <w:p w:rsidR="00972C98" w:rsidRDefault="00C70C1C">
      <w:pPr>
        <w:pStyle w:val="Heading2"/>
        <w:rPr>
          <w:noProof/>
        </w:rPr>
      </w:pPr>
      <w:bookmarkStart w:id="21" w:name="_Toc499285566"/>
      <w:bookmarkStart w:id="22" w:name="_Toc499653924"/>
      <w:bookmarkStart w:id="23" w:name="_Ref491779506"/>
      <w:r>
        <w:rPr>
          <w:noProof/>
        </w:rPr>
        <w:t>Vahvistetaan ympäristönhoitoa ja il</w:t>
      </w:r>
      <w:r>
        <w:rPr>
          <w:noProof/>
        </w:rPr>
        <w:t>mastotoimia ja edistetään EU:n ympäristö- ja ilmastotavoitteiden saavuttamista</w:t>
      </w:r>
      <w:bookmarkEnd w:id="21"/>
      <w:bookmarkEnd w:id="22"/>
    </w:p>
    <w:bookmarkEnd w:id="23"/>
    <w:p w:rsidR="00972C98" w:rsidRDefault="00C70C1C">
      <w:pPr>
        <w:keepLines/>
        <w:rPr>
          <w:noProof/>
        </w:rPr>
      </w:pPr>
      <w:r>
        <w:rPr>
          <w:noProof/>
        </w:rPr>
        <w:t xml:space="preserve">Ilmastonmuutos ja luonnonvarojen hupeneminen vaikuttavat jatkossakin maanviljelyyn ja luovat haasteita ruokaturvalle. </w:t>
      </w:r>
      <w:r>
        <w:rPr>
          <w:b/>
          <w:noProof/>
        </w:rPr>
        <w:t>EU:n ilmasto- ja energiatavoitteet 2030 on asetettu kunnian</w:t>
      </w:r>
      <w:r>
        <w:rPr>
          <w:b/>
          <w:noProof/>
        </w:rPr>
        <w:t xml:space="preserve">himoiselle tasolle. </w:t>
      </w:r>
      <w:r>
        <w:rPr>
          <w:noProof/>
        </w:rPr>
        <w:t>Kuten kaikkien alojen, myös maatalouden olisi osallistuttava oikeudenmukaisella osuudella edellä mainittujen tavoitteiden toteuttamiseen siten kuin hahmotellaan taakanjakoa sekä maankäyttöä, maankäytön muutosta ja metsätaloutta (LULUCF)</w:t>
      </w:r>
      <w:r>
        <w:rPr>
          <w:noProof/>
        </w:rPr>
        <w:t xml:space="preserve"> koskevissa komission ehdotuksissa. Samalla maatalous on yksi ilmastonmuutoksen suhteen kaikkein haavoittuvimmista aloista. Veden niukkuus, sadannan muutokset, maapallon lämpötilan nousu ja vaihtelut, ilmastoon liittyvien ääri-ilmiöiden voimakkuus ja toist</w:t>
      </w:r>
      <w:r>
        <w:rPr>
          <w:noProof/>
        </w:rPr>
        <w:t>umistiheys, (uusien) tuholaisten ja tautien ilmaantuminen ja pysyvyys sekä tulipalojen riski ovat jo nyt haasteita käytännön maa- ja metsätaloudelle. Viljelijät ja metsänhoitajat eivät kuitenkaan ole vain luonnonvarojen käyttäjiä, vaan he toimivat myös eko</w:t>
      </w:r>
      <w:r>
        <w:rPr>
          <w:noProof/>
        </w:rPr>
        <w:t xml:space="preserve">systeemien, elinympäristöjen ja maisemien hoitajina. Aina yhteistä maatalouspolitiikkaa uusittaessa on </w:t>
      </w:r>
      <w:r>
        <w:rPr>
          <w:b/>
          <w:noProof/>
        </w:rPr>
        <w:t>kiristettävä tavoitteita</w:t>
      </w:r>
      <w:r>
        <w:rPr>
          <w:noProof/>
        </w:rPr>
        <w:t xml:space="preserve"> ja </w:t>
      </w:r>
      <w:r>
        <w:rPr>
          <w:b/>
          <w:noProof/>
        </w:rPr>
        <w:t>keskityttävä</w:t>
      </w:r>
      <w:r>
        <w:rPr>
          <w:noProof/>
        </w:rPr>
        <w:t xml:space="preserve"> yhä enemmän </w:t>
      </w:r>
      <w:r>
        <w:rPr>
          <w:b/>
          <w:noProof/>
        </w:rPr>
        <w:t>tuloksiin resurssitehokkuuden, ympäristönhoidon ja ilmastonmuutoksen osalta.</w:t>
      </w:r>
    </w:p>
    <w:p w:rsidR="00972C98" w:rsidRDefault="00C70C1C">
      <w:pPr>
        <w:keepLines/>
        <w:rPr>
          <w:noProof/>
        </w:rPr>
      </w:pPr>
      <w:r>
        <w:rPr>
          <w:noProof/>
        </w:rPr>
        <w:t>Tulevassa yhteisessä ma</w:t>
      </w:r>
      <w:r>
        <w:rPr>
          <w:noProof/>
        </w:rPr>
        <w:t>atalouspolitiikassa olisi hyödynnettävä tutkimustuloksia parhaalla mahdollisella tavalla, varmistettava tiedon jakaminen ja soveltaminen ja tuettava uusien teknologioiden leviämistä, jotta maatalous edistäisi sekä unionia koskevia että yleismaailmallisia t</w:t>
      </w:r>
      <w:r>
        <w:rPr>
          <w:noProof/>
        </w:rPr>
        <w:t>avoitteita mahdollisimman suurella panoksella. Osa vastausta on ilmaston suhteen älykäs maanviljely, jota tuetaan koulutuksella, neuvonnalla ja innovoinnilla. Siihen tarvitaan kuitenkin maatalouspolitiikkaa, johon liittyy vankka sitoumus tuottaa maaperään,</w:t>
      </w:r>
      <w:r>
        <w:rPr>
          <w:noProof/>
        </w:rPr>
        <w:t xml:space="preserve"> vesistöihin, luonnon monimuotoisuuteen, ilmanlaatuun, ilmastotoimiin ja maiseman virkistyskäyttöön liittyviä julkishyödykkeitä ja ekosysteemipalveluja. On myös tärkeää, että yhteisen maatalouspolitiikan osuus kyseisten tavoitteiden saavuttamisessa on stra</w:t>
      </w:r>
      <w:r>
        <w:rPr>
          <w:noProof/>
        </w:rPr>
        <w:t>teginen ja mitattavissa.</w:t>
      </w:r>
    </w:p>
    <w:p w:rsidR="00972C98" w:rsidRDefault="00C70C1C">
      <w:pPr>
        <w:keepLines/>
        <w:rPr>
          <w:noProof/>
        </w:rPr>
      </w:pPr>
      <w:r>
        <w:rPr>
          <w:noProof/>
        </w:rPr>
        <w:t xml:space="preserve">Yhteisen maatalouspolitiikan nykyinen vihertävä rakenne, joka pääasiassa nojaa kolmeen toisiaan täydentävään politiikan välineeseen eli täydentäviin ehtoihin, suoraan viherryttämistukeen ja maatalouden vapaaehtoisiin ympäristö- ja </w:t>
      </w:r>
      <w:r>
        <w:rPr>
          <w:noProof/>
        </w:rPr>
        <w:t xml:space="preserve">ilmastotoimenpiteisiin, on tarkoitus korvata toimintamallilla, johon kaikki kyseiset toiminnot integroidaan kohdennetummaksi, kunnianhimoisemmaksi mutta silti joustavaksi kokonaisuudeksi. Uuden täytäntöönpanomallin ansiosta jäsenvaltiot voivat suunnitella </w:t>
      </w:r>
      <w:r>
        <w:rPr>
          <w:noProof/>
        </w:rPr>
        <w:t xml:space="preserve">ensimmäisen ja toisen pilarin pakollisista ja vapaaehtoisista toimenpiteistä kokonaisuuden, jolla ne täyttävät EU:n tasolla määritellyt ympäristö- ja ilmastotavoitteet. Jäsenvaltioiden on määriteltävä määrälliset tavoitteet, joilla varmistetaan, että EU:n </w:t>
      </w:r>
      <w:r>
        <w:rPr>
          <w:noProof/>
        </w:rPr>
        <w:t xml:space="preserve">tasolla määritellyt ympäristö- ja ilmastotavoitteet saavutetaan. Jäsenvaltioille jää joustovaraa laatia strategiset suunnitelmat, joissa ne voivat käsitellä paikallisen tason ilmasto- ja ympäristötarpeita. Olisi selvitettävä, kuinka EU:n tason velvoittava </w:t>
      </w:r>
      <w:r>
        <w:rPr>
          <w:noProof/>
        </w:rPr>
        <w:t>vaatimus ravinteiden hallintasuunnitelmasta ja täsmäviljelyn kannustimista osana yhteiseen maatalouspolitiikkaan liittyvää jäsenvaltion strategista suunnitelmaa voisi parantaa tuloksia. Komissio selvittää muun muassa sen, kuinka voidaan ottaa huomioon suur</w:t>
      </w:r>
      <w:r>
        <w:rPr>
          <w:noProof/>
        </w:rPr>
        <w:t>ta ympäristöön liittyvää lisäarvoa EU:n tasolla luovat toimenpiteet, joita ovat esimerkiksi pysyvien laidunten säilyttäminen, maisemapiirteiden säilyttäminen ja luominen, luonnonhaitta-alueilla harjoitettu maatalous, luonnonmukainen viljely sekä maaperän t</w:t>
      </w:r>
      <w:r>
        <w:rPr>
          <w:noProof/>
        </w:rPr>
        <w:t>erveyttä, luonnon monimuotoisuutta ja vesistöjen suojelua tukevat yksilölliset ja yhteiset ohjelmat.</w:t>
      </w:r>
    </w:p>
    <w:p w:rsidR="00972C98" w:rsidRDefault="00C70C1C">
      <w:pPr>
        <w:keepLines/>
        <w:rPr>
          <w:noProof/>
        </w:rPr>
      </w:pPr>
      <w:r>
        <w:rPr>
          <w:noProof/>
        </w:rPr>
        <w:t>Jatkossa viljelijälle myönnetään tulotukea sillä edellytyksellä, että hän soveltaa tiettyjä ympäristön ja ilmaston kannalta suotuisia käytäntöjä. Ne muodos</w:t>
      </w:r>
      <w:r>
        <w:rPr>
          <w:noProof/>
        </w:rPr>
        <w:t>tavat perustason vielä kunnianhimoisemmille käytännöille, joiden soveltaminen on vapaaehtoista. Uuden ehdollisuuden perustana on yksinkertainen kokoelma ympäristöön ja ilmastoon liittyviä edellytyksiä, jotka on otettu käyttöön ympäristöä ja ilmastoa koskev</w:t>
      </w:r>
      <w:r>
        <w:rPr>
          <w:noProof/>
        </w:rPr>
        <w:t xml:space="preserve">ien julkishyödykkeiden tarjoamiseksi. Jäsenvaltiot määrittelisivät kyseiset käytännöt tarkemmin ottaen huomioon omat erityistilanteensa, ilmastoriskinsä ja tarpeensa ja varmistaen samalla, että ne näillä käytännöillä edistävät asianmukaisesti EU:n tasolla </w:t>
      </w:r>
      <w:r>
        <w:rPr>
          <w:noProof/>
        </w:rPr>
        <w:t>sovittuja tavoitteita. Jäsenvaltioiden olisi varmistettava, että sovitut tavoitteet saavutetaan, ja seurattava tuloksia luotettavasti ja uskottavasti. Lisää ympäristö- ja ilmastohyötyjä voidaan saavuttaa vapaaehtoisilla perustason ohjelmilla ja kunnianhimo</w:t>
      </w:r>
      <w:r>
        <w:rPr>
          <w:noProof/>
        </w:rPr>
        <w:t>isemmilla maatalous-/ympäristö-/ilmasto-ohjelmilla, joita jäsenvaltiot ja alueet voivat kohdentaa oman harkintansa mukaan.</w:t>
      </w:r>
    </w:p>
    <w:p w:rsidR="00972C98" w:rsidRDefault="00C70C1C">
      <w:pPr>
        <w:keepLines/>
        <w:rPr>
          <w:noProof/>
        </w:rPr>
      </w:pPr>
      <w:r>
        <w:rPr>
          <w:noProof/>
        </w:rPr>
        <w:t>Edellä kuvattu menettelytapa on aiempaa yksinkertaisempi – suoriin tukiin sovelletaan vain yhdentasoisia vaatimuksia, on vain yhdet h</w:t>
      </w:r>
      <w:r>
        <w:rPr>
          <w:noProof/>
        </w:rPr>
        <w:t xml:space="preserve">allinnointi- ja valvontasäännöt ja jäsenvaltion ja viljelijän hallinnollinen rasite kevenee. Toissijaisuusperiaatteen painottaminen poistaa ’yksi sopii kaikille’ -mallin ja takaa, että toteutetuissa toimissa on selvä ympäristöulottuvuus. Jotta yhtenäisyys </w:t>
      </w:r>
      <w:r>
        <w:rPr>
          <w:noProof/>
        </w:rPr>
        <w:t>EU:n yleisten tavoitteiden kanssa säilyisi, komissio hyväksyy kaikki jäsenvaltioiden esittämät toimet ja tavoitteet yhteisen maatalouspolitiikan strategisen suunnitelman osana hyväksytyssä EU:n kehyksessä.</w:t>
      </w:r>
    </w:p>
    <w:p w:rsidR="00972C98" w:rsidRDefault="00C70C1C">
      <w:pPr>
        <w:pStyle w:val="Text2"/>
        <w:keepLines/>
        <w:ind w:left="0"/>
        <w:rPr>
          <w:b/>
          <w:noProof/>
        </w:rPr>
      </w:pPr>
      <w:r>
        <w:rPr>
          <w:noProof/>
        </w:rPr>
        <w:t xml:space="preserve">Uudella vihreällä rakenteella saavutettujen </w:t>
      </w:r>
      <w:r>
        <w:rPr>
          <w:noProof/>
        </w:rPr>
        <w:t>tulosten odotetaan kannustavan käyttämään lisää yhteistyöhön perustuvia ja yhteisiä tuloksiin suuntautuneita toimintamalleja, joissa on mukana viljelijöitä ja muita toimijoita. Näin tuotettaisiin ympäristöön ja ilmastoon liittyviä julkishyödykkeitä ja laad</w:t>
      </w:r>
      <w:r>
        <w:rPr>
          <w:noProof/>
        </w:rPr>
        <w:t>ittaisiin ohjelmia, joissa yhdistetään tiedonlevitystä ja ympäristöinvestointeja.</w:t>
      </w:r>
    </w:p>
    <w:p w:rsidR="00972C98" w:rsidRDefault="00C70C1C">
      <w:pPr>
        <w:pStyle w:val="Heading2"/>
        <w:keepLines/>
        <w:rPr>
          <w:noProof/>
        </w:rPr>
      </w:pPr>
      <w:bookmarkStart w:id="24" w:name="_Toc499285567"/>
      <w:bookmarkStart w:id="25" w:name="_Toc499653925"/>
      <w:r>
        <w:rPr>
          <w:noProof/>
        </w:rPr>
        <w:t>Lujitetaan maaseutualueiden sosioekonomista rakennetta</w:t>
      </w:r>
      <w:bookmarkEnd w:id="24"/>
      <w:bookmarkEnd w:id="25"/>
    </w:p>
    <w:p w:rsidR="00972C98" w:rsidRDefault="00C70C1C">
      <w:pPr>
        <w:pStyle w:val="Heading3"/>
        <w:keepLines/>
        <w:rPr>
          <w:noProof/>
        </w:rPr>
      </w:pPr>
      <w:bookmarkStart w:id="26" w:name="_Toc499285568"/>
      <w:bookmarkStart w:id="27" w:name="_Toc499653926"/>
      <w:r>
        <w:rPr>
          <w:noProof/>
        </w:rPr>
        <w:t>Kasvu ja työllisyys maaseutualueilla</w:t>
      </w:r>
      <w:bookmarkEnd w:id="26"/>
      <w:bookmarkEnd w:id="27"/>
    </w:p>
    <w:p w:rsidR="00972C98" w:rsidRDefault="00C70C1C">
      <w:pPr>
        <w:keepLines/>
        <w:rPr>
          <w:noProof/>
          <w:szCs w:val="24"/>
        </w:rPr>
      </w:pPr>
      <w:r>
        <w:rPr>
          <w:noProof/>
        </w:rPr>
        <w:t>Monet maaseutualueet EU:ssa kärsivät rakenteellisista ongelmista, kuten houkuttele</w:t>
      </w:r>
      <w:r>
        <w:rPr>
          <w:noProof/>
        </w:rPr>
        <w:t>vien työmahdollisuuksien puutteesta, osaamisvajeesta, liityntäverkkoihin ja peruspalveluihin tehtyjen investointien vähyydestä ja nuorten muutosta muille alueille. Tasa-arvoisten kumppaneiden unionissa maaseudun kansalaisten ja yhteisöjen potentiaalia ja t</w:t>
      </w:r>
      <w:r>
        <w:rPr>
          <w:noProof/>
        </w:rPr>
        <w:t>oiveita on käsiteltävä paremmin EU:n politiikoissa. Yhteisellä maatalouspolitiikalla, ja erityisesti maaseudun kehittämispolitiikalla, voidaan edistää ratkaisevalla tavalla maaseudun työllisyyttä ja kasvua ja säilyttää ympäristö laadukkaana maaseutualueill</w:t>
      </w:r>
      <w:r>
        <w:rPr>
          <w:noProof/>
        </w:rPr>
        <w:t>a.</w:t>
      </w:r>
    </w:p>
    <w:p w:rsidR="00972C98" w:rsidRDefault="00C70C1C">
      <w:pPr>
        <w:keepLines/>
        <w:rPr>
          <w:noProof/>
          <w:szCs w:val="24"/>
        </w:rPr>
      </w:pPr>
      <w:r>
        <w:rPr>
          <w:noProof/>
        </w:rPr>
        <w:t>Unionin ja jäsenvaltioiden yhteiset investoinnit infrastruktuurin sekä luonnon- ja inhimillisen pääoman kehittämiseen ovat ensiarvoisen tärkeitä kestävien ja laadukkaiden työpaikkojen tukemiseksi maaseutualueilla. Maaseutuyhteisöillä olisi oltava paremp</w:t>
      </w:r>
      <w:r>
        <w:rPr>
          <w:noProof/>
        </w:rPr>
        <w:t>i pääsy julkisiin palveluihin, terveydenhoitoon, ammattikoulutukseen, ohjelmiin uusien taitojen kehittämiseksi etenkin digitaalialalla, laadukkaaseen koulutukseen ja liityntäverkkoihin.</w:t>
      </w:r>
    </w:p>
    <w:p w:rsidR="00972C98" w:rsidRDefault="00C70C1C">
      <w:pPr>
        <w:keepLines/>
        <w:rPr>
          <w:noProof/>
          <w:szCs w:val="24"/>
        </w:rPr>
      </w:pPr>
      <w:r>
        <w:rPr>
          <w:noProof/>
        </w:rPr>
        <w:t>Koska yhteinen maatalouspolitiikka on yksi useista EU:n politiikoista,</w:t>
      </w:r>
      <w:r>
        <w:rPr>
          <w:noProof/>
        </w:rPr>
        <w:t xml:space="preserve"> jotka vaikuttavat maaseutualueiden vaurauteen, on syytä varmistaa, että se ja EU:n muut politiikat – kuten koheesiopolitiikka, jossa myös osoitetaan maaseutualueelle EU:n rahoitusta merkittävässä määrin, Verkkojen Eurooppa -väline sekä kansalliset varat j</w:t>
      </w:r>
      <w:r>
        <w:rPr>
          <w:noProof/>
        </w:rPr>
        <w:t>a strategiat täydentävät toisiaan. Parempi koordinointi näiden politiikkojen välillä johtaisi yksikertaisempiin täytäntöönpanomekanismeihin ja vähentäisi hallinnollista työtä sekä viranomaisilta että kansalaisilta.</w:t>
      </w:r>
    </w:p>
    <w:p w:rsidR="00972C98" w:rsidRDefault="00C70C1C">
      <w:pPr>
        <w:keepLines/>
        <w:rPr>
          <w:noProof/>
          <w:szCs w:val="24"/>
        </w:rPr>
      </w:pPr>
      <w:r>
        <w:rPr>
          <w:b/>
          <w:noProof/>
        </w:rPr>
        <w:t xml:space="preserve">Maaseudun uudet arvoketjut, kuten puhdas </w:t>
      </w:r>
      <w:r>
        <w:rPr>
          <w:b/>
          <w:noProof/>
        </w:rPr>
        <w:t>energia, nouseva biotalous, kiertotalous ja ekomatkailu voivat tarjota hyvää kasvu- ja työllistämispotentiaalia maaseutualueille</w:t>
      </w:r>
      <w:r>
        <w:rPr>
          <w:noProof/>
        </w:rPr>
        <w:t>. Maa- ja metsätalouden sivutuotteille voidaan löytää uutta arvoa bioenergian ja biopohjaisen teollisuuden raaka-aineena, kun ta</w:t>
      </w:r>
      <w:r>
        <w:rPr>
          <w:noProof/>
        </w:rPr>
        <w:t xml:space="preserve">as karjanlanta voidaan muuttaa biokaasuksi ja lannoitteeksi, jolloin se tukee sekä energiasiirtymää että laajempaa ravinteiden kierrätystä. Näin voidaan myös korvata saastuttavampia ja uusiutumattomia resursseja ja materiaaleja sekä vähentää ruokahävikkiä </w:t>
      </w:r>
      <w:r>
        <w:rPr>
          <w:noProof/>
        </w:rPr>
        <w:t>ja jätettä. Kestävä maatalous ja kestävä metsätalous ovat kumpikin aloja, joilla tätä mahdollisuutta voidaan kehittää.</w:t>
      </w:r>
    </w:p>
    <w:p w:rsidR="00972C98" w:rsidRDefault="00C70C1C">
      <w:pPr>
        <w:keepLines/>
        <w:rPr>
          <w:noProof/>
          <w:szCs w:val="24"/>
        </w:rPr>
      </w:pPr>
      <w:r>
        <w:rPr>
          <w:b/>
          <w:noProof/>
        </w:rPr>
        <w:t>Biotalouden kasvusta kestävässä yritystoimintamallissa olisi sen vuoksi tultava yksi yhteisen maatalouspolitiikan strategisen suunnitelma</w:t>
      </w:r>
      <w:r>
        <w:rPr>
          <w:b/>
          <w:noProof/>
        </w:rPr>
        <w:t>n painopisteistä</w:t>
      </w:r>
      <w:r>
        <w:rPr>
          <w:noProof/>
        </w:rPr>
        <w:t>, ja sen olisi tuettava EU:n kiertotalousstrategiaa ja autettava kehittämään uusia liiketoimintamalleja viljelijöitä ja metsänhoitajia hyödyttävällä tavalla samalla, kun luodaan uusia työpaikkoja. Tämä myös vahvistaisi yhteisen maatalouspol</w:t>
      </w:r>
      <w:r>
        <w:rPr>
          <w:noProof/>
        </w:rPr>
        <w:t>itiikan mahdollisuuksia tukea energiaunionia ja EU:n teollisuuspolitiikkaa puhdasta ja tehokasta energiantuotantoa edistämällä, kuten saattamalla käyttöön kestävää biomassaa, EU:n kiertotalousstrategian perusperiaatteiden mukaisesti. ESIR-rahaston ja muide</w:t>
      </w:r>
      <w:r>
        <w:rPr>
          <w:noProof/>
        </w:rPr>
        <w:t>n rahoitusvälineiden olisi hyödynnettävä vipuvaikutuksella maaseudun kehittämisohjelmista saatava lisätuki ja tarjottava edullisia pitkäaikaisia lainoja yrittäjille, jotka ovat halukkaita investoimaan maaseutualueille.</w:t>
      </w:r>
    </w:p>
    <w:p w:rsidR="00972C98" w:rsidRDefault="00C70C1C">
      <w:pPr>
        <w:keepLines/>
        <w:spacing w:after="0"/>
        <w:rPr>
          <w:noProof/>
          <w:szCs w:val="24"/>
        </w:rPr>
      </w:pPr>
      <w:r>
        <w:rPr>
          <w:noProof/>
          <w:lang w:val="en-GB" w:eastAsia="en-GB" w:bidi="ar-SA"/>
        </w:rPr>
        <w:drawing>
          <wp:inline distT="0" distB="0" distL="0" distR="0">
            <wp:extent cx="5996940" cy="4134004"/>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8332" cy="4134964"/>
                    </a:xfrm>
                    <a:prstGeom prst="rect">
                      <a:avLst/>
                    </a:prstGeom>
                    <a:noFill/>
                    <a:ln>
                      <a:noFill/>
                    </a:ln>
                  </pic:spPr>
                </pic:pic>
              </a:graphicData>
            </a:graphic>
          </wp:inline>
        </w:drawing>
      </w:r>
    </w:p>
    <w:p w:rsidR="00972C98" w:rsidRDefault="00C70C1C">
      <w:pPr>
        <w:pStyle w:val="Caption"/>
        <w:keepLines/>
        <w:rPr>
          <w:noProof/>
          <w:szCs w:val="24"/>
        </w:rPr>
      </w:pPr>
      <w:r>
        <w:rPr>
          <w:noProof/>
        </w:rPr>
        <w:t xml:space="preserve">Kuva </w:t>
      </w:r>
      <w:r>
        <w:rPr>
          <w:noProof/>
        </w:rPr>
        <w:fldChar w:fldCharType="begin"/>
      </w:r>
      <w:r>
        <w:rPr>
          <w:noProof/>
        </w:rPr>
        <w:instrText xml:space="preserve"> SEQ Figure \* ARABIC </w:instrText>
      </w:r>
      <w:r>
        <w:rPr>
          <w:noProof/>
        </w:rPr>
        <w:fldChar w:fldCharType="separate"/>
      </w:r>
      <w:r>
        <w:rPr>
          <w:noProof/>
        </w:rPr>
        <w:t>9</w:t>
      </w:r>
      <w:r>
        <w:rPr>
          <w:noProof/>
        </w:rPr>
        <w:fldChar w:fldCharType="end"/>
      </w:r>
      <w:r>
        <w:rPr>
          <w:noProof/>
        </w:rPr>
        <w:t xml:space="preserve"> </w:t>
      </w:r>
    </w:p>
    <w:p w:rsidR="00972C98" w:rsidRDefault="00C70C1C">
      <w:pPr>
        <w:keepLines/>
        <w:rPr>
          <w:noProof/>
          <w:szCs w:val="24"/>
        </w:rPr>
      </w:pPr>
      <w:r>
        <w:rPr>
          <w:noProof/>
        </w:rPr>
        <w:t>Yk</w:t>
      </w:r>
      <w:r>
        <w:rPr>
          <w:noProof/>
        </w:rPr>
        <w:t>si tämän tulevan eri politiikan aloja koskevan yhteistyön painopisteistä on ns. älykkäiden kylien perustaminen eri puolille unionia. Tämä uusi konsepti, jota parhaillaan kehitetään useilla aloitteilla ja pilottihankkeilla, auttaa paikallisyhteisöjä käsitte</w:t>
      </w:r>
      <w:r>
        <w:rPr>
          <w:noProof/>
        </w:rPr>
        <w:t>lemään riittämättömien laajakaistayhteyksien, työllisyysmahdollisuuksien ja palvelutarjonnan kaltaisia kysymyksiä selkeällä ja ymmärrettävällä tavalla. Komissio on sitoutunut lisäämään tukea maaseutuyhteisöille ja paikallisviranomaisille, jotka haluavat ke</w:t>
      </w:r>
      <w:r>
        <w:rPr>
          <w:noProof/>
        </w:rPr>
        <w:t>hittää älykkäitä kyliä valmiuksien kehittämisen, investointien, innovointituen ja verkostoitumisen kautta ja käyttämällä taitojen, palvelujen ja infrastruktuurin parantamiseen innovatiivisia rahoitusvälineitä.</w:t>
      </w:r>
    </w:p>
    <w:p w:rsidR="00972C98" w:rsidRDefault="00C70C1C">
      <w:pPr>
        <w:keepLines/>
        <w:rPr>
          <w:noProof/>
          <w:szCs w:val="24"/>
        </w:rPr>
      </w:pPr>
      <w:r>
        <w:rPr>
          <w:noProof/>
        </w:rPr>
        <w:t>Unionin ja jäsenvaltioiden jatkuvaa yhteistä i</w:t>
      </w:r>
      <w:r>
        <w:rPr>
          <w:noProof/>
        </w:rPr>
        <w:t>nvestoimista inhimillisen pääoman kehittämiseen tarvitaan, jotta voidaan tukea kestäviä ja laadukkaita työpaikkoja ja auttaa näillä alueilla eläviä ihmisiä hyödyntämään oma ja oman yhteisön potentiaali järjestämällä heille mahdollisuus hankkia uusia taitoj</w:t>
      </w:r>
      <w:r>
        <w:rPr>
          <w:noProof/>
        </w:rPr>
        <w:t>a ja saada helpommin laadukkaita keskeisiä palveluja, kuten koulutuspalveluja.</w:t>
      </w:r>
    </w:p>
    <w:p w:rsidR="00972C98" w:rsidRDefault="00C70C1C">
      <w:pPr>
        <w:keepLines/>
        <w:rPr>
          <w:noProof/>
          <w:szCs w:val="24"/>
        </w:rPr>
      </w:pPr>
      <w:r>
        <w:rPr>
          <w:b/>
          <w:noProof/>
        </w:rPr>
        <w:t>Alhaalta ylös suuntautuva, paikallisesti johdettu lähestymistapa LEADER</w:t>
      </w:r>
      <w:r>
        <w:rPr>
          <w:noProof/>
        </w:rPr>
        <w:t xml:space="preserve"> on osoittautunut tehokkaaksi keinoksi lisätä paikallista valmiuksien kehittämistä ja edistää sosiaalista osallisuutta, köyhyyden vähentämistä ja työpaikkojen luomista paikallisen talouden puitteissa. Synergiaa ja koordinointia kunnan viranomaisiin ja paik</w:t>
      </w:r>
      <w:r>
        <w:rPr>
          <w:noProof/>
        </w:rPr>
        <w:t>allisiin virastoihin päin on vielä parannettava, jotta maaseudun mahdollisuudet saataisiin hyödynnettyä täysimääräisesti.</w:t>
      </w:r>
    </w:p>
    <w:p w:rsidR="00972C98" w:rsidRDefault="00C70C1C">
      <w:pPr>
        <w:keepLines/>
        <w:rPr>
          <w:noProof/>
          <w:szCs w:val="24"/>
        </w:rPr>
      </w:pPr>
      <w:r>
        <w:rPr>
          <w:noProof/>
        </w:rPr>
        <w:t>Yhteinen maatalouspolitiikka on maaseudun kehittämispolitiikkansa kautta maaseutuasioiden suvereeni asiantuntija unionissa. Vaikka kai</w:t>
      </w:r>
      <w:r>
        <w:rPr>
          <w:noProof/>
        </w:rPr>
        <w:t>killa makrotaloutta ja eri aloja koskevilla politiikoilla on mahdollista vaikutusta maaseutuyhteisöihin ja monilla EU:n rahastoilla kapasiteettia edistää maaseudun vaurastumista, tätä kapasiteettia maaseudun elvyttämiseksi ei kuitenkaan aina hyödynnetä mak</w:t>
      </w:r>
      <w:r>
        <w:rPr>
          <w:noProof/>
        </w:rPr>
        <w:t>simaalisesti. Sen vuoksi komissio on sitoutunut edistämään maaseutuvaikutusten arvioinnin mekanismia, jolla asianomaisia politiikkoja tarkastellaan järjestelmällisesti ”maaseutulinssien” läpi arvioiden maaseutuyhteisöihin kohdistuvia mahdollisia vaikutuksi</w:t>
      </w:r>
      <w:r>
        <w:rPr>
          <w:noProof/>
        </w:rPr>
        <w:t>a.</w:t>
      </w:r>
    </w:p>
    <w:p w:rsidR="00972C98" w:rsidRDefault="00C70C1C">
      <w:pPr>
        <w:pStyle w:val="Heading3"/>
        <w:keepLines/>
        <w:rPr>
          <w:noProof/>
        </w:rPr>
      </w:pPr>
      <w:bookmarkStart w:id="28" w:name="_Toc499285569"/>
      <w:bookmarkStart w:id="29" w:name="_Toc499653927"/>
      <w:r>
        <w:rPr>
          <w:noProof/>
        </w:rPr>
        <w:t>Uusien viljelijöiden kiinnostuksen herättäminen</w:t>
      </w:r>
      <w:bookmarkEnd w:id="28"/>
      <w:bookmarkEnd w:id="29"/>
    </w:p>
    <w:p w:rsidR="00972C98" w:rsidRDefault="00C70C1C">
      <w:pPr>
        <w:keepLines/>
        <w:rPr>
          <w:noProof/>
          <w:szCs w:val="24"/>
        </w:rPr>
      </w:pPr>
      <w:r>
        <w:rPr>
          <w:noProof/>
        </w:rPr>
        <w:t>Kukoistavan maatalousalan kehittymiseksi tarvitaan todellinen sukupolvenvaihdos, sillä Euroopan ikääntyvä maatalousyhteisö tarvitsee uutta verta muuttamaan alan dynaamisemmaksi ja avoimeksi käynnissä olevi</w:t>
      </w:r>
      <w:r>
        <w:rPr>
          <w:noProof/>
        </w:rPr>
        <w:t>lle teknologisille muutoksille. Nuorilla viljelijöillä ja muilla uusilla tulijoilla on kuitenkin maataloustuotannon käynnistämisessä huomattavia vaikeuksia, jotka voivat olla taloudellisia, kuten maan korkea hinta, tai yhteiskunnallisia, kuten käsitys maan</w:t>
      </w:r>
      <w:r>
        <w:rPr>
          <w:noProof/>
        </w:rPr>
        <w:t>viljelystä epäkiinnostavana tai vanhanaikaisena ammattina, johon joskus vielä yhdistetään heikko sosiaaliturva.</w:t>
      </w:r>
    </w:p>
    <w:p w:rsidR="00972C98" w:rsidRDefault="00C70C1C">
      <w:pPr>
        <w:keepLines/>
        <w:rPr>
          <w:b/>
          <w:noProof/>
        </w:rPr>
      </w:pPr>
      <w:r>
        <w:rPr>
          <w:noProof/>
          <w:lang w:val="en-GB" w:eastAsia="en-GB" w:bidi="ar-SA"/>
        </w:rPr>
        <w:drawing>
          <wp:inline distT="0" distB="0" distL="0" distR="0">
            <wp:extent cx="5753100" cy="4031167"/>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5566" cy="4032895"/>
                    </a:xfrm>
                    <a:prstGeom prst="rect">
                      <a:avLst/>
                    </a:prstGeom>
                    <a:noFill/>
                    <a:ln>
                      <a:noFill/>
                    </a:ln>
                  </pic:spPr>
                </pic:pic>
              </a:graphicData>
            </a:graphic>
          </wp:inline>
        </w:drawing>
      </w:r>
      <w:r>
        <w:rPr>
          <w:noProof/>
        </w:rPr>
        <w:t xml:space="preserve">Kuva </w:t>
      </w:r>
      <w:r>
        <w:rPr>
          <w:b/>
          <w:noProof/>
          <w:szCs w:val="24"/>
        </w:rPr>
        <w:fldChar w:fldCharType="begin"/>
      </w:r>
      <w:r>
        <w:rPr>
          <w:b/>
          <w:noProof/>
          <w:szCs w:val="24"/>
        </w:rPr>
        <w:instrText xml:space="preserve"> SEQ Figure \* ARABIC </w:instrText>
      </w:r>
      <w:r>
        <w:rPr>
          <w:b/>
          <w:noProof/>
          <w:szCs w:val="24"/>
        </w:rPr>
        <w:fldChar w:fldCharType="separate"/>
      </w:r>
      <w:r>
        <w:rPr>
          <w:b/>
          <w:noProof/>
          <w:szCs w:val="24"/>
        </w:rPr>
        <w:t>10</w:t>
      </w:r>
      <w:r>
        <w:rPr>
          <w:b/>
          <w:noProof/>
          <w:szCs w:val="24"/>
        </w:rPr>
        <w:fldChar w:fldCharType="end"/>
      </w:r>
    </w:p>
    <w:p w:rsidR="00972C98" w:rsidRDefault="00C70C1C">
      <w:pPr>
        <w:keepLines/>
        <w:rPr>
          <w:noProof/>
          <w:szCs w:val="24"/>
        </w:rPr>
      </w:pPr>
      <w:r>
        <w:rPr>
          <w:b/>
          <w:noProof/>
        </w:rPr>
        <w:t>Sukupolvenvaihdoksesta olisi tultava yksi uuden politiikkakehyksen painopisteistä</w:t>
      </w:r>
      <w:r>
        <w:rPr>
          <w:noProof/>
        </w:rPr>
        <w:t>, mutta on tunnustettava, ett</w:t>
      </w:r>
      <w:r>
        <w:rPr>
          <w:noProof/>
        </w:rPr>
        <w:t>ä jäsenvaltioilla on parhaat edellytykset säätää sukupolvenvaihdoksesta maankäyttöä koskeviin lakeihin, verotukseen, perintöoikeuteen tai aluesuunnitteluun liittyvää toimivaltaansa käyttämällä</w:t>
      </w:r>
      <w:r>
        <w:rPr>
          <w:rStyle w:val="FootnoteReference"/>
          <w:noProof/>
        </w:rPr>
        <w:footnoteReference w:id="12"/>
      </w:r>
      <w:r>
        <w:rPr>
          <w:noProof/>
        </w:rPr>
        <w:t xml:space="preserve">. Kun tämä otetaan huomioon, on tarpeen </w:t>
      </w:r>
      <w:r>
        <w:rPr>
          <w:b/>
          <w:noProof/>
        </w:rPr>
        <w:t>parantaa unionin ja jäs</w:t>
      </w:r>
      <w:r>
        <w:rPr>
          <w:b/>
          <w:noProof/>
        </w:rPr>
        <w:t>envaltioiden toimien yhtenäisyyttä</w:t>
      </w:r>
      <w:r>
        <w:rPr>
          <w:noProof/>
        </w:rPr>
        <w:t xml:space="preserve">. Yhteisessä maatalouspolitiikassa olisi jätettävä jäsenvaltioille joustovaraa laatia tarpeiden mukaisia ohjelmia, joissa otetaan huomioon </w:t>
      </w:r>
      <w:r>
        <w:rPr>
          <w:b/>
          <w:noProof/>
        </w:rPr>
        <w:t>kyseisen maan nuorten viljelijöiden erityistarpeet</w:t>
      </w:r>
      <w:r>
        <w:rPr>
          <w:noProof/>
        </w:rPr>
        <w:t xml:space="preserve">. Uusi täytäntöönpanojärjestelmä </w:t>
      </w:r>
      <w:r>
        <w:rPr>
          <w:noProof/>
        </w:rPr>
        <w:t>helpottaa jäsenvaltioiden toimintaa nuorten viljelijöiden auttamiseksi. Yhteisen maatalouspolitiikan strategisiin suunnitelmiin voi sisältyä tukea taitojen, tietojen, innovoinnin ja yritysten kehittämiseen sekä investointitukea. Tuottajaorganisaatioilla vo</w:t>
      </w:r>
      <w:r>
        <w:rPr>
          <w:noProof/>
        </w:rPr>
        <w:t>i olla tässä merkittävä rooli. Olisi tarjottava maaseudulla eläville nuorille lisää oppimistilaisuuksia ulkomailla ja tätä varten tuettava nuorille viljelijöille tarkoitettuja Erasmus-vaihdon mahdollisuuksia.</w:t>
      </w:r>
    </w:p>
    <w:p w:rsidR="00972C98" w:rsidRDefault="00C70C1C">
      <w:pPr>
        <w:keepLines/>
        <w:rPr>
          <w:noProof/>
          <w:szCs w:val="24"/>
        </w:rPr>
      </w:pPr>
      <w:r>
        <w:rPr>
          <w:noProof/>
        </w:rPr>
        <w:t>Ryhtyminen maatalousyrittäjäksi merkitsee suurt</w:t>
      </w:r>
      <w:r>
        <w:rPr>
          <w:noProof/>
        </w:rPr>
        <w:t xml:space="preserve">a riskiä, johon liittyvät suuret pääomainvestoinnit ja epävarmat tulot. Yhteisen maatalouspolitiikan olisi lievennettävä tätä riskiä ensimmäisinä vuosina maatalouden tuotantotoiminnan aloittamisen jälkeen ja otettava tätä varten käyttöön </w:t>
      </w:r>
      <w:r>
        <w:rPr>
          <w:b/>
          <w:noProof/>
        </w:rPr>
        <w:t>toiminnan ensimmäi</w:t>
      </w:r>
      <w:r>
        <w:rPr>
          <w:b/>
          <w:noProof/>
        </w:rPr>
        <w:t>seen käynnistämiseen myönnettävää tukea koskeva EU:n laajuinen järjestelmä</w:t>
      </w:r>
      <w:r>
        <w:rPr>
          <w:noProof/>
        </w:rPr>
        <w:t>, jossa myönnettäisiin tarvittavaa tukea hyvin yksinkertaisella ja kohdennetulla tavalla. Tämä voitaisiin toteuttaa maksamalla uusille ammatinharjoittajille yksinkertaistettua lisätu</w:t>
      </w:r>
      <w:r>
        <w:rPr>
          <w:noProof/>
        </w:rPr>
        <w:t>kea (jonka jäsenvaltiot sovittavat erityisten tarpeiden mukaan) ja lisäämällä tai laajentamalla nykyisiä kiinteämääräisiä tukia.</w:t>
      </w:r>
    </w:p>
    <w:p w:rsidR="00972C98" w:rsidRDefault="00C70C1C">
      <w:pPr>
        <w:keepLines/>
        <w:rPr>
          <w:bCs/>
          <w:iCs/>
          <w:noProof/>
          <w:szCs w:val="24"/>
        </w:rPr>
      </w:pPr>
      <w:r>
        <w:rPr>
          <w:b/>
          <w:noProof/>
        </w:rPr>
        <w:t>Rahoitusvälineiden</w:t>
      </w:r>
      <w:r>
        <w:rPr>
          <w:noProof/>
        </w:rPr>
        <w:t xml:space="preserve"> käyttöä maatilainvestointien ja käyttöpääoman tukemiseen olisi helpotettava, ja sitä olisi mukautettava uusi</w:t>
      </w:r>
      <w:r>
        <w:rPr>
          <w:noProof/>
        </w:rPr>
        <w:t xml:space="preserve">en viljelijöiden investointitarpeisiin ja korkeaan riskiprofiiliin paremmin sopivaksi. Uuden sukupolven viljelijöiden tukeen voitaisiin yhdistää tarkoituksenmukaiset kannustimet </w:t>
      </w:r>
      <w:r>
        <w:rPr>
          <w:b/>
          <w:noProof/>
        </w:rPr>
        <w:t>helpottamaan vanhemman sukupolven väistymistä</w:t>
      </w:r>
      <w:r>
        <w:rPr>
          <w:noProof/>
        </w:rPr>
        <w:t xml:space="preserve"> ja lisäämään maaomaisuuden liikk</w:t>
      </w:r>
      <w:r>
        <w:rPr>
          <w:noProof/>
        </w:rPr>
        <w:t xml:space="preserve">uvuutta. On myös enenevässä määrin tarvetta tukea </w:t>
      </w:r>
      <w:r>
        <w:rPr>
          <w:b/>
          <w:noProof/>
        </w:rPr>
        <w:t>tietämyksen siirtoa sukupolvelta toiselle</w:t>
      </w:r>
      <w:r>
        <w:rPr>
          <w:noProof/>
        </w:rPr>
        <w:t xml:space="preserve"> (kumppanuuksien ja muiden liiketoimintamallien kautta) ja </w:t>
      </w:r>
      <w:r>
        <w:rPr>
          <w:b/>
          <w:noProof/>
        </w:rPr>
        <w:t>helpottaa toiminnan jatkuvuuden suunnittelua</w:t>
      </w:r>
      <w:r>
        <w:rPr>
          <w:noProof/>
        </w:rPr>
        <w:t xml:space="preserve"> (esim. neuvontapalveluilla, mentoroinnilla ja laatimalla tila</w:t>
      </w:r>
      <w:r>
        <w:rPr>
          <w:noProof/>
        </w:rPr>
        <w:t>n jatkosuunnitelmia).</w:t>
      </w:r>
    </w:p>
    <w:p w:rsidR="00972C98" w:rsidRDefault="00C70C1C">
      <w:pPr>
        <w:pStyle w:val="Heading2"/>
        <w:keepLines/>
        <w:rPr>
          <w:noProof/>
        </w:rPr>
      </w:pPr>
      <w:bookmarkStart w:id="30" w:name="_Ref491779528"/>
      <w:bookmarkStart w:id="31" w:name="_Toc499285570"/>
      <w:bookmarkStart w:id="32" w:name="_Toc499653928"/>
      <w:r>
        <w:rPr>
          <w:noProof/>
        </w:rPr>
        <w:t>Vastataan kestävässä maataloustuotannossa kansalaisia askarruttaviin kysymyksiin</w:t>
      </w:r>
      <w:bookmarkEnd w:id="30"/>
      <w:r>
        <w:rPr>
          <w:noProof/>
        </w:rPr>
        <w:t xml:space="preserve"> – terveys, ravitsemus, elintarvikejäte, eläinten hyvinvointi</w:t>
      </w:r>
      <w:bookmarkEnd w:id="31"/>
      <w:bookmarkEnd w:id="32"/>
    </w:p>
    <w:p w:rsidR="00972C98" w:rsidRDefault="00C70C1C">
      <w:pPr>
        <w:keepLines/>
        <w:rPr>
          <w:noProof/>
          <w:szCs w:val="24"/>
        </w:rPr>
      </w:pPr>
      <w:r>
        <w:rPr>
          <w:noProof/>
        </w:rPr>
        <w:t>Yhteinen maatalouspolitiikka on yksi EU:n politiikoista, joilla vastataan ruokaan liittyviin</w:t>
      </w:r>
      <w:r>
        <w:rPr>
          <w:noProof/>
        </w:rPr>
        <w:t xml:space="preserve"> yhteiskunnan odotuksiin, erityisesti elintarvikkeiden turvallisuuden, elintarvikkeiden laadun sekä ympäristöä ja eläinten hyvinvointia koskevia normien osalta. Viljelijät ovat ruoantuotantojärjestelmien todellisia portinvartijoita, ja sen vuoksi heidän pa</w:t>
      </w:r>
      <w:r>
        <w:rPr>
          <w:noProof/>
        </w:rPr>
        <w:t>noksensa kestävään elintarvikeketjuun on keskeinen.</w:t>
      </w:r>
    </w:p>
    <w:p w:rsidR="00972C98" w:rsidRDefault="00C70C1C">
      <w:pPr>
        <w:keepLines/>
        <w:rPr>
          <w:noProof/>
        </w:rPr>
      </w:pPr>
      <w:r>
        <w:rPr>
          <w:noProof/>
        </w:rPr>
        <w:t xml:space="preserve">Kansalaiset antavat myös yhä suuremman arvon sille, että saatavilla on suuri valikoima elintarvikkeita, joihin liittyy </w:t>
      </w:r>
      <w:r>
        <w:rPr>
          <w:b/>
          <w:noProof/>
        </w:rPr>
        <w:t>yhteiskunnan kannalta laajempiakin etuja</w:t>
      </w:r>
      <w:r>
        <w:rPr>
          <w:noProof/>
        </w:rPr>
        <w:t>. Esimerkkejä niistä ovat luonnonmukaisesti t</w:t>
      </w:r>
      <w:r>
        <w:rPr>
          <w:noProof/>
        </w:rPr>
        <w:t>uotetut elintarvikkeet, maantieteellisen merkinnän saaneet tuotteet, paikalliset erikoisuudet ja innovatiiviset elintarvikkeet. Yhteisellä maatalouspolitiikalla olisi synergiassa EU:n muiden politiikkojen kanssa otettava edelleen nämä toiveet huomioon, esi</w:t>
      </w:r>
      <w:r>
        <w:rPr>
          <w:noProof/>
        </w:rPr>
        <w:t>merkiksi nykyaikaistamalla luonnonmukaisen tuotannon sääntöjä, lisäämällä edelleen maantieteellisten merkintöjen houkuttelevuutta viljelijöille ja kuluttajille ja tukemalla torjunta-aineiden kestävästä käytöstä annetun direktiivin</w:t>
      </w:r>
      <w:r>
        <w:rPr>
          <w:rStyle w:val="FootnoteReference"/>
          <w:noProof/>
        </w:rPr>
        <w:footnoteReference w:id="13"/>
      </w:r>
      <w:r>
        <w:rPr>
          <w:noProof/>
        </w:rPr>
        <w:t xml:space="preserve"> tavoitteita. Yhteisen ma</w:t>
      </w:r>
      <w:r>
        <w:rPr>
          <w:noProof/>
        </w:rPr>
        <w:t>atalouspolitiikan puitteissa olisi voitava paremmin käsitellä kriittisiä terveyskysymyksiä, kuten antibioottien epätarkoituksenmukaisesta käytöstä johtuvaa mikrobilääkeresistenssiä. Yhteisellä maatalouspolitiikalla olisi myös edistettävä uusien teknologioi</w:t>
      </w:r>
      <w:r>
        <w:rPr>
          <w:noProof/>
        </w:rPr>
        <w:t>den käyttöä, tutkimusta ja innovointia kansanterveyteen kohdistuvien riskien vähentämiseksi ”</w:t>
      </w:r>
      <w:r>
        <w:rPr>
          <w:b/>
          <w:noProof/>
        </w:rPr>
        <w:t>yhteinen terveys</w:t>
      </w:r>
      <w:r>
        <w:rPr>
          <w:noProof/>
        </w:rPr>
        <w:t>” -konseptia</w:t>
      </w:r>
      <w:r>
        <w:rPr>
          <w:rStyle w:val="FootnoteReference"/>
          <w:noProof/>
        </w:rPr>
        <w:footnoteReference w:id="14"/>
      </w:r>
      <w:r>
        <w:rPr>
          <w:noProof/>
        </w:rPr>
        <w:t xml:space="preserve"> vastaavan, </w:t>
      </w:r>
      <w:r>
        <w:rPr>
          <w:b/>
          <w:noProof/>
        </w:rPr>
        <w:t>ihmisten ja eläinten terveyttä</w:t>
      </w:r>
      <w:r>
        <w:rPr>
          <w:noProof/>
        </w:rPr>
        <w:t xml:space="preserve"> koskevan kunnianhimoisen ja kokonaisvaltaisen strategian mukaisesti.</w:t>
      </w:r>
    </w:p>
    <w:p w:rsidR="00972C98" w:rsidRDefault="00C70C1C">
      <w:pPr>
        <w:keepLines/>
        <w:rPr>
          <w:noProof/>
          <w:color w:val="000000"/>
          <w:szCs w:val="24"/>
        </w:rPr>
      </w:pPr>
      <w:r>
        <w:rPr>
          <w:noProof/>
        </w:rPr>
        <w:t>Vastaavasti yhteisellä</w:t>
      </w:r>
      <w:r>
        <w:rPr>
          <w:noProof/>
        </w:rPr>
        <w:t xml:space="preserve"> maatalouspolitiikalla olisi autettava viljelijöitä tehostamaan </w:t>
      </w:r>
      <w:r>
        <w:rPr>
          <w:b/>
          <w:noProof/>
        </w:rPr>
        <w:t>eläinten hyvinvointia</w:t>
      </w:r>
      <w:r>
        <w:rPr>
          <w:noProof/>
        </w:rPr>
        <w:t xml:space="preserve"> koskevien EU:n sääntöjen soveltamista ja nostamaan tasoa sellaisten vapaaehtoisten aloitteiden kautta, joiden tavoitteena on lisätä eläinten hyvinvoinnin markkina-arvoa s</w:t>
      </w:r>
      <w:r>
        <w:rPr>
          <w:noProof/>
        </w:rPr>
        <w:t>ekä EU:ssa että sen ulkopuolella.</w:t>
      </w:r>
    </w:p>
    <w:p w:rsidR="00972C98" w:rsidRDefault="00C70C1C">
      <w:pPr>
        <w:keepLines/>
        <w:rPr>
          <w:noProof/>
          <w:szCs w:val="24"/>
        </w:rPr>
      </w:pPr>
      <w:r>
        <w:rPr>
          <w:noProof/>
        </w:rPr>
        <w:t>Yhteisellä maatalouspolitiikalla olisi edelleen tuettava maaseudun kehittämistoimenpiteiden kautta tuotantoa, johon liittyy erityisiä ja arvokkaita piirteitä, ja edistettävä tällaisen tuotannon tunnustamista kansainvälisel</w:t>
      </w:r>
      <w:r>
        <w:rPr>
          <w:noProof/>
        </w:rPr>
        <w:t xml:space="preserve">lä tasolla. Maatalouspolitiikalla olisi myös edistettävä </w:t>
      </w:r>
      <w:r>
        <w:rPr>
          <w:b/>
          <w:noProof/>
        </w:rPr>
        <w:t>terveellisempää ravitsemusta, mikä auttaa vähentämään lihavuuden ja aliravitsemuksen</w:t>
      </w:r>
      <w:r>
        <w:rPr>
          <w:noProof/>
        </w:rPr>
        <w:t xml:space="preserve"> ongelmia, huolehtimalla siitä, että ravitsemuksellisesti arvokkaita tuotteita, kuten hedelmiä ja vihanneksia, on EU:n kansalaisille helposti saatavilla. Hyvänä esimerkkinä ovat koulujakeluohjelmat, joissa tuetaan hedelmien, vihannesten ja maitotuotteiden </w:t>
      </w:r>
      <w:r>
        <w:rPr>
          <w:noProof/>
        </w:rPr>
        <w:t xml:space="preserve">maksutonta jakelua kouluissa ja edistetään terveellisiin ruokailutottumuksiin liittyvää toimintaa oppitunneilla. Terveellisiä ravintotottumuksia edistävien kampanjoiden sekä hedelmien ja vihannesten kulutuksen lisäämisen olisi oltava ykkösasioita yhteisen </w:t>
      </w:r>
      <w:r>
        <w:rPr>
          <w:noProof/>
        </w:rPr>
        <w:t>maatalouspolitiikan menekinedistämistoimissa.</w:t>
      </w:r>
    </w:p>
    <w:p w:rsidR="00972C98" w:rsidRDefault="00C70C1C">
      <w:pPr>
        <w:keepLines/>
        <w:rPr>
          <w:noProof/>
          <w:szCs w:val="24"/>
        </w:rPr>
      </w:pPr>
      <w:r>
        <w:rPr>
          <w:noProof/>
        </w:rPr>
        <w:t xml:space="preserve">Kuluttajien elintarvikevalinnat riippuvat monista tekijöistä, jotka eivät kuulu lainkaan yhteisen maatalouspolitiikan alaan. Niinpä politiikan tärkeimpänä tehtävänä on </w:t>
      </w:r>
      <w:r>
        <w:rPr>
          <w:b/>
          <w:noProof/>
        </w:rPr>
        <w:t>auttaa viljelijöitä ennakoimaan</w:t>
      </w:r>
      <w:r>
        <w:rPr>
          <w:noProof/>
        </w:rPr>
        <w:t xml:space="preserve"> ravintotot</w:t>
      </w:r>
      <w:r>
        <w:rPr>
          <w:noProof/>
        </w:rPr>
        <w:t xml:space="preserve">tumusten </w:t>
      </w:r>
      <w:r>
        <w:rPr>
          <w:b/>
          <w:noProof/>
        </w:rPr>
        <w:t>kehitystä ja mukauttamaan tuotantoaan</w:t>
      </w:r>
      <w:r>
        <w:rPr>
          <w:noProof/>
        </w:rPr>
        <w:t xml:space="preserve"> markkinasignaalien ja kuluttajien vaatimusten mukaisesti. Vahvistamalla maatalouden osaamiskolmiota ja solmimalla parempia yhteyksiä soveltuviin tahoihin, kuten Euroopan innovaatio- ja teknologiainstituutin el</w:t>
      </w:r>
      <w:r>
        <w:rPr>
          <w:noProof/>
        </w:rPr>
        <w:t>intarvikekumppanuuteen sekä EU:n Food 2030 -tutkimusstrategiaan, yhteisellä maatalouspolitiikalla voidaan parhaiten edistää elintarvikejärjestelmää, jossa tulevaisuuden vaatimuksiin on varauduttu.</w:t>
      </w:r>
    </w:p>
    <w:p w:rsidR="00972C98" w:rsidRDefault="00C70C1C">
      <w:pPr>
        <w:keepLines/>
        <w:rPr>
          <w:noProof/>
          <w:szCs w:val="24"/>
        </w:rPr>
      </w:pPr>
      <w:r>
        <w:rPr>
          <w:noProof/>
        </w:rPr>
        <w:t xml:space="preserve">Yhteisellä maatalouspolitiikalla voidaan myös auttaa </w:t>
      </w:r>
      <w:r>
        <w:rPr>
          <w:noProof/>
        </w:rPr>
        <w:t xml:space="preserve">vähentämään elintarvikejätettä ja ruokahävikkiä kannustamalla soveltamaan parempia tuotanto- ja jalostuskäytäntöjä (esim. edistämällä pilaantuvien tuotteiden säilyvyysaikaa pidentäviä uusia teknologioita tai parantamalla tarjonnan ja kysynnän vastaavuutta </w:t>
      </w:r>
      <w:r>
        <w:rPr>
          <w:noProof/>
        </w:rPr>
        <w:t>läpinäkyvyyttä lisäämällä) ja tukemalla aloitteita, joilla muutetaan perinteisiä tuota-käytä-heitä pois -kulutusmalleja kierto- ja biotalouteen sopiviksi.</w:t>
      </w:r>
    </w:p>
    <w:p w:rsidR="00972C98" w:rsidRDefault="00C70C1C">
      <w:pPr>
        <w:pStyle w:val="Heading1"/>
        <w:keepLines/>
        <w:rPr>
          <w:noProof/>
        </w:rPr>
      </w:pPr>
      <w:bookmarkStart w:id="33" w:name="_Toc499285571"/>
      <w:bookmarkStart w:id="34" w:name="_Toc499653929"/>
      <w:r>
        <w:rPr>
          <w:noProof/>
        </w:rPr>
        <w:t>Yhteisen maatalouspolitiikan maailmanlaajuinen ulottuvuus</w:t>
      </w:r>
      <w:bookmarkEnd w:id="33"/>
      <w:bookmarkEnd w:id="34"/>
    </w:p>
    <w:p w:rsidR="00972C98" w:rsidRDefault="00C70C1C">
      <w:pPr>
        <w:keepLines/>
        <w:autoSpaceDE w:val="0"/>
        <w:autoSpaceDN w:val="0"/>
        <w:adjustRightInd w:val="0"/>
        <w:rPr>
          <w:rFonts w:eastAsia="Calibri"/>
          <w:noProof/>
          <w:szCs w:val="24"/>
        </w:rPr>
      </w:pPr>
      <w:r>
        <w:rPr>
          <w:noProof/>
        </w:rPr>
        <w:t>Yhteinen maatalouspolitiikka on Euroopan un</w:t>
      </w:r>
      <w:r>
        <w:rPr>
          <w:noProof/>
        </w:rPr>
        <w:t xml:space="preserve">ionia koskevaa politiikkaa, mutta sillä on selvästi myös </w:t>
      </w:r>
      <w:r>
        <w:rPr>
          <w:b/>
          <w:noProof/>
        </w:rPr>
        <w:t>vaikutuksia ja yhteyksiä maailmanlaajuisella tasolla</w:t>
      </w:r>
      <w:r>
        <w:rPr>
          <w:noProof/>
        </w:rPr>
        <w:t>.</w:t>
      </w:r>
      <w:r>
        <w:rPr>
          <w:b/>
          <w:noProof/>
        </w:rPr>
        <w:t xml:space="preserve"> </w:t>
      </w:r>
      <w:r>
        <w:rPr>
          <w:noProof/>
        </w:rPr>
        <w:t>Ne on otettava tarkoin huomioon, kun päätetään politiikan tulevaisuudesta. Yhteisen maatalouspolitiikan ja kestävän kehityksen tavoitteiden välis</w:t>
      </w:r>
      <w:r>
        <w:rPr>
          <w:noProof/>
        </w:rPr>
        <w:t xml:space="preserve">et kytkökset esitetään kuvassa 3. EU on sitoutunut tukemaan </w:t>
      </w:r>
      <w:r>
        <w:rPr>
          <w:b/>
          <w:noProof/>
        </w:rPr>
        <w:t>ulkoisten politiikkojen ja välineiden</w:t>
      </w:r>
      <w:r>
        <w:rPr>
          <w:noProof/>
        </w:rPr>
        <w:t xml:space="preserve"> kautta kumppanimaita saavuttamaan samat tavoitteet. </w:t>
      </w:r>
      <w:r>
        <w:rPr>
          <w:noProof/>
          <w:color w:val="000000" w:themeColor="text1"/>
        </w:rPr>
        <w:t>Sen vuoksi se pyrkii toteuttamaan politiikoissaan johdonmukaisia toimia, jotka ovat Agenda 2030 -toimintao</w:t>
      </w:r>
      <w:r>
        <w:rPr>
          <w:noProof/>
          <w:color w:val="000000" w:themeColor="text1"/>
        </w:rPr>
        <w:t>hjelman mukaisia ja noudattavat sen sitoumusta edistää kestävän kehityksen osalta johdonmukaista politiikkaa</w:t>
      </w:r>
      <w:r>
        <w:rPr>
          <w:rStyle w:val="FootnoteReference"/>
          <w:noProof/>
          <w:color w:val="000000" w:themeColor="text1"/>
        </w:rPr>
        <w:footnoteReference w:id="15"/>
      </w:r>
      <w:r>
        <w:rPr>
          <w:noProof/>
          <w:color w:val="000000" w:themeColor="text1"/>
        </w:rPr>
        <w:t xml:space="preserve">. </w:t>
      </w:r>
      <w:r>
        <w:rPr>
          <w:noProof/>
        </w:rPr>
        <w:t>Tämä edellyttää sitä, että kehitysyhteistyön tavoitteet otetaan huomioon niissä politiikoissa, jotka todennäköisesti vaikuttavat kehitysmaihin.</w:t>
      </w:r>
    </w:p>
    <w:p w:rsidR="00972C98" w:rsidRDefault="00C70C1C">
      <w:pPr>
        <w:keepLines/>
        <w:autoSpaceDE w:val="0"/>
        <w:autoSpaceDN w:val="0"/>
        <w:adjustRightInd w:val="0"/>
        <w:rPr>
          <w:noProof/>
          <w:color w:val="000000" w:themeColor="text1"/>
        </w:rPr>
      </w:pPr>
      <w:r>
        <w:rPr>
          <w:noProof/>
        </w:rPr>
        <w:t>T</w:t>
      </w:r>
      <w:r>
        <w:rPr>
          <w:noProof/>
        </w:rPr>
        <w:t>ältä osin yhteinen maatalouspolitiikka on nyt ja myös tulevaisuudessa yhdenmukaista EU:n kehitysyhteistyöpolitiikan</w:t>
      </w:r>
      <w:r>
        <w:rPr>
          <w:rStyle w:val="FootnoteReference"/>
          <w:noProof/>
        </w:rPr>
        <w:footnoteReference w:id="16"/>
      </w:r>
      <w:r>
        <w:rPr>
          <w:noProof/>
        </w:rPr>
        <w:t xml:space="preserve"> kanssa, jossa tunnistetaan kestävän maatalouden tärkeä rooli kehitysmaiden köyhyyden vähentämisessä ja kestävässä kehityksessä ja tuetaan m</w:t>
      </w:r>
      <w:r>
        <w:rPr>
          <w:noProof/>
        </w:rPr>
        <w:t>aataloustuotteiden markkinoiden kehittämistä ja osallistavia arvoketjuja, jotka hyödyttävät köyhiä ja kannustavat elintarviketeollisuutta luomaan uusia työpaikkoja.</w:t>
      </w:r>
    </w:p>
    <w:p w:rsidR="00972C98" w:rsidRDefault="00C70C1C">
      <w:pPr>
        <w:pStyle w:val="Heading2"/>
        <w:keepLines/>
        <w:rPr>
          <w:noProof/>
        </w:rPr>
      </w:pPr>
      <w:bookmarkStart w:id="35" w:name="_Toc499285572"/>
      <w:bookmarkStart w:id="36" w:name="_Toc499653930"/>
      <w:r>
        <w:rPr>
          <w:noProof/>
        </w:rPr>
        <w:t>Kauppa</w:t>
      </w:r>
      <w:bookmarkEnd w:id="35"/>
      <w:bookmarkEnd w:id="36"/>
    </w:p>
    <w:p w:rsidR="00972C98" w:rsidRDefault="00C70C1C">
      <w:pPr>
        <w:pStyle w:val="Caption"/>
        <w:keepLines/>
        <w:rPr>
          <w:noProof/>
        </w:rPr>
      </w:pPr>
      <w:r>
        <w:rPr>
          <w:b w:val="0"/>
          <w:noProof/>
        </w:rPr>
        <w:t>EU:n maatalouden ja elintarviketeollisuuden ponnistelujen ansiosta EU on unionin kau</w:t>
      </w:r>
      <w:r>
        <w:rPr>
          <w:b w:val="0"/>
          <w:noProof/>
        </w:rPr>
        <w:t>ppasopimusten ja yhteisen maatalouspolitiikan (ml. menekinedistämistoimenpiteet) tuella maailman suurin maataloustuotteiden ja elintarvikkeiden viejä. Kaupan suurempi vapautuminen sekä yhä suurempi osallisuus maailmanlaajuisissa arvoketjuissa mahdollistava</w:t>
      </w:r>
      <w:r>
        <w:rPr>
          <w:b w:val="0"/>
          <w:noProof/>
        </w:rPr>
        <w:t>t sen, että EU:n maatalous- ja elintarvikesektori voi kehittää vientiä edelleen, vastata keskiluokan kasvaviin vaatimuksiin maailmanlaajuisesti ja reagoida ravintotottumusten muutoksiin. Kansalaisten kannalta kansainvälisen kaupan kasvu parantaa elintarvik</w:t>
      </w:r>
      <w:r>
        <w:rPr>
          <w:b w:val="0"/>
          <w:noProof/>
        </w:rPr>
        <w:t>keiden saatavuutta, valikoimaa ja hintatasoa.</w:t>
      </w:r>
    </w:p>
    <w:p w:rsidR="00972C98" w:rsidRDefault="00C70C1C">
      <w:pPr>
        <w:keepLines/>
        <w:rPr>
          <w:noProof/>
        </w:rPr>
      </w:pPr>
      <w:r>
        <w:rPr>
          <w:noProof/>
        </w:rPr>
        <w:t>Pitämällä EU:n maatalous- ja elintarvikesektorin markkinasuuntautuneena ja yhteisen maatalouspolitiikan toimenpiteet yhdenmukaisina kansainvälisen kauppaoikeuden kanssa EU voi säilyttää johtoasemansa kansainväl</w:t>
      </w:r>
      <w:r>
        <w:rPr>
          <w:noProof/>
        </w:rPr>
        <w:t>isissä elimissä, kuten Maailman kauppajärjestössä (WTO), edistäen avointa kauppaa ja kannattaen tiukkoja vaatimuksia kauppaa vääristävien tukimuotojen osalta.</w:t>
      </w:r>
    </w:p>
    <w:p w:rsidR="00972C98" w:rsidRDefault="00C70C1C">
      <w:pPr>
        <w:keepLines/>
        <w:rPr>
          <w:noProof/>
          <w:szCs w:val="24"/>
        </w:rPr>
      </w:pPr>
      <w:r>
        <w:rPr>
          <w:noProof/>
        </w:rPr>
        <w:t xml:space="preserve">Samaan aikaan ei voida jättää huomiotta sitä, että </w:t>
      </w:r>
      <w:r>
        <w:rPr>
          <w:b/>
          <w:noProof/>
        </w:rPr>
        <w:t>tietyt maatalouden sektorit eivät kestä kaupan</w:t>
      </w:r>
      <w:r>
        <w:rPr>
          <w:b/>
          <w:noProof/>
        </w:rPr>
        <w:t xml:space="preserve"> täydellistä vapauttamista ja rajoittamatonta kilpailua tuonnin kanssa</w:t>
      </w:r>
      <w:r>
        <w:rPr>
          <w:noProof/>
        </w:rPr>
        <w:t>. Sen vuoksi kyseisten tuotteiden arkuus on jatkossakin tunnustettava ja otettava huomioon kauppaneuvotteluissa. On myös selvitettävä, kuinka voidaan oikaista etujen ja haittojen maantie</w:t>
      </w:r>
      <w:r>
        <w:rPr>
          <w:noProof/>
        </w:rPr>
        <w:t>teellinen epätasapaino, joka EU:n kauppasopimusten seurauksena vaikuttaa EU:n maatalousalaan.</w:t>
      </w:r>
    </w:p>
    <w:p w:rsidR="00972C98" w:rsidRDefault="00C70C1C">
      <w:pPr>
        <w:keepLines/>
        <w:rPr>
          <w:noProof/>
        </w:rPr>
      </w:pPr>
      <w:r>
        <w:rPr>
          <w:noProof/>
        </w:rPr>
        <w:t>Nykyään EU:lla on kolmansien maiden asettamia vientirajoituksia monille merkittäville maataloustuotteiden ja elintarvikkeiden markkinoille terveyteen ja kasvinsuo</w:t>
      </w:r>
      <w:r>
        <w:rPr>
          <w:noProof/>
        </w:rPr>
        <w:t>jeluun liittyvien perusteettomien kaupan esteiden vuoksi. EU tavoittelee edelleen oikeudenmukaisia ja tasapainoisia suhteita kauppakumppaneidensa kanssa ja pyrkii tapauksen mukaan edistämään mallia, jossa EU:ta pidetään terveyden ja kasvinsuojelun osalta y</w:t>
      </w:r>
      <w:r>
        <w:rPr>
          <w:noProof/>
        </w:rPr>
        <w:t>htenä toimijana. EU:n korkeista vaatimuksista ei kuitenkaan tingitä missään tapauksessa. EU:n olisi lisäksi pyrittävä lisäämään erilaisten kehitysyhteistyön ja teknisen avun välineidensä kautta yhteistyötä EU:n kumppanimaiden ja -alueiden kanssa, erityises</w:t>
      </w:r>
      <w:r>
        <w:rPr>
          <w:noProof/>
        </w:rPr>
        <w:t>ti silloin kun ilmenee uusia ja kehittyviä eläinterveyteen tai kasvinsuojeluun kohdistuvia uhkia.</w:t>
      </w:r>
    </w:p>
    <w:p w:rsidR="00972C98" w:rsidRDefault="00C70C1C">
      <w:pPr>
        <w:pStyle w:val="Heading2"/>
        <w:keepLines/>
        <w:rPr>
          <w:noProof/>
        </w:rPr>
      </w:pPr>
      <w:bookmarkStart w:id="37" w:name="_Toc499285573"/>
      <w:bookmarkStart w:id="38" w:name="_Toc499653931"/>
      <w:r>
        <w:rPr>
          <w:noProof/>
        </w:rPr>
        <w:t>Muuttoliike</w:t>
      </w:r>
      <w:bookmarkEnd w:id="37"/>
      <w:bookmarkEnd w:id="38"/>
    </w:p>
    <w:p w:rsidR="00972C98" w:rsidRDefault="00C70C1C">
      <w:pPr>
        <w:keepLines/>
        <w:rPr>
          <w:rFonts w:eastAsia="Calibri"/>
          <w:noProof/>
          <w:szCs w:val="24"/>
        </w:rPr>
      </w:pPr>
      <w:r>
        <w:rPr>
          <w:noProof/>
        </w:rPr>
        <w:t>Tuleva yhteinen maatalouspolitiikka on aiempaa suuremmassa roolissa pantaessa täytäntöön muuttoliikkeen perimmäisiin syihin liittyviä Valettan hui</w:t>
      </w:r>
      <w:r>
        <w:rPr>
          <w:noProof/>
        </w:rPr>
        <w:t>ppukokouksen</w:t>
      </w:r>
      <w:r>
        <w:rPr>
          <w:rStyle w:val="FootnoteReference"/>
          <w:noProof/>
        </w:rPr>
        <w:footnoteReference w:id="17"/>
      </w:r>
      <w:r>
        <w:rPr>
          <w:noProof/>
        </w:rPr>
        <w:t xml:space="preserve"> tuloksia.</w:t>
      </w:r>
    </w:p>
    <w:p w:rsidR="00972C98" w:rsidRDefault="00C70C1C">
      <w:pPr>
        <w:keepLines/>
        <w:rPr>
          <w:noProof/>
          <w:szCs w:val="24"/>
        </w:rPr>
      </w:pPr>
      <w:r>
        <w:rPr>
          <w:noProof/>
        </w:rPr>
        <w:t>Yhteisen maatalouspolitiikan nojalla tuetuissa hankkeissa kertynyttä tietoa ja osaamista olisi hyödynnettävä, kun kehitellään työtilaisuuksia ja tuloa tuottavia toimintamuotoja muuttajien alkuperä- ja kauttakulkualueilla. Tämä voida</w:t>
      </w:r>
      <w:r>
        <w:rPr>
          <w:noProof/>
        </w:rPr>
        <w:t>an toteuttaa esimerkiksi nuorten viljelijöiden koulutusta koskevina EU:n ulkoisen investointiohjelman pilottihankkeina – joihin osallistuu myös eurooppalaisia viljelijäorganisaatioita. Lisäksi olisi selvitettävä mahdollisuuksia EU:n ja Afrikan unionin vaih</w:t>
      </w:r>
      <w:r>
        <w:rPr>
          <w:noProof/>
        </w:rPr>
        <w:t>to-ohjelmiin. Maataloustutkimukseen ja -innovointiin liittyvää yhteistyötä on syvennettävä. Komissio on myös sitoutunut edistämään strategista poliittista yhteistyötä ja vuoropuhelua Afrikan unionin kanssa maatalouteen ja maaseudun kehittämiseen liittyviss</w:t>
      </w:r>
      <w:r>
        <w:rPr>
          <w:noProof/>
        </w:rPr>
        <w:t>ä kysymyksissä auttaakseen aluetta kehittämään maa- ja elintarviketalouttaan.</w:t>
      </w:r>
    </w:p>
    <w:p w:rsidR="00972C98" w:rsidRDefault="00C70C1C">
      <w:pPr>
        <w:keepLines/>
        <w:rPr>
          <w:rFonts w:eastAsia="Calibri"/>
          <w:noProof/>
          <w:szCs w:val="24"/>
        </w:rPr>
      </w:pPr>
      <w:r>
        <w:rPr>
          <w:noProof/>
        </w:rPr>
        <w:t xml:space="preserve">EU:n alueella maatalous tarjoaa työtä kausityöntekijöille. </w:t>
      </w:r>
    </w:p>
    <w:p w:rsidR="00972C98" w:rsidRDefault="00C70C1C">
      <w:pPr>
        <w:keepLines/>
        <w:rPr>
          <w:noProof/>
          <w:szCs w:val="24"/>
        </w:rPr>
      </w:pPr>
      <w:r>
        <w:rPr>
          <w:noProof/>
        </w:rPr>
        <w:t xml:space="preserve">Yhteinen maatalouspolitiikka voi myös maaseudun kehittämistä koskevan pilarin kautta auttaa laillisia maahanmuuttajia </w:t>
      </w:r>
      <w:r>
        <w:rPr>
          <w:noProof/>
        </w:rPr>
        <w:t>asettumaan maahan ja kotoutumaan maaseutuyhteisöihin. Kokemus on osoittanut, että yhteisölähtöinen paikallinen kehittäminen / LEADER soveltuu tähän erityisen hyvin.</w:t>
      </w:r>
    </w:p>
    <w:sectPr w:rsidR="00972C98">
      <w:headerReference w:type="even" r:id="rId26"/>
      <w:headerReference w:type="default" r:id="rId27"/>
      <w:footerReference w:type="even" r:id="rId28"/>
      <w:footerReference w:type="default" r:id="rId29"/>
      <w:headerReference w:type="first" r:id="rId30"/>
      <w:footerReference w:type="first" r:id="rId31"/>
      <w:pgSz w:w="11906" w:h="16838"/>
      <w:pgMar w:top="1020" w:right="1701" w:bottom="1020" w:left="1587" w:header="601" w:footer="107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2C98" w:rsidRDefault="00C70C1C">
      <w:pPr>
        <w:spacing w:after="0"/>
      </w:pPr>
      <w:r>
        <w:separator/>
      </w:r>
    </w:p>
  </w:endnote>
  <w:endnote w:type="continuationSeparator" w:id="0">
    <w:p w:rsidR="00972C98" w:rsidRDefault="00C70C1C">
      <w:pPr>
        <w:spacing w:after="0"/>
      </w:pPr>
      <w:r>
        <w:continuationSeparator/>
      </w:r>
    </w:p>
  </w:endnote>
  <w:endnote w:type="continuationNotice" w:id="1">
    <w:p w:rsidR="00972C98" w:rsidRDefault="00972C9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EC Square Sans Pro">
    <w:panose1 w:val="020B0506040000020004"/>
    <w:charset w:val="00"/>
    <w:family w:val="swiss"/>
    <w:pitch w:val="variable"/>
    <w:sig w:usb0="A00002BF" w:usb1="5000E0F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erdana">
    <w:altName w:val="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C98" w:rsidRDefault="00972C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C98" w:rsidRDefault="00C70C1C">
    <w:pPr>
      <w:pStyle w:val="FooterCoverPage"/>
      <w:rPr>
        <w:rFonts w:ascii="Arial" w:hAnsi="Arial" w:cs="Arial"/>
        <w:b/>
        <w:sz w:val="48"/>
      </w:rPr>
    </w:pPr>
    <w:r>
      <w:rPr>
        <w:rFonts w:ascii="Arial" w:hAnsi="Arial" w:cs="Arial"/>
        <w:b/>
        <w:sz w:val="48"/>
      </w:rPr>
      <w:t>FI</w:t>
    </w:r>
    <w:r>
      <w:rPr>
        <w:rFonts w:ascii="Arial" w:hAnsi="Arial" w:cs="Arial"/>
        <w:b/>
        <w:sz w:val="48"/>
      </w:rPr>
      <w:tab/>
    </w:r>
    <w:r>
      <w:rPr>
        <w:rFonts w:ascii="Arial" w:hAnsi="Arial" w:cs="Arial"/>
        <w:b/>
        <w:sz w:val="48"/>
      </w:rPr>
      <w:tab/>
    </w:r>
    <w:r>
      <w:tab/>
    </w:r>
    <w:r>
      <w:rPr>
        <w:rFonts w:ascii="Arial" w:hAnsi="Arial" w:cs="Arial"/>
        <w:b/>
        <w:sz w:val="48"/>
      </w:rPr>
      <w:t>FI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C98" w:rsidRDefault="00972C98">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C98" w:rsidRDefault="00972C9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017035"/>
      <w:docPartObj>
        <w:docPartGallery w:val="Page Numbers (Bottom of Page)"/>
        <w:docPartUnique/>
      </w:docPartObj>
    </w:sdtPr>
    <w:sdtEndPr>
      <w:rPr>
        <w:noProof/>
      </w:rPr>
    </w:sdtEndPr>
    <w:sdtContent>
      <w:p w:rsidR="00972C98" w:rsidRDefault="00C70C1C">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972C98" w:rsidRDefault="00972C98">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C98" w:rsidRDefault="00972C98">
    <w:pPr>
      <w:pStyle w:val="Footer"/>
      <w:jc w:val="center"/>
    </w:pPr>
  </w:p>
  <w:p w:rsidR="00972C98" w:rsidRDefault="00972C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2C98" w:rsidRDefault="00C70C1C">
      <w:pPr>
        <w:spacing w:after="0"/>
      </w:pPr>
      <w:r>
        <w:separator/>
      </w:r>
    </w:p>
  </w:footnote>
  <w:footnote w:type="continuationSeparator" w:id="0">
    <w:p w:rsidR="00972C98" w:rsidRDefault="00C70C1C">
      <w:pPr>
        <w:spacing w:after="0"/>
      </w:pPr>
      <w:r>
        <w:continuationSeparator/>
      </w:r>
    </w:p>
  </w:footnote>
  <w:footnote w:type="continuationNotice" w:id="1">
    <w:p w:rsidR="00972C98" w:rsidRDefault="00972C98">
      <w:pPr>
        <w:spacing w:after="0"/>
      </w:pPr>
    </w:p>
  </w:footnote>
  <w:footnote w:id="2">
    <w:p w:rsidR="00972C98" w:rsidRDefault="00C70C1C">
      <w:pPr>
        <w:pStyle w:val="FootnoteText"/>
      </w:pPr>
      <w:r>
        <w:rPr>
          <w:rStyle w:val="FootnoteReference"/>
        </w:rPr>
        <w:footnoteRef/>
      </w:r>
      <w:r>
        <w:t xml:space="preserve"> Käsittää lähinnä maaseutu- ja välialueet (OECD:n määritelmä).</w:t>
      </w:r>
    </w:p>
  </w:footnote>
  <w:footnote w:id="3">
    <w:p w:rsidR="00972C98" w:rsidRDefault="00C70C1C">
      <w:pPr>
        <w:pStyle w:val="FootnoteText"/>
        <w:rPr>
          <w:lang w:val="pl-PL"/>
        </w:rPr>
      </w:pPr>
      <w:r>
        <w:rPr>
          <w:rStyle w:val="FootnoteReference"/>
        </w:rPr>
        <w:footnoteRef/>
      </w:r>
      <w:r>
        <w:rPr>
          <w:lang w:val="pl-PL"/>
        </w:rPr>
        <w:t xml:space="preserve"> </w:t>
      </w:r>
      <w:r>
        <w:rPr>
          <w:lang w:val="pl-PL"/>
        </w:rPr>
        <w:tab/>
        <w:t xml:space="preserve">Ks. </w:t>
      </w:r>
      <w:hyperlink r:id="rId1">
        <w:r>
          <w:rPr>
            <w:rStyle w:val="Hyperlink"/>
            <w:lang w:val="pl-PL"/>
          </w:rPr>
          <w:t>https://ec.europa.eu/agriculture/trade-analysis/statistics_en</w:t>
        </w:r>
      </w:hyperlink>
      <w:r>
        <w:rPr>
          <w:lang w:val="pl-PL"/>
        </w:rPr>
        <w:t xml:space="preserve"> </w:t>
      </w:r>
    </w:p>
  </w:footnote>
  <w:footnote w:id="4">
    <w:p w:rsidR="00972C98" w:rsidRDefault="00C70C1C">
      <w:pPr>
        <w:pStyle w:val="FootnoteText"/>
        <w:rPr>
          <w:lang w:val="en-GB"/>
        </w:rPr>
      </w:pPr>
      <w:r>
        <w:rPr>
          <w:rStyle w:val="FootnoteReference"/>
        </w:rPr>
        <w:footnoteRef/>
      </w:r>
      <w:r>
        <w:rPr>
          <w:lang w:val="en-GB"/>
        </w:rPr>
        <w:t xml:space="preserve"> </w:t>
      </w:r>
      <w:r>
        <w:rPr>
          <w:lang w:val="en-GB"/>
        </w:rPr>
        <w:tab/>
        <w:t xml:space="preserve">Ecorys et al. (2016) </w:t>
      </w:r>
      <w:r>
        <w:rPr>
          <w:i/>
          <w:lang w:val="en-GB"/>
        </w:rPr>
        <w:t>Mapping and analys</w:t>
      </w:r>
      <w:r>
        <w:rPr>
          <w:i/>
          <w:lang w:val="en-GB"/>
        </w:rPr>
        <w:t>is of the implementation of the CAP</w:t>
      </w:r>
      <w:r>
        <w:rPr>
          <w:lang w:val="en-GB"/>
        </w:rPr>
        <w:t>, s. 76-94.</w:t>
      </w:r>
    </w:p>
  </w:footnote>
  <w:footnote w:id="5">
    <w:p w:rsidR="00972C98" w:rsidRDefault="00C70C1C">
      <w:pPr>
        <w:pStyle w:val="FootnoteText"/>
        <w:rPr>
          <w:lang w:val="en-GB"/>
        </w:rPr>
      </w:pPr>
      <w:r>
        <w:rPr>
          <w:rStyle w:val="FootnoteReference"/>
        </w:rPr>
        <w:footnoteRef/>
      </w:r>
      <w:r>
        <w:rPr>
          <w:lang w:val="en-GB"/>
        </w:rPr>
        <w:t xml:space="preserve"> </w:t>
      </w:r>
      <w:r>
        <w:rPr>
          <w:lang w:val="en-GB"/>
        </w:rPr>
        <w:tab/>
        <w:t xml:space="preserve">Ks. </w:t>
      </w:r>
      <w:r>
        <w:rPr>
          <w:i/>
          <w:lang w:val="en-GB"/>
        </w:rPr>
        <w:t>Evaluation study of the implementation of the European Innovation Partnership (EIP)</w:t>
      </w:r>
      <w:r>
        <w:rPr>
          <w:lang w:val="en-GB"/>
        </w:rPr>
        <w:t xml:space="preserve">, marraskuu 2016: </w:t>
      </w:r>
      <w:hyperlink r:id="rId2">
        <w:r>
          <w:rPr>
            <w:rStyle w:val="Hyperlink"/>
            <w:lang w:val="en-GB"/>
          </w:rPr>
          <w:t>https://ec.europa.eu</w:t>
        </w:r>
        <w:r>
          <w:rPr>
            <w:rStyle w:val="Hyperlink"/>
            <w:lang w:val="en-GB"/>
          </w:rPr>
          <w:t>/agriculture/external-studies/2016-eip_en</w:t>
        </w:r>
      </w:hyperlink>
    </w:p>
    <w:p w:rsidR="00972C98" w:rsidRDefault="00972C98">
      <w:pPr>
        <w:pStyle w:val="FootnoteText"/>
        <w:rPr>
          <w:lang w:val="en-GB"/>
        </w:rPr>
      </w:pPr>
    </w:p>
  </w:footnote>
  <w:footnote w:id="6">
    <w:p w:rsidR="00972C98" w:rsidRDefault="00C70C1C">
      <w:pPr>
        <w:pStyle w:val="FootnoteText"/>
        <w:rPr>
          <w:lang w:val="pl-PL"/>
        </w:rPr>
      </w:pPr>
      <w:r>
        <w:rPr>
          <w:rStyle w:val="FootnoteReference"/>
        </w:rPr>
        <w:footnoteRef/>
      </w:r>
      <w:r>
        <w:rPr>
          <w:lang w:val="pl-PL"/>
        </w:rPr>
        <w:t xml:space="preserve"> Ks. </w:t>
      </w:r>
      <w:hyperlink r:id="rId3">
        <w:r>
          <w:rPr>
            <w:rStyle w:val="Hyperlink"/>
            <w:lang w:val="pl-PL"/>
          </w:rPr>
          <w:t>https://ec.europa.eu/agriculture/consultations/cap-modernising/2017_fi</w:t>
        </w:r>
      </w:hyperlink>
    </w:p>
    <w:p w:rsidR="00972C98" w:rsidRDefault="00972C98">
      <w:pPr>
        <w:pStyle w:val="FootnoteText"/>
        <w:rPr>
          <w:lang w:val="pl-PL"/>
        </w:rPr>
      </w:pPr>
    </w:p>
  </w:footnote>
  <w:footnote w:id="7">
    <w:p w:rsidR="00972C98" w:rsidRDefault="00C70C1C">
      <w:pPr>
        <w:pStyle w:val="FootnoteText"/>
        <w:ind w:left="0" w:firstLine="0"/>
      </w:pPr>
      <w:r>
        <w:rPr>
          <w:rStyle w:val="FootnoteReference"/>
        </w:rPr>
        <w:footnoteRef/>
      </w:r>
      <w:r>
        <w:t xml:space="preserve"> Komission yksiköiden valmisteluasiakirja </w:t>
      </w:r>
      <w:r>
        <w:rPr>
          <w:i/>
        </w:rPr>
        <w:t>Re</w:t>
      </w:r>
      <w:r>
        <w:rPr>
          <w:i/>
        </w:rPr>
        <w:t>view of greening after one year</w:t>
      </w:r>
      <w:r>
        <w:t xml:space="preserve"> </w:t>
      </w:r>
      <w:hyperlink r:id="rId4">
        <w:r>
          <w:rPr>
            <w:rStyle w:val="Hyperlink"/>
          </w:rPr>
          <w:t>https://ec.europa.eu/agriculture/sites/agriculture/files/direct-support/pdf/2016-staf</w:t>
        </w:r>
        <w:r>
          <w:rPr>
            <w:rStyle w:val="Hyperlink"/>
          </w:rPr>
          <w:t>f-working-document-greening_en.pdf</w:t>
        </w:r>
      </w:hyperlink>
      <w:r>
        <w:t>; myös komission kertomus Euroopan parlamentille ja neuvostolle viherryttämistukijärjestelmän mukaisen ekologista alaa koskevan velvoitteen täytäntöönpanosta (COM(2017) 0152 final, 29.3.2017).</w:t>
      </w:r>
    </w:p>
  </w:footnote>
  <w:footnote w:id="8">
    <w:p w:rsidR="00972C98" w:rsidRDefault="00C70C1C">
      <w:pPr>
        <w:pStyle w:val="FootnoteText"/>
        <w:ind w:left="0" w:firstLine="0"/>
        <w:rPr>
          <w:rStyle w:val="Hyperlink"/>
          <w:bCs/>
          <w:lang w:eastAsia="en-GB"/>
        </w:rPr>
      </w:pPr>
      <w:r>
        <w:rPr>
          <w:rStyle w:val="FootnoteReference"/>
        </w:rPr>
        <w:footnoteRef/>
      </w:r>
      <w:r>
        <w:t xml:space="preserve"> Ks. </w:t>
      </w:r>
      <w:r>
        <w:rPr>
          <w:b/>
          <w:i/>
        </w:rPr>
        <w:t xml:space="preserve">Ecampa2 study (2016) </w:t>
      </w:r>
      <w:r>
        <w:t>ja</w:t>
      </w:r>
      <w:r>
        <w:t xml:space="preserve"> tuorein ajantasainen arvio kasvihuonekaasupäästöjen hillitsemisen vaihtoehdoista EU:n maatalouden kannalta: </w:t>
      </w:r>
      <w:hyperlink r:id="rId5">
        <w:r>
          <w:rPr>
            <w:rStyle w:val="Hyperlink"/>
          </w:rPr>
          <w:t>http://publications.jrc.e</w:t>
        </w:r>
        <w:r>
          <w:rPr>
            <w:rStyle w:val="Hyperlink"/>
          </w:rPr>
          <w:t>c.europa.eu/repository/bitstream/JRC101396/jrc101396_ecampa2_final_report.pdf</w:t>
        </w:r>
      </w:hyperlink>
    </w:p>
    <w:p w:rsidR="00972C98" w:rsidRDefault="00972C98">
      <w:pPr>
        <w:spacing w:before="60" w:after="60"/>
        <w:rPr>
          <w:sz w:val="20"/>
          <w:lang w:eastAsia="en-GB"/>
        </w:rPr>
      </w:pPr>
    </w:p>
  </w:footnote>
  <w:footnote w:id="9">
    <w:p w:rsidR="00972C98" w:rsidRDefault="00C70C1C">
      <w:pPr>
        <w:pStyle w:val="FootnoteText"/>
        <w:ind w:left="0" w:firstLine="0"/>
      </w:pPr>
      <w:r>
        <w:rPr>
          <w:rStyle w:val="FootnoteReference"/>
        </w:rPr>
        <w:footnoteRef/>
      </w:r>
      <w:r>
        <w:t xml:space="preserve"> REFIT-foorumin lausunnot täydentävistä ehdoista, viherryttämisestä, ensimmäisen ja toisen pilarin päällekkäisyyksistä, valvonnasta ja tarkastuksesta sekä tilatukien uudistusta</w:t>
      </w:r>
      <w:r>
        <w:t xml:space="preserve"> koskevasta EU:n lainsäädännöstä (</w:t>
      </w:r>
      <w:r>
        <w:rPr>
          <w:i/>
        </w:rPr>
        <w:t>Cross Compliance</w:t>
      </w:r>
      <w:r>
        <w:t xml:space="preserve">, </w:t>
      </w:r>
      <w:r>
        <w:rPr>
          <w:i/>
        </w:rPr>
        <w:t>Greening</w:t>
      </w:r>
      <w:r>
        <w:t xml:space="preserve">, </w:t>
      </w:r>
      <w:r>
        <w:rPr>
          <w:i/>
        </w:rPr>
        <w:t>Overlaps between pillar I and II</w:t>
      </w:r>
      <w:r>
        <w:t xml:space="preserve">, </w:t>
      </w:r>
      <w:r>
        <w:rPr>
          <w:i/>
        </w:rPr>
        <w:t>Control and Audit</w:t>
      </w:r>
      <w:r>
        <w:t xml:space="preserve">, </w:t>
      </w:r>
      <w:r>
        <w:rPr>
          <w:i/>
        </w:rPr>
        <w:t>Rural Development support</w:t>
      </w:r>
      <w:r>
        <w:t xml:space="preserve"> ja </w:t>
      </w:r>
      <w:r>
        <w:rPr>
          <w:i/>
        </w:rPr>
        <w:t>EU legislation on the Farm subsidies reform</w:t>
      </w:r>
      <w:r>
        <w:t xml:space="preserve">. Saatavilla osoitteessa: </w:t>
      </w:r>
      <w:hyperlink r:id="rId6">
        <w:r>
          <w:rPr>
            <w:color w:val="0000FF" w:themeColor="hyperlink"/>
            <w:u w:val="single"/>
          </w:rPr>
          <w:t>https://ec.europa.eu/info/law/law-mak</w:t>
        </w:r>
        <w:r>
          <w:rPr>
            <w:color w:val="0000FF" w:themeColor="hyperlink"/>
            <w:u w:val="single"/>
          </w:rPr>
          <w:t>ing-process/overview-law-making-process/evaluating-and-improving-existing-laws/reducing-burdens-and-simplifying-law/refit-platform/refit-platform-recommendations_en</w:t>
        </w:r>
      </w:hyperlink>
    </w:p>
    <w:p w:rsidR="00972C98" w:rsidRDefault="00972C98">
      <w:pPr>
        <w:pStyle w:val="FootnoteText"/>
      </w:pPr>
    </w:p>
  </w:footnote>
  <w:footnote w:id="10">
    <w:p w:rsidR="00972C98" w:rsidRDefault="00C70C1C">
      <w:pPr>
        <w:pStyle w:val="FootnoteText"/>
      </w:pPr>
      <w:r>
        <w:rPr>
          <w:rStyle w:val="FootnoteReference"/>
        </w:rPr>
        <w:footnoteRef/>
      </w:r>
      <w:r>
        <w:t xml:space="preserve"> Esim. Natura 2000 -alueiden hoitosuunnitelmat ja toimintajärjestystä koskevat puitteet, </w:t>
      </w:r>
      <w:r>
        <w:t>vesienhoitosuunnitelma, ilmanlaatua ja ilman pilaantumista koskevat ohjelmat, luonnon monimuotoisuutta koskevat strategiat.</w:t>
      </w:r>
    </w:p>
  </w:footnote>
  <w:footnote w:id="11">
    <w:p w:rsidR="00972C98" w:rsidRDefault="00C70C1C">
      <w:pPr>
        <w:pStyle w:val="FootnoteText"/>
        <w:ind w:left="0" w:firstLine="0"/>
      </w:pPr>
      <w:r>
        <w:rPr>
          <w:rStyle w:val="FootnoteReference"/>
        </w:rPr>
        <w:footnoteRef/>
      </w:r>
      <w:r>
        <w:t xml:space="preserve"> Komission työohjelma 2018. Yhtenäisempi, vahvempi ja demokraattisempi unioni (COM(2017) 650 final, 24.10.2017).</w:t>
      </w:r>
    </w:p>
  </w:footnote>
  <w:footnote w:id="12">
    <w:p w:rsidR="00972C98" w:rsidRDefault="00C70C1C">
      <w:pPr>
        <w:rPr>
          <w:sz w:val="20"/>
        </w:rPr>
      </w:pPr>
      <w:r>
        <w:rPr>
          <w:rStyle w:val="FootnoteReference"/>
          <w:sz w:val="20"/>
        </w:rPr>
        <w:footnoteRef/>
      </w:r>
      <w:r>
        <w:rPr>
          <w:rFonts w:ascii="Verdana" w:hAnsi="Verdana"/>
          <w:color w:val="0000FF"/>
          <w:sz w:val="20"/>
        </w:rPr>
        <w:t xml:space="preserve"> </w:t>
      </w:r>
      <w:r>
        <w:rPr>
          <w:sz w:val="20"/>
        </w:rPr>
        <w:t>Tältä osin komis</w:t>
      </w:r>
      <w:r>
        <w:rPr>
          <w:sz w:val="20"/>
        </w:rPr>
        <w:t>sio on hiljattain julkaissut ohjeet maatalousmaan suojelua varten (tulkitseva tiedonanto maatalousmaan hankinnasta ja Euroopan unionin oikeudesta, EUVL C 350, s. 5, 18.10.2017)</w:t>
      </w:r>
    </w:p>
    <w:p w:rsidR="00972C98" w:rsidRDefault="00972C98">
      <w:pPr>
        <w:pStyle w:val="FootnoteText"/>
      </w:pPr>
    </w:p>
  </w:footnote>
  <w:footnote w:id="13">
    <w:p w:rsidR="00972C98" w:rsidRDefault="00C70C1C">
      <w:pPr>
        <w:pStyle w:val="FootnoteText"/>
        <w:ind w:left="0" w:firstLine="0"/>
        <w:rPr>
          <w:b/>
        </w:rPr>
      </w:pPr>
      <w:r>
        <w:rPr>
          <w:rStyle w:val="FootnoteReference"/>
        </w:rPr>
        <w:footnoteRef/>
      </w:r>
      <w:r>
        <w:rPr>
          <w:b/>
        </w:rPr>
        <w:t xml:space="preserve"> </w:t>
      </w:r>
      <w:r>
        <w:rPr>
          <w:rStyle w:val="Strong"/>
          <w:b w:val="0"/>
        </w:rPr>
        <w:t>Euroopan parlamentin ja neuvoston direktiivi 2009/128/EY, annettu 21 päivänä</w:t>
      </w:r>
      <w:r>
        <w:rPr>
          <w:rStyle w:val="Strong"/>
          <w:b w:val="0"/>
        </w:rPr>
        <w:t xml:space="preserve"> lokakuuta 2009, yhteisön politiikan puitteista torjunta-aineiden kestävän käytön aikaansaamiseksi.</w:t>
      </w:r>
    </w:p>
  </w:footnote>
  <w:footnote w:id="14">
    <w:p w:rsidR="00972C98" w:rsidRDefault="00C70C1C">
      <w:pPr>
        <w:pStyle w:val="FootnoteText"/>
      </w:pPr>
      <w:r>
        <w:rPr>
          <w:rStyle w:val="FootnoteReference"/>
        </w:rPr>
        <w:footnoteRef/>
      </w:r>
      <w:r>
        <w:t xml:space="preserve"> Ks. myös </w:t>
      </w:r>
      <w:hyperlink r:id="rId7">
        <w:r>
          <w:rPr>
            <w:rStyle w:val="Hyperlink"/>
          </w:rPr>
          <w:t>https://ec.europa.eu/health/amr/sites/amr/files/am</w:t>
        </w:r>
        <w:r>
          <w:rPr>
            <w:rStyle w:val="Hyperlink"/>
          </w:rPr>
          <w:t>r_action_plan_2017_en.pdf</w:t>
        </w:r>
      </w:hyperlink>
    </w:p>
    <w:p w:rsidR="00972C98" w:rsidRDefault="00972C98">
      <w:pPr>
        <w:pStyle w:val="FootnoteText"/>
      </w:pPr>
    </w:p>
  </w:footnote>
  <w:footnote w:id="15">
    <w:p w:rsidR="00972C98" w:rsidRDefault="00C70C1C">
      <w:pPr>
        <w:pStyle w:val="FootnoteText"/>
      </w:pPr>
      <w:r>
        <w:rPr>
          <w:rStyle w:val="FootnoteReference"/>
        </w:rPr>
        <w:footnoteRef/>
      </w:r>
      <w:r>
        <w:t xml:space="preserve"> Ks. Euroopan unionin toiminnasta tehdyn sopimuksen 208 artikla.</w:t>
      </w:r>
    </w:p>
  </w:footnote>
  <w:footnote w:id="16">
    <w:p w:rsidR="00972C98" w:rsidRDefault="00C70C1C">
      <w:pPr>
        <w:pStyle w:val="FootnoteText"/>
        <w:ind w:left="0" w:firstLine="0"/>
        <w:rPr>
          <w:rFonts w:eastAsia="Calibri"/>
          <w:noProof/>
          <w:szCs w:val="24"/>
        </w:rPr>
      </w:pPr>
      <w:r>
        <w:rPr>
          <w:rStyle w:val="FootnoteReference"/>
        </w:rPr>
        <w:footnoteRef/>
      </w:r>
      <w:r>
        <w:t xml:space="preserve"> Uusi kehityspolitiikkaa koskeva eurooppalainen konsensus allekirjoitettiin 7. kesäkuuta 2017, ja se on saatavilla osoitteessa </w:t>
      </w:r>
      <w:hyperlink r:id="rId8">
        <w:r>
          <w:rPr>
            <w:rStyle w:val="Hyperlink"/>
            <w:noProof/>
          </w:rPr>
          <w:t>https://ec.europa.eu/europeaid/sites/devco/files/european-consensus-on-development-final-20170626_en.pdf</w:t>
        </w:r>
      </w:hyperlink>
    </w:p>
    <w:p w:rsidR="00972C98" w:rsidRDefault="00972C98">
      <w:pPr>
        <w:pStyle w:val="FootnoteText"/>
        <w:ind w:left="0" w:firstLine="0"/>
      </w:pPr>
    </w:p>
  </w:footnote>
  <w:footnote w:id="17">
    <w:p w:rsidR="00972C98" w:rsidRDefault="00C70C1C">
      <w:pPr>
        <w:pStyle w:val="FootnoteText"/>
        <w:rPr>
          <w:lang w:val="en-GB"/>
        </w:rPr>
      </w:pPr>
      <w:r>
        <w:rPr>
          <w:rStyle w:val="FootnoteReference"/>
        </w:rPr>
        <w:footnoteRef/>
      </w:r>
      <w:r>
        <w:rPr>
          <w:lang w:val="en-GB"/>
        </w:rPr>
        <w:t xml:space="preserve"> See </w:t>
      </w:r>
      <w:hyperlink r:id="rId9">
        <w:r>
          <w:rPr>
            <w:rStyle w:val="Hyperlink"/>
            <w:lang w:val="en-GB"/>
          </w:rPr>
          <w:t>http://www.consilium.europa.eu/fi/meetings/international-summit/2015/11/11-12/#</w:t>
        </w:r>
      </w:hyperlink>
    </w:p>
    <w:p w:rsidR="00972C98" w:rsidRDefault="00972C98">
      <w:pPr>
        <w:pStyle w:val="FootnoteText"/>
        <w:rPr>
          <w:lang w:val="en-GB"/>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C98" w:rsidRDefault="00972C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C98" w:rsidRDefault="00972C98">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C98" w:rsidRDefault="00972C98">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C98" w:rsidRDefault="00972C9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C98" w:rsidRDefault="00972C9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C98" w:rsidRDefault="00972C98">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68029DA"/>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1FA45650"/>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FFFFFF89"/>
    <w:multiLevelType w:val="singleLevel"/>
    <w:tmpl w:val="FF12FE64"/>
    <w:lvl w:ilvl="0">
      <w:start w:val="1"/>
      <w:numFmt w:val="bullet"/>
      <w:lvlText w:val=""/>
      <w:lvlJc w:val="left"/>
      <w:pPr>
        <w:tabs>
          <w:tab w:val="num" w:pos="360"/>
        </w:tabs>
        <w:ind w:left="360" w:hanging="360"/>
      </w:pPr>
      <w:rPr>
        <w:rFonts w:ascii="Symbol" w:hAnsi="Symbol" w:hint="default"/>
      </w:rPr>
    </w:lvl>
  </w:abstractNum>
  <w:abstractNum w:abstractNumId="3">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8362E77"/>
    <w:multiLevelType w:val="hybridMultilevel"/>
    <w:tmpl w:val="E13EB9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FE8679E"/>
    <w:multiLevelType w:val="hybridMultilevel"/>
    <w:tmpl w:val="1FFA12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7">
    <w:nsid w:val="1274329F"/>
    <w:multiLevelType w:val="hybridMultilevel"/>
    <w:tmpl w:val="5B2AC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9">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0">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11">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33CE1D55"/>
    <w:multiLevelType w:val="hybridMultilevel"/>
    <w:tmpl w:val="02DE5778"/>
    <w:name w:val="LegalNumParListTemplate3"/>
    <w:lvl w:ilvl="0" w:tplc="D49AC38C">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4">
    <w:nsid w:val="3FFF5F60"/>
    <w:multiLevelType w:val="hybridMultilevel"/>
    <w:tmpl w:val="D00AC9DA"/>
    <w:lvl w:ilvl="0" w:tplc="3B50EEA4">
      <w:numFmt w:val="bullet"/>
      <w:lvlText w:val="•"/>
      <w:lvlJc w:val="left"/>
      <w:pPr>
        <w:ind w:left="842" w:hanging="360"/>
      </w:pPr>
      <w:rPr>
        <w:rFonts w:ascii="Times New Roman" w:eastAsia="Times New Roman" w:hAnsi="Times New Roman" w:cs="Times New Roman" w:hint="default"/>
      </w:rPr>
    </w:lvl>
    <w:lvl w:ilvl="1" w:tplc="08090003" w:tentative="1">
      <w:start w:val="1"/>
      <w:numFmt w:val="bullet"/>
      <w:lvlText w:val="o"/>
      <w:lvlJc w:val="left"/>
      <w:pPr>
        <w:ind w:left="1562" w:hanging="360"/>
      </w:pPr>
      <w:rPr>
        <w:rFonts w:ascii="Courier New" w:hAnsi="Courier New" w:cs="Courier New" w:hint="default"/>
      </w:rPr>
    </w:lvl>
    <w:lvl w:ilvl="2" w:tplc="08090005" w:tentative="1">
      <w:start w:val="1"/>
      <w:numFmt w:val="bullet"/>
      <w:lvlText w:val=""/>
      <w:lvlJc w:val="left"/>
      <w:pPr>
        <w:ind w:left="2282" w:hanging="360"/>
      </w:pPr>
      <w:rPr>
        <w:rFonts w:ascii="Wingdings" w:hAnsi="Wingdings" w:hint="default"/>
      </w:rPr>
    </w:lvl>
    <w:lvl w:ilvl="3" w:tplc="08090001" w:tentative="1">
      <w:start w:val="1"/>
      <w:numFmt w:val="bullet"/>
      <w:lvlText w:val=""/>
      <w:lvlJc w:val="left"/>
      <w:pPr>
        <w:ind w:left="3002" w:hanging="360"/>
      </w:pPr>
      <w:rPr>
        <w:rFonts w:ascii="Symbol" w:hAnsi="Symbol" w:hint="default"/>
      </w:rPr>
    </w:lvl>
    <w:lvl w:ilvl="4" w:tplc="08090003" w:tentative="1">
      <w:start w:val="1"/>
      <w:numFmt w:val="bullet"/>
      <w:lvlText w:val="o"/>
      <w:lvlJc w:val="left"/>
      <w:pPr>
        <w:ind w:left="3722" w:hanging="360"/>
      </w:pPr>
      <w:rPr>
        <w:rFonts w:ascii="Courier New" w:hAnsi="Courier New" w:cs="Courier New" w:hint="default"/>
      </w:rPr>
    </w:lvl>
    <w:lvl w:ilvl="5" w:tplc="08090005" w:tentative="1">
      <w:start w:val="1"/>
      <w:numFmt w:val="bullet"/>
      <w:lvlText w:val=""/>
      <w:lvlJc w:val="left"/>
      <w:pPr>
        <w:ind w:left="4442" w:hanging="360"/>
      </w:pPr>
      <w:rPr>
        <w:rFonts w:ascii="Wingdings" w:hAnsi="Wingdings" w:hint="default"/>
      </w:rPr>
    </w:lvl>
    <w:lvl w:ilvl="6" w:tplc="08090001" w:tentative="1">
      <w:start w:val="1"/>
      <w:numFmt w:val="bullet"/>
      <w:lvlText w:val=""/>
      <w:lvlJc w:val="left"/>
      <w:pPr>
        <w:ind w:left="5162" w:hanging="360"/>
      </w:pPr>
      <w:rPr>
        <w:rFonts w:ascii="Symbol" w:hAnsi="Symbol" w:hint="default"/>
      </w:rPr>
    </w:lvl>
    <w:lvl w:ilvl="7" w:tplc="08090003" w:tentative="1">
      <w:start w:val="1"/>
      <w:numFmt w:val="bullet"/>
      <w:lvlText w:val="o"/>
      <w:lvlJc w:val="left"/>
      <w:pPr>
        <w:ind w:left="5882" w:hanging="360"/>
      </w:pPr>
      <w:rPr>
        <w:rFonts w:ascii="Courier New" w:hAnsi="Courier New" w:cs="Courier New" w:hint="default"/>
      </w:rPr>
    </w:lvl>
    <w:lvl w:ilvl="8" w:tplc="08090005" w:tentative="1">
      <w:start w:val="1"/>
      <w:numFmt w:val="bullet"/>
      <w:lvlText w:val=""/>
      <w:lvlJc w:val="left"/>
      <w:pPr>
        <w:ind w:left="6602" w:hanging="360"/>
      </w:pPr>
      <w:rPr>
        <w:rFonts w:ascii="Wingdings" w:hAnsi="Wingdings" w:hint="default"/>
      </w:rPr>
    </w:lvl>
  </w:abstractNum>
  <w:abstractNum w:abstractNumId="15">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49D23DEC"/>
    <w:multiLevelType w:val="singleLevel"/>
    <w:tmpl w:val="5B38DB6E"/>
    <w:name w:val="LegalNumParListTemplate"/>
    <w:lvl w:ilvl="0">
      <w:start w:val="1"/>
      <w:numFmt w:val="decimal"/>
      <w:lvlText w:val="%1."/>
      <w:lvlJc w:val="left"/>
      <w:pPr>
        <w:tabs>
          <w:tab w:val="num" w:pos="476"/>
        </w:tabs>
        <w:ind w:left="476" w:hanging="476"/>
      </w:pPr>
    </w:lvl>
  </w:abstractNum>
  <w:abstractNum w:abstractNumId="20">
    <w:nsid w:val="4A432656"/>
    <w:multiLevelType w:val="multilevel"/>
    <w:tmpl w:val="AC885D7A"/>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080"/>
        </w:tabs>
        <w:ind w:left="1080" w:hanging="600"/>
      </w:pPr>
    </w:lvl>
    <w:lvl w:ilvl="2">
      <w:start w:val="1"/>
      <w:numFmt w:val="decimal"/>
      <w:pStyle w:val="Heading3"/>
      <w:lvlText w:val="%1.%2.%3."/>
      <w:lvlJc w:val="left"/>
      <w:pPr>
        <w:tabs>
          <w:tab w:val="num" w:pos="1920"/>
        </w:tabs>
        <w:ind w:left="1920" w:hanging="840"/>
      </w:pPr>
    </w:lvl>
    <w:lvl w:ilvl="3">
      <w:start w:val="1"/>
      <w:numFmt w:val="decimal"/>
      <w:pStyle w:val="Heading4"/>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22">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3">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24">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5">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26">
    <w:nsid w:val="79296BCD"/>
    <w:multiLevelType w:val="hybridMultilevel"/>
    <w:tmpl w:val="E4E834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794A5D43"/>
    <w:multiLevelType w:val="hybridMultilevel"/>
    <w:tmpl w:val="1B7A8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0"/>
  </w:num>
  <w:num w:numId="4">
    <w:abstractNumId w:val="21"/>
  </w:num>
  <w:num w:numId="5">
    <w:abstractNumId w:val="13"/>
  </w:num>
  <w:num w:numId="6">
    <w:abstractNumId w:val="10"/>
  </w:num>
  <w:num w:numId="7">
    <w:abstractNumId w:val="8"/>
  </w:num>
  <w:num w:numId="8">
    <w:abstractNumId w:val="6"/>
  </w:num>
  <w:num w:numId="9">
    <w:abstractNumId w:val="22"/>
  </w:num>
  <w:num w:numId="10">
    <w:abstractNumId w:val="24"/>
  </w:num>
  <w:num w:numId="11">
    <w:abstractNumId w:val="23"/>
  </w:num>
  <w:num w:numId="12">
    <w:abstractNumId w:val="25"/>
  </w:num>
  <w:num w:numId="13">
    <w:abstractNumId w:val="9"/>
  </w:num>
  <w:num w:numId="14">
    <w:abstractNumId w:val="15"/>
  </w:num>
  <w:num w:numId="15">
    <w:abstractNumId w:val="17"/>
  </w:num>
  <w:num w:numId="16">
    <w:abstractNumId w:val="16"/>
  </w:num>
  <w:num w:numId="17">
    <w:abstractNumId w:val="3"/>
  </w:num>
  <w:num w:numId="18">
    <w:abstractNumId w:val="18"/>
  </w:num>
  <w:num w:numId="19">
    <w:abstractNumId w:val="11"/>
  </w:num>
  <w:num w:numId="20">
    <w:abstractNumId w:val="4"/>
  </w:num>
  <w:num w:numId="21">
    <w:abstractNumId w:val="5"/>
  </w:num>
  <w:num w:numId="22">
    <w:abstractNumId w:val="14"/>
  </w:num>
  <w:num w:numId="23">
    <w:abstractNumId w:val="22"/>
  </w:num>
  <w:num w:numId="24">
    <w:abstractNumId w:val="12"/>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2"/>
  </w:num>
  <w:num w:numId="28">
    <w:abstractNumId w:val="27"/>
  </w:num>
  <w:num w:numId="29">
    <w:abstractNumId w:val="26"/>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20"/>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R_RefLast" w:val="0"/>
    <w:docVar w:name="DocStatus" w:val="Green"/>
    <w:docVar w:name="LW_CORRIGENDUM" w:val="&lt;UNUSED&gt;"/>
    <w:docVar w:name="LW_COVERPAGE_EXISTS" w:val="True"/>
    <w:docVar w:name="LW_COVERPAGE_GUID" w:val="5DBE2664-7872-41EA-8749-D8E9CECC4173"/>
    <w:docVar w:name="LW_COVERPAGE_TYPE" w:val="1"/>
    <w:docVar w:name="LW_CROSSREFERENCE" w:val="&lt;UNUSED&gt;"/>
    <w:docVar w:name="LW_DocType" w:val="NOT"/>
    <w:docVar w:name="LW_EMISSION" w:val="29.11.2017"/>
    <w:docVar w:name="LW_EMISSION_ISODATE" w:val="2017-11-29"/>
    <w:docVar w:name="LW_EMISSION_LOCATION" w:val="BRX"/>
    <w:docVar w:name="LW_EMISSION_PREFIX" w:val="Bryssel "/>
    <w:docVar w:name="LW_EMISSION_SUFFIX" w:val="&lt;EMPTY&gt;"/>
    <w:docVar w:name="LW_ID_DOCTYPE_NONLW" w:val="CP-014"/>
    <w:docVar w:name="LW_LANGUE" w:val="FI"/>
    <w:docVar w:name="LW_LEVEL_OF_SENSITIVITY" w:val="Standard treatment"/>
    <w:docVar w:name="LW_NOM.INST" w:val="EUROOPAN KOMISSIO"/>
    <w:docVar w:name="LW_NOM.INST_JOINTDOC" w:val="&lt;EMPTY&gt;"/>
    <w:docVar w:name="LW_PART_NBR" w:val="1"/>
    <w:docVar w:name="LW_PART_NBR_TOTAL" w:val="1"/>
    <w:docVar w:name="LW_REF.INST.NEW" w:val="COM"/>
    <w:docVar w:name="LW_REF.INST.NEW_ADOPTED" w:val="final"/>
    <w:docVar w:name="LW_REF.INST.NEW_TEXT" w:val="(2017) 71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OUS.TITRE.OBJ.CP" w:val="&lt;UNUSED&gt;"/>
    <w:docVar w:name="LW_SUPERTITRE" w:val="&lt;UNUSED&gt;"/>
    <w:docVar w:name="LW_TITRE.OBJ.CP" w:val="Ruoan ja maanviljelyn tulevaisuus"/>
    <w:docVar w:name="LW_TYPE.DOC.CP" w:val="KOMISSION TIEDONANTO EUROOPAN PARLAMENTILLE, NEUVOSTOLLE, EUROOPAN TALOUS- JA SOSIAALIKOMITEALLE JA ALUEIDEN KOMITEALLE"/>
    <w:docVar w:name="LW_TYPE.DOC.CP.USERTEXT" w:val="&lt;EMPTY&gt;"/>
  </w:docVars>
  <w:rsids>
    <w:rsidRoot w:val="00972C98"/>
    <w:rsid w:val="00972C98"/>
    <w:rsid w:val="00C70C1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i-FI" w:eastAsia="fi-FI" w:bidi="fi-FI"/>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rPr>
  </w:style>
  <w:style w:type="paragraph" w:styleId="Heading1">
    <w:name w:val="heading 1"/>
    <w:basedOn w:val="Normal"/>
    <w:next w:val="Text1"/>
    <w:link w:val="Heading1Char"/>
    <w:qFormat/>
    <w:pPr>
      <w:keepNext/>
      <w:numPr>
        <w:numId w:val="3"/>
      </w:numPr>
      <w:spacing w:before="240"/>
      <w:outlineLvl w:val="0"/>
    </w:pPr>
    <w:rPr>
      <w:b/>
      <w:smallCaps/>
    </w:rPr>
  </w:style>
  <w:style w:type="paragraph" w:styleId="Heading2">
    <w:name w:val="heading 2"/>
    <w:basedOn w:val="Normal"/>
    <w:next w:val="Text2"/>
    <w:link w:val="Heading2Char"/>
    <w:qFormat/>
    <w:pPr>
      <w:keepNext/>
      <w:numPr>
        <w:ilvl w:val="1"/>
        <w:numId w:val="3"/>
      </w:numPr>
      <w:outlineLvl w:val="1"/>
    </w:pPr>
    <w:rPr>
      <w:b/>
    </w:rPr>
  </w:style>
  <w:style w:type="paragraph" w:styleId="Heading3">
    <w:name w:val="heading 3"/>
    <w:basedOn w:val="Normal"/>
    <w:next w:val="Text3"/>
    <w:link w:val="Heading3Char"/>
    <w:qFormat/>
    <w:pPr>
      <w:keepNext/>
      <w:numPr>
        <w:ilvl w:val="2"/>
        <w:numId w:val="3"/>
      </w:numPr>
      <w:outlineLvl w:val="2"/>
    </w:pPr>
    <w:rPr>
      <w:i/>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spacing w:before="240" w:after="60"/>
      <w:ind w:left="3332" w:hanging="708"/>
      <w:outlineLvl w:val="4"/>
    </w:pPr>
    <w:rPr>
      <w:rFonts w:ascii="Arial" w:hAnsi="Arial"/>
      <w:sz w:val="22"/>
    </w:rPr>
  </w:style>
  <w:style w:type="paragraph" w:styleId="Heading6">
    <w:name w:val="heading 6"/>
    <w:basedOn w:val="Normal"/>
    <w:next w:val="Normal"/>
    <w:qFormat/>
    <w:pPr>
      <w:spacing w:before="240" w:after="60"/>
      <w:ind w:left="4040" w:hanging="708"/>
      <w:outlineLvl w:val="5"/>
    </w:pPr>
    <w:rPr>
      <w:rFonts w:ascii="Arial" w:hAnsi="Arial"/>
      <w:i/>
      <w:sz w:val="22"/>
    </w:rPr>
  </w:style>
  <w:style w:type="paragraph" w:styleId="Heading7">
    <w:name w:val="heading 7"/>
    <w:basedOn w:val="Normal"/>
    <w:next w:val="Normal"/>
    <w:qFormat/>
    <w:pPr>
      <w:spacing w:before="240" w:after="60"/>
      <w:ind w:left="4748" w:hanging="708"/>
      <w:outlineLvl w:val="6"/>
    </w:pPr>
    <w:rPr>
      <w:rFonts w:ascii="Arial" w:hAnsi="Arial"/>
      <w:sz w:val="20"/>
    </w:rPr>
  </w:style>
  <w:style w:type="paragraph" w:styleId="Heading8">
    <w:name w:val="heading 8"/>
    <w:basedOn w:val="Normal"/>
    <w:next w:val="Normal"/>
    <w:qFormat/>
    <w:pPr>
      <w:spacing w:before="240" w:after="60"/>
      <w:ind w:left="5456" w:hanging="708"/>
      <w:outlineLvl w:val="7"/>
    </w:pPr>
    <w:rPr>
      <w:rFonts w:ascii="Arial" w:hAnsi="Arial"/>
      <w:i/>
      <w:sz w:val="20"/>
    </w:rPr>
  </w:style>
  <w:style w:type="paragraph" w:styleId="Heading9">
    <w:name w:val="heading 9"/>
    <w:basedOn w:val="Normal"/>
    <w:next w:val="Normal"/>
    <w:qFormat/>
    <w:pPr>
      <w:spacing w:before="240" w:after="60"/>
      <w:ind w:left="6164" w:hanging="708"/>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link w:val="Text1Char"/>
    <w:pPr>
      <w:ind w:left="482"/>
    </w:pPr>
  </w:style>
  <w:style w:type="paragraph" w:customStyle="1" w:styleId="Text2">
    <w:name w:val="Text 2"/>
    <w:basedOn w:val="Normal"/>
    <w:pPr>
      <w:tabs>
        <w:tab w:val="left" w:pos="2160"/>
      </w:tabs>
      <w:ind w:left="1077"/>
    </w:pPr>
  </w:style>
  <w:style w:type="paragraph" w:customStyle="1" w:styleId="Text3">
    <w:name w:val="Text 3"/>
    <w:basedOn w:val="Normal"/>
    <w:pPr>
      <w:tabs>
        <w:tab w:val="left" w:pos="2302"/>
      </w:tabs>
      <w:ind w:left="1916"/>
    </w:pPr>
  </w:style>
  <w:style w:type="paragraph" w:customStyle="1" w:styleId="Text4">
    <w:name w:val="Text 4"/>
    <w:basedOn w:val="Normal"/>
    <w:pPr>
      <w:ind w:left="2880"/>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uiPriority w:val="35"/>
    <w:qFormat/>
    <w:pPr>
      <w:spacing w:before="120" w:after="120"/>
    </w:pPr>
    <w:rPr>
      <w:b/>
    </w:rPr>
  </w:style>
  <w:style w:type="paragraph" w:styleId="Closing">
    <w:name w:val="Closing"/>
    <w:basedOn w:val="Normal"/>
    <w:next w:val="Signature"/>
    <w:pPr>
      <w:tabs>
        <w:tab w:val="left" w:pos="5103"/>
      </w:tabs>
      <w:spacing w:before="240"/>
      <w:ind w:left="5103"/>
      <w:jc w:val="left"/>
    </w:pPr>
  </w:style>
  <w:style w:type="paragraph" w:styleId="Signature">
    <w:name w:val="Signature"/>
    <w:basedOn w:val="Normal"/>
    <w:next w:val="Contact"/>
    <w:pPr>
      <w:tabs>
        <w:tab w:val="left" w:pos="5103"/>
      </w:tabs>
      <w:spacing w:before="1200" w:after="0"/>
      <w:ind w:left="5103"/>
      <w:jc w:val="center"/>
    </w:pPr>
  </w:style>
  <w:style w:type="paragraph" w:customStyle="1" w:styleId="Enclosures">
    <w:name w:val="Enclosures"/>
    <w:basedOn w:val="Normal"/>
    <w:next w:val="Participants"/>
    <w:pPr>
      <w:keepNext/>
      <w:keepLines/>
      <w:tabs>
        <w:tab w:val="left" w:pos="5670"/>
      </w:tabs>
      <w:spacing w:before="480" w:after="0"/>
      <w:ind w:left="1985" w:hanging="1985"/>
      <w:jc w:val="left"/>
    </w:p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ind w:left="1985" w:hanging="1985"/>
      <w:jc w:val="left"/>
    </w:pPr>
  </w:style>
  <w:style w:type="paragraph" w:customStyle="1" w:styleId="Copies">
    <w:name w:val="Copies"/>
    <w:basedOn w:val="Normal"/>
    <w:next w:val="Normal"/>
    <w:pPr>
      <w:tabs>
        <w:tab w:val="left" w:pos="2552"/>
        <w:tab w:val="left" w:pos="2835"/>
        <w:tab w:val="left" w:pos="5670"/>
        <w:tab w:val="left" w:pos="6379"/>
        <w:tab w:val="left" w:pos="6804"/>
      </w:tabs>
      <w:spacing w:before="480" w:after="0"/>
      <w:ind w:left="1985" w:hanging="1985"/>
      <w:jc w:val="left"/>
    </w:pPr>
  </w:style>
  <w:style w:type="paragraph" w:styleId="CommentText">
    <w:name w:val="annotation text"/>
    <w:basedOn w:val="Normal"/>
    <w:link w:val="CommentTextChar"/>
    <w:rPr>
      <w:sz w:val="20"/>
    </w:rPr>
  </w:style>
  <w:style w:type="paragraph" w:styleId="Date">
    <w:name w:val="Date"/>
    <w:basedOn w:val="Normal"/>
    <w:next w:val="References"/>
    <w:link w:val="DateChar"/>
    <w:uiPriority w:val="99"/>
    <w:pPr>
      <w:spacing w:after="0"/>
      <w:ind w:left="5103" w:right="-567"/>
      <w:jc w:val="left"/>
    </w:pPr>
  </w:style>
  <w:style w:type="paragraph" w:customStyle="1" w:styleId="References">
    <w:name w:val="References"/>
    <w:basedOn w:val="Normal"/>
    <w:next w:val="AddressTR"/>
    <w:uiPriority w:val="99"/>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Contact"/>
    <w:pPr>
      <w:tabs>
        <w:tab w:val="left" w:pos="5103"/>
      </w:tabs>
      <w:spacing w:before="1200" w:after="0"/>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paragraph" w:styleId="FootnoteText">
    <w:name w:val="footnote text"/>
    <w:basedOn w:val="Normal"/>
    <w:link w:val="FootnoteTextChar"/>
    <w:pPr>
      <w:ind w:left="357" w:hanging="357"/>
    </w:pPr>
    <w:rPr>
      <w:sz w:val="20"/>
    </w:rPr>
  </w:style>
  <w:style w:type="paragraph" w:styleId="Header">
    <w:name w:val="header"/>
    <w:basedOn w:val="Normal"/>
    <w:link w:val="HeaderChar"/>
    <w:uiPriority w:val="99"/>
    <w:unhideWhenUsed/>
    <w:pPr>
      <w:tabs>
        <w:tab w:val="center" w:pos="4535"/>
        <w:tab w:val="right" w:pos="9071"/>
      </w:tabs>
      <w:spacing w:after="120"/>
    </w:pPr>
    <w:rPr>
      <w:rFonts w:eastAsiaTheme="minorHAnsi"/>
      <w:szCs w:val="22"/>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160"/>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160"/>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b/>
      <w:kern w:val="28"/>
      <w:sz w:val="32"/>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160"/>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160"/>
      </w:tabs>
    </w:pPr>
  </w:style>
  <w:style w:type="paragraph" w:customStyle="1" w:styleId="ListNumber2Level3">
    <w:name w:val="List Number 2 (Level 3)"/>
    <w:basedOn w:val="Text2"/>
    <w:pPr>
      <w:numPr>
        <w:ilvl w:val="2"/>
        <w:numId w:val="16"/>
      </w:numPr>
      <w:tabs>
        <w:tab w:val="clear" w:pos="2160"/>
      </w:tabs>
    </w:pPr>
  </w:style>
  <w:style w:type="paragraph" w:customStyle="1" w:styleId="ListNumber2Level4">
    <w:name w:val="List Number 2 (Level 4)"/>
    <w:basedOn w:val="Text2"/>
    <w:pPr>
      <w:numPr>
        <w:ilvl w:val="3"/>
        <w:numId w:val="16"/>
      </w:numPr>
      <w:tabs>
        <w:tab w:val="clear" w:pos="2160"/>
      </w:tabs>
      <w:ind w:left="3901" w:hanging="703"/>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pPr>
  </w:style>
  <w:style w:type="paragraph" w:customStyle="1" w:styleId="ListNumber4Level3">
    <w:name w:val="List Number 4 (Level 3)"/>
    <w:basedOn w:val="Text4"/>
    <w:pPr>
      <w:numPr>
        <w:ilvl w:val="2"/>
        <w:numId w:val="18"/>
      </w:numPr>
    </w:pPr>
  </w:style>
  <w:style w:type="paragraph" w:customStyle="1" w:styleId="ListNumber4Level4">
    <w:name w:val="List Number 4 (Level 4)"/>
    <w:basedOn w:val="Text4"/>
    <w:pPr>
      <w:numPr>
        <w:ilvl w:val="3"/>
        <w:numId w:val="18"/>
      </w:numPr>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before="480" w:after="0"/>
      <w:ind w:left="567" w:hanging="567"/>
      <w:jc w:val="left"/>
    </w:pPr>
  </w:style>
  <w:style w:type="paragraph" w:customStyle="1" w:styleId="DisclaimerNotice">
    <w:name w:val="Disclaimer Notice"/>
    <w:basedOn w:val="Normal"/>
    <w:next w:val="AddressTR"/>
    <w:pPr>
      <w:ind w:left="5103"/>
      <w:jc w:val="left"/>
    </w:pPr>
    <w:rPr>
      <w:i/>
      <w:sz w:val="20"/>
    </w:rPr>
  </w:style>
  <w:style w:type="paragraph" w:customStyle="1" w:styleId="Disclaimer">
    <w:name w:val="Disclaimer"/>
    <w:basedOn w:val="Normal"/>
    <w:pPr>
      <w:keepLines/>
      <w:pBdr>
        <w:top w:val="single" w:sz="4" w:space="1" w:color="auto"/>
      </w:pBdr>
      <w:spacing w:before="480" w:after="0"/>
    </w:pPr>
    <w:rPr>
      <w:i/>
    </w:rPr>
  </w:style>
  <w:style w:type="character" w:styleId="FollowedHyperlink">
    <w:name w:val="FollowedHyperlink"/>
    <w:rPr>
      <w:color w:val="800080"/>
      <w:u w:val="single"/>
    </w:rPr>
  </w:style>
  <w:style w:type="paragraph" w:customStyle="1" w:styleId="DisclaimerSJ">
    <w:name w:val="Disclaimer_SJ"/>
    <w:basedOn w:val="Normal"/>
    <w:next w:val="Normal"/>
    <w:pPr>
      <w:spacing w:after="0"/>
    </w:pPr>
    <w:rPr>
      <w:rFonts w:ascii="Arial" w:hAnsi="Arial"/>
      <w:b/>
      <w:sz w:val="16"/>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jc w:val="left"/>
    </w:pPr>
    <w:rPr>
      <w:rFonts w:eastAsiaTheme="minorHAnsi"/>
      <w:szCs w:val="22"/>
    </w:rPr>
  </w:style>
  <w:style w:type="paragraph" w:customStyle="1" w:styleId="LegalNumPar2">
    <w:name w:val="LegalNumPar2"/>
    <w:basedOn w:val="Normal"/>
    <w:pPr>
      <w:numPr>
        <w:ilvl w:val="1"/>
        <w:numId w:val="19"/>
      </w:numPr>
      <w:spacing w:line="360" w:lineRule="auto"/>
      <w:jc w:val="left"/>
    </w:pPr>
    <w:rPr>
      <w:rFonts w:eastAsiaTheme="minorHAnsi"/>
      <w:szCs w:val="22"/>
    </w:rPr>
  </w:style>
  <w:style w:type="paragraph" w:customStyle="1" w:styleId="LegalNumPar3">
    <w:name w:val="LegalNumPar3"/>
    <w:basedOn w:val="Normal"/>
    <w:pPr>
      <w:numPr>
        <w:ilvl w:val="2"/>
        <w:numId w:val="19"/>
      </w:numPr>
      <w:spacing w:line="360" w:lineRule="auto"/>
      <w:jc w:val="left"/>
    </w:pPr>
    <w:rPr>
      <w:rFonts w:eastAsiaTheme="minorHAnsi"/>
      <w:szCs w:val="22"/>
    </w:rPr>
  </w:style>
  <w:style w:type="character" w:customStyle="1" w:styleId="FooterChar">
    <w:name w:val="Footer Char"/>
    <w:basedOn w:val="DefaultParagraphFont"/>
    <w:link w:val="Footer"/>
    <w:uiPriority w:val="99"/>
    <w:locked/>
    <w:rPr>
      <w:rFonts w:eastAsiaTheme="minorHAnsi"/>
      <w:sz w:val="24"/>
      <w:szCs w:val="22"/>
      <w:lang w:eastAsia="fi-FI"/>
    </w:rPr>
  </w:style>
  <w:style w:type="character" w:customStyle="1" w:styleId="DateChar">
    <w:name w:val="Date Char"/>
    <w:basedOn w:val="DefaultParagraphFont"/>
    <w:link w:val="Date"/>
    <w:uiPriority w:val="99"/>
    <w:locked/>
    <w:rPr>
      <w:sz w:val="24"/>
      <w:lang w:eastAsia="fi-FI"/>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rPr>
  </w:style>
  <w:style w:type="character" w:customStyle="1" w:styleId="HeaderChar">
    <w:name w:val="Header Char"/>
    <w:basedOn w:val="DefaultParagraphFont"/>
    <w:link w:val="Header"/>
    <w:uiPriority w:val="99"/>
    <w:locked/>
    <w:rPr>
      <w:rFonts w:eastAsiaTheme="minorHAnsi"/>
      <w:sz w:val="24"/>
      <w:szCs w:val="22"/>
      <w:lang w:eastAsia="fi-FI"/>
    </w:rPr>
  </w:style>
  <w:style w:type="paragraph" w:styleId="ListParagraph">
    <w:name w:val="List Paragraph"/>
    <w:basedOn w:val="Normal"/>
    <w:link w:val="ListParagraphChar"/>
    <w:uiPriority w:val="34"/>
    <w:qFormat/>
    <w:pPr>
      <w:spacing w:after="200" w:line="276" w:lineRule="auto"/>
      <w:ind w:left="720"/>
      <w:contextualSpacing/>
      <w:jc w:val="left"/>
    </w:pPr>
    <w:rPr>
      <w:rFonts w:asciiTheme="minorHAnsi" w:eastAsiaTheme="minorHAnsi" w:hAnsiTheme="minorHAnsi" w:cstheme="minorBidi"/>
      <w:sz w:val="22"/>
      <w:szCs w:val="22"/>
    </w:rPr>
  </w:style>
  <w:style w:type="character" w:customStyle="1" w:styleId="FootnoteTextChar">
    <w:name w:val="Footnote Text Char"/>
    <w:basedOn w:val="DefaultParagraphFont"/>
    <w:link w:val="FootnoteText"/>
    <w:rPr>
      <w:lang w:eastAsia="fi-FI"/>
    </w:rPr>
  </w:style>
  <w:style w:type="character" w:styleId="FootnoteReference">
    <w:name w:val="footnote reference"/>
    <w:basedOn w:val="DefaultParagraphFont"/>
    <w:uiPriority w:val="99"/>
    <w:unhideWhenUsed/>
    <w:rPr>
      <w:vertAlign w:val="superscript"/>
    </w:rPr>
  </w:style>
  <w:style w:type="character" w:styleId="CommentReference">
    <w:name w:val="annotation reference"/>
    <w:basedOn w:val="DefaultParagraphFont"/>
    <w:unhideWhenUsed/>
    <w:rPr>
      <w:sz w:val="16"/>
      <w:szCs w:val="16"/>
    </w:rPr>
  </w:style>
  <w:style w:type="character" w:customStyle="1" w:styleId="CommentTextChar">
    <w:name w:val="Comment Text Char"/>
    <w:basedOn w:val="DefaultParagraphFont"/>
    <w:link w:val="CommentText"/>
    <w:rPr>
      <w:lang w:eastAsia="fi-FI"/>
    </w:rPr>
  </w:style>
  <w:style w:type="character" w:customStyle="1" w:styleId="ListParagraphChar">
    <w:name w:val="List Paragraph Char"/>
    <w:link w:val="ListParagraph"/>
    <w:uiPriority w:val="34"/>
    <w:locked/>
    <w:rPr>
      <w:rFonts w:asciiTheme="minorHAnsi" w:eastAsiaTheme="minorHAnsi" w:hAnsiTheme="minorHAnsi" w:cstheme="minorBidi"/>
      <w:sz w:val="22"/>
      <w:szCs w:val="22"/>
      <w:lang w:eastAsia="fi-FI"/>
    </w:rPr>
  </w:style>
  <w:style w:type="character" w:customStyle="1" w:styleId="Text1Char">
    <w:name w:val="Text 1 Char"/>
    <w:link w:val="Text1"/>
    <w:rPr>
      <w:sz w:val="24"/>
      <w:lang w:eastAsia="fi-FI"/>
    </w:rPr>
  </w:style>
  <w:style w:type="paragraph" w:styleId="NoSpacing">
    <w:name w:val="No Spacing"/>
    <w:uiPriority w:val="1"/>
    <w:qFormat/>
    <w:rPr>
      <w:rFonts w:asciiTheme="minorHAnsi" w:eastAsiaTheme="minorHAnsi" w:hAnsiTheme="minorHAnsi" w:cstheme="minorBidi"/>
      <w:sz w:val="22"/>
      <w:szCs w:val="22"/>
    </w:rPr>
  </w:style>
  <w:style w:type="table" w:styleId="TableGrid">
    <w:name w:val="Table Grid"/>
    <w:basedOn w:val="TableNormal"/>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fi-FI"/>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eastAsia="fi-FI"/>
    </w:rPr>
  </w:style>
  <w:style w:type="paragraph" w:customStyle="1" w:styleId="Default">
    <w:name w:val="Default"/>
    <w:pPr>
      <w:autoSpaceDE w:val="0"/>
      <w:autoSpaceDN w:val="0"/>
      <w:adjustRightInd w:val="0"/>
    </w:pPr>
    <w:rPr>
      <w:rFonts w:ascii="EC Square Sans Pro" w:hAnsi="EC Square Sans Pro" w:cs="EC Square Sans Pro"/>
      <w:color w:val="000000"/>
      <w:sz w:val="24"/>
      <w:szCs w:val="24"/>
    </w:rPr>
  </w:style>
  <w:style w:type="character" w:customStyle="1" w:styleId="Heading1Char">
    <w:name w:val="Heading 1 Char"/>
    <w:basedOn w:val="DefaultParagraphFont"/>
    <w:link w:val="Heading1"/>
    <w:rPr>
      <w:b/>
      <w:smallCaps/>
      <w:sz w:val="24"/>
      <w:lang w:eastAsia="fi-FI"/>
    </w:rPr>
  </w:style>
  <w:style w:type="paragraph" w:styleId="Revision">
    <w:name w:val="Revision"/>
    <w:hidden/>
    <w:uiPriority w:val="99"/>
    <w:semiHidden/>
    <w:rPr>
      <w:sz w:val="24"/>
    </w:rPr>
  </w:style>
  <w:style w:type="character" w:styleId="Hyperlink">
    <w:name w:val="Hyperlink"/>
    <w:basedOn w:val="DefaultParagraphFont"/>
    <w:uiPriority w:val="99"/>
    <w:unhideWhenUsed/>
    <w:rPr>
      <w:color w:val="0000FF" w:themeColor="hyperlink"/>
      <w:u w:val="single"/>
    </w:rPr>
  </w:style>
  <w:style w:type="character" w:styleId="EndnoteReference">
    <w:name w:val="endnote reference"/>
    <w:basedOn w:val="DefaultParagraphFont"/>
    <w:uiPriority w:val="99"/>
    <w:semiHidden/>
    <w:unhideWhenUsed/>
    <w:rPr>
      <w:vertAlign w:val="superscript"/>
    </w:rPr>
  </w:style>
  <w:style w:type="character" w:customStyle="1" w:styleId="Heading3Char">
    <w:name w:val="Heading 3 Char"/>
    <w:basedOn w:val="DefaultParagraphFont"/>
    <w:link w:val="Heading3"/>
    <w:rPr>
      <w:i/>
      <w:sz w:val="24"/>
      <w:lang w:eastAsia="fi-FI"/>
    </w:rPr>
  </w:style>
  <w:style w:type="character" w:customStyle="1" w:styleId="Heading2Char">
    <w:name w:val="Heading 2 Char"/>
    <w:basedOn w:val="DefaultParagraphFont"/>
    <w:link w:val="Heading2"/>
    <w:rPr>
      <w:b/>
      <w:sz w:val="24"/>
      <w:lang w:eastAsia="fi-FI"/>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keepLines/>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sz w:val="24"/>
    </w:rPr>
  </w:style>
  <w:style w:type="paragraph" w:customStyle="1" w:styleId="HeaderCoverPage">
    <w:name w:val="Header Cover Page"/>
    <w:basedOn w:val="Normal"/>
    <w:link w:val="HeaderCoverPageChar"/>
    <w:pPr>
      <w:keepLines/>
      <w:tabs>
        <w:tab w:val="center" w:pos="4535"/>
        <w:tab w:val="right" w:pos="9071"/>
      </w:tabs>
      <w:spacing w:after="120"/>
    </w:pPr>
  </w:style>
  <w:style w:type="character" w:customStyle="1" w:styleId="HeaderCoverPageChar">
    <w:name w:val="Header Cover Page Char"/>
    <w:basedOn w:val="DefaultParagraphFont"/>
    <w:link w:val="HeaderCoverPage"/>
    <w:rPr>
      <w:sz w:val="24"/>
    </w:rPr>
  </w:style>
  <w:style w:type="paragraph" w:customStyle="1" w:styleId="Declassification">
    <w:name w:val="Declassification"/>
    <w:basedOn w:val="Normal"/>
    <w:next w:val="Normal"/>
    <w:pPr>
      <w:spacing w:after="0"/>
    </w:pPr>
    <w:rPr>
      <w:rFonts w:eastAsiaTheme="minorHAnsi"/>
      <w:szCs w:val="22"/>
    </w:rPr>
  </w:style>
  <w:style w:type="paragraph" w:customStyle="1" w:styleId="HeaderLandscape">
    <w:name w:val="HeaderLandscape"/>
    <w:basedOn w:val="Normal"/>
    <w:pPr>
      <w:tabs>
        <w:tab w:val="center" w:pos="7285"/>
        <w:tab w:val="right" w:pos="14003"/>
      </w:tabs>
      <w:spacing w:after="12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styleId="Strong">
    <w:name w:val="Strong"/>
    <w:basedOn w:val="DefaultParagraphFont"/>
    <w:uiPriority w:val="22"/>
    <w:qFormat/>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i-FI" w:eastAsia="fi-FI" w:bidi="fi-FI"/>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rPr>
  </w:style>
  <w:style w:type="paragraph" w:styleId="Heading1">
    <w:name w:val="heading 1"/>
    <w:basedOn w:val="Normal"/>
    <w:next w:val="Text1"/>
    <w:link w:val="Heading1Char"/>
    <w:qFormat/>
    <w:pPr>
      <w:keepNext/>
      <w:numPr>
        <w:numId w:val="3"/>
      </w:numPr>
      <w:spacing w:before="240"/>
      <w:outlineLvl w:val="0"/>
    </w:pPr>
    <w:rPr>
      <w:b/>
      <w:smallCaps/>
    </w:rPr>
  </w:style>
  <w:style w:type="paragraph" w:styleId="Heading2">
    <w:name w:val="heading 2"/>
    <w:basedOn w:val="Normal"/>
    <w:next w:val="Text2"/>
    <w:link w:val="Heading2Char"/>
    <w:qFormat/>
    <w:pPr>
      <w:keepNext/>
      <w:numPr>
        <w:ilvl w:val="1"/>
        <w:numId w:val="3"/>
      </w:numPr>
      <w:outlineLvl w:val="1"/>
    </w:pPr>
    <w:rPr>
      <w:b/>
    </w:rPr>
  </w:style>
  <w:style w:type="paragraph" w:styleId="Heading3">
    <w:name w:val="heading 3"/>
    <w:basedOn w:val="Normal"/>
    <w:next w:val="Text3"/>
    <w:link w:val="Heading3Char"/>
    <w:qFormat/>
    <w:pPr>
      <w:keepNext/>
      <w:numPr>
        <w:ilvl w:val="2"/>
        <w:numId w:val="3"/>
      </w:numPr>
      <w:outlineLvl w:val="2"/>
    </w:pPr>
    <w:rPr>
      <w:i/>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spacing w:before="240" w:after="60"/>
      <w:ind w:left="3332" w:hanging="708"/>
      <w:outlineLvl w:val="4"/>
    </w:pPr>
    <w:rPr>
      <w:rFonts w:ascii="Arial" w:hAnsi="Arial"/>
      <w:sz w:val="22"/>
    </w:rPr>
  </w:style>
  <w:style w:type="paragraph" w:styleId="Heading6">
    <w:name w:val="heading 6"/>
    <w:basedOn w:val="Normal"/>
    <w:next w:val="Normal"/>
    <w:qFormat/>
    <w:pPr>
      <w:spacing w:before="240" w:after="60"/>
      <w:ind w:left="4040" w:hanging="708"/>
      <w:outlineLvl w:val="5"/>
    </w:pPr>
    <w:rPr>
      <w:rFonts w:ascii="Arial" w:hAnsi="Arial"/>
      <w:i/>
      <w:sz w:val="22"/>
    </w:rPr>
  </w:style>
  <w:style w:type="paragraph" w:styleId="Heading7">
    <w:name w:val="heading 7"/>
    <w:basedOn w:val="Normal"/>
    <w:next w:val="Normal"/>
    <w:qFormat/>
    <w:pPr>
      <w:spacing w:before="240" w:after="60"/>
      <w:ind w:left="4748" w:hanging="708"/>
      <w:outlineLvl w:val="6"/>
    </w:pPr>
    <w:rPr>
      <w:rFonts w:ascii="Arial" w:hAnsi="Arial"/>
      <w:sz w:val="20"/>
    </w:rPr>
  </w:style>
  <w:style w:type="paragraph" w:styleId="Heading8">
    <w:name w:val="heading 8"/>
    <w:basedOn w:val="Normal"/>
    <w:next w:val="Normal"/>
    <w:qFormat/>
    <w:pPr>
      <w:spacing w:before="240" w:after="60"/>
      <w:ind w:left="5456" w:hanging="708"/>
      <w:outlineLvl w:val="7"/>
    </w:pPr>
    <w:rPr>
      <w:rFonts w:ascii="Arial" w:hAnsi="Arial"/>
      <w:i/>
      <w:sz w:val="20"/>
    </w:rPr>
  </w:style>
  <w:style w:type="paragraph" w:styleId="Heading9">
    <w:name w:val="heading 9"/>
    <w:basedOn w:val="Normal"/>
    <w:next w:val="Normal"/>
    <w:qFormat/>
    <w:pPr>
      <w:spacing w:before="240" w:after="60"/>
      <w:ind w:left="6164" w:hanging="708"/>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link w:val="Text1Char"/>
    <w:pPr>
      <w:ind w:left="482"/>
    </w:pPr>
  </w:style>
  <w:style w:type="paragraph" w:customStyle="1" w:styleId="Text2">
    <w:name w:val="Text 2"/>
    <w:basedOn w:val="Normal"/>
    <w:pPr>
      <w:tabs>
        <w:tab w:val="left" w:pos="2160"/>
      </w:tabs>
      <w:ind w:left="1077"/>
    </w:pPr>
  </w:style>
  <w:style w:type="paragraph" w:customStyle="1" w:styleId="Text3">
    <w:name w:val="Text 3"/>
    <w:basedOn w:val="Normal"/>
    <w:pPr>
      <w:tabs>
        <w:tab w:val="left" w:pos="2302"/>
      </w:tabs>
      <w:ind w:left="1916"/>
    </w:pPr>
  </w:style>
  <w:style w:type="paragraph" w:customStyle="1" w:styleId="Text4">
    <w:name w:val="Text 4"/>
    <w:basedOn w:val="Normal"/>
    <w:pPr>
      <w:ind w:left="2880"/>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uiPriority w:val="35"/>
    <w:qFormat/>
    <w:pPr>
      <w:spacing w:before="120" w:after="120"/>
    </w:pPr>
    <w:rPr>
      <w:b/>
    </w:rPr>
  </w:style>
  <w:style w:type="paragraph" w:styleId="Closing">
    <w:name w:val="Closing"/>
    <w:basedOn w:val="Normal"/>
    <w:next w:val="Signature"/>
    <w:pPr>
      <w:tabs>
        <w:tab w:val="left" w:pos="5103"/>
      </w:tabs>
      <w:spacing w:before="240"/>
      <w:ind w:left="5103"/>
      <w:jc w:val="left"/>
    </w:pPr>
  </w:style>
  <w:style w:type="paragraph" w:styleId="Signature">
    <w:name w:val="Signature"/>
    <w:basedOn w:val="Normal"/>
    <w:next w:val="Contact"/>
    <w:pPr>
      <w:tabs>
        <w:tab w:val="left" w:pos="5103"/>
      </w:tabs>
      <w:spacing w:before="1200" w:after="0"/>
      <w:ind w:left="5103"/>
      <w:jc w:val="center"/>
    </w:pPr>
  </w:style>
  <w:style w:type="paragraph" w:customStyle="1" w:styleId="Enclosures">
    <w:name w:val="Enclosures"/>
    <w:basedOn w:val="Normal"/>
    <w:next w:val="Participants"/>
    <w:pPr>
      <w:keepNext/>
      <w:keepLines/>
      <w:tabs>
        <w:tab w:val="left" w:pos="5670"/>
      </w:tabs>
      <w:spacing w:before="480" w:after="0"/>
      <w:ind w:left="1985" w:hanging="1985"/>
      <w:jc w:val="left"/>
    </w:p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ind w:left="1985" w:hanging="1985"/>
      <w:jc w:val="left"/>
    </w:pPr>
  </w:style>
  <w:style w:type="paragraph" w:customStyle="1" w:styleId="Copies">
    <w:name w:val="Copies"/>
    <w:basedOn w:val="Normal"/>
    <w:next w:val="Normal"/>
    <w:pPr>
      <w:tabs>
        <w:tab w:val="left" w:pos="2552"/>
        <w:tab w:val="left" w:pos="2835"/>
        <w:tab w:val="left" w:pos="5670"/>
        <w:tab w:val="left" w:pos="6379"/>
        <w:tab w:val="left" w:pos="6804"/>
      </w:tabs>
      <w:spacing w:before="480" w:after="0"/>
      <w:ind w:left="1985" w:hanging="1985"/>
      <w:jc w:val="left"/>
    </w:pPr>
  </w:style>
  <w:style w:type="paragraph" w:styleId="CommentText">
    <w:name w:val="annotation text"/>
    <w:basedOn w:val="Normal"/>
    <w:link w:val="CommentTextChar"/>
    <w:rPr>
      <w:sz w:val="20"/>
    </w:rPr>
  </w:style>
  <w:style w:type="paragraph" w:styleId="Date">
    <w:name w:val="Date"/>
    <w:basedOn w:val="Normal"/>
    <w:next w:val="References"/>
    <w:link w:val="DateChar"/>
    <w:uiPriority w:val="99"/>
    <w:pPr>
      <w:spacing w:after="0"/>
      <w:ind w:left="5103" w:right="-567"/>
      <w:jc w:val="left"/>
    </w:pPr>
  </w:style>
  <w:style w:type="paragraph" w:customStyle="1" w:styleId="References">
    <w:name w:val="References"/>
    <w:basedOn w:val="Normal"/>
    <w:next w:val="AddressTR"/>
    <w:uiPriority w:val="99"/>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Contact"/>
    <w:pPr>
      <w:tabs>
        <w:tab w:val="left" w:pos="5103"/>
      </w:tabs>
      <w:spacing w:before="1200" w:after="0"/>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paragraph" w:styleId="FootnoteText">
    <w:name w:val="footnote text"/>
    <w:basedOn w:val="Normal"/>
    <w:link w:val="FootnoteTextChar"/>
    <w:pPr>
      <w:ind w:left="357" w:hanging="357"/>
    </w:pPr>
    <w:rPr>
      <w:sz w:val="20"/>
    </w:rPr>
  </w:style>
  <w:style w:type="paragraph" w:styleId="Header">
    <w:name w:val="header"/>
    <w:basedOn w:val="Normal"/>
    <w:link w:val="HeaderChar"/>
    <w:uiPriority w:val="99"/>
    <w:unhideWhenUsed/>
    <w:pPr>
      <w:tabs>
        <w:tab w:val="center" w:pos="4535"/>
        <w:tab w:val="right" w:pos="9071"/>
      </w:tabs>
      <w:spacing w:after="120"/>
    </w:pPr>
    <w:rPr>
      <w:rFonts w:eastAsiaTheme="minorHAnsi"/>
      <w:szCs w:val="22"/>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160"/>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160"/>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b/>
      <w:kern w:val="28"/>
      <w:sz w:val="32"/>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160"/>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160"/>
      </w:tabs>
    </w:pPr>
  </w:style>
  <w:style w:type="paragraph" w:customStyle="1" w:styleId="ListNumber2Level3">
    <w:name w:val="List Number 2 (Level 3)"/>
    <w:basedOn w:val="Text2"/>
    <w:pPr>
      <w:numPr>
        <w:ilvl w:val="2"/>
        <w:numId w:val="16"/>
      </w:numPr>
      <w:tabs>
        <w:tab w:val="clear" w:pos="2160"/>
      </w:tabs>
    </w:pPr>
  </w:style>
  <w:style w:type="paragraph" w:customStyle="1" w:styleId="ListNumber2Level4">
    <w:name w:val="List Number 2 (Level 4)"/>
    <w:basedOn w:val="Text2"/>
    <w:pPr>
      <w:numPr>
        <w:ilvl w:val="3"/>
        <w:numId w:val="16"/>
      </w:numPr>
      <w:tabs>
        <w:tab w:val="clear" w:pos="2160"/>
      </w:tabs>
      <w:ind w:left="3901" w:hanging="703"/>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pPr>
  </w:style>
  <w:style w:type="paragraph" w:customStyle="1" w:styleId="ListNumber4Level3">
    <w:name w:val="List Number 4 (Level 3)"/>
    <w:basedOn w:val="Text4"/>
    <w:pPr>
      <w:numPr>
        <w:ilvl w:val="2"/>
        <w:numId w:val="18"/>
      </w:numPr>
    </w:pPr>
  </w:style>
  <w:style w:type="paragraph" w:customStyle="1" w:styleId="ListNumber4Level4">
    <w:name w:val="List Number 4 (Level 4)"/>
    <w:basedOn w:val="Text4"/>
    <w:pPr>
      <w:numPr>
        <w:ilvl w:val="3"/>
        <w:numId w:val="18"/>
      </w:numPr>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before="480" w:after="0"/>
      <w:ind w:left="567" w:hanging="567"/>
      <w:jc w:val="left"/>
    </w:pPr>
  </w:style>
  <w:style w:type="paragraph" w:customStyle="1" w:styleId="DisclaimerNotice">
    <w:name w:val="Disclaimer Notice"/>
    <w:basedOn w:val="Normal"/>
    <w:next w:val="AddressTR"/>
    <w:pPr>
      <w:ind w:left="5103"/>
      <w:jc w:val="left"/>
    </w:pPr>
    <w:rPr>
      <w:i/>
      <w:sz w:val="20"/>
    </w:rPr>
  </w:style>
  <w:style w:type="paragraph" w:customStyle="1" w:styleId="Disclaimer">
    <w:name w:val="Disclaimer"/>
    <w:basedOn w:val="Normal"/>
    <w:pPr>
      <w:keepLines/>
      <w:pBdr>
        <w:top w:val="single" w:sz="4" w:space="1" w:color="auto"/>
      </w:pBdr>
      <w:spacing w:before="480" w:after="0"/>
    </w:pPr>
    <w:rPr>
      <w:i/>
    </w:rPr>
  </w:style>
  <w:style w:type="character" w:styleId="FollowedHyperlink">
    <w:name w:val="FollowedHyperlink"/>
    <w:rPr>
      <w:color w:val="800080"/>
      <w:u w:val="single"/>
    </w:rPr>
  </w:style>
  <w:style w:type="paragraph" w:customStyle="1" w:styleId="DisclaimerSJ">
    <w:name w:val="Disclaimer_SJ"/>
    <w:basedOn w:val="Normal"/>
    <w:next w:val="Normal"/>
    <w:pPr>
      <w:spacing w:after="0"/>
    </w:pPr>
    <w:rPr>
      <w:rFonts w:ascii="Arial" w:hAnsi="Arial"/>
      <w:b/>
      <w:sz w:val="16"/>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jc w:val="left"/>
    </w:pPr>
    <w:rPr>
      <w:rFonts w:eastAsiaTheme="minorHAnsi"/>
      <w:szCs w:val="22"/>
    </w:rPr>
  </w:style>
  <w:style w:type="paragraph" w:customStyle="1" w:styleId="LegalNumPar2">
    <w:name w:val="LegalNumPar2"/>
    <w:basedOn w:val="Normal"/>
    <w:pPr>
      <w:numPr>
        <w:ilvl w:val="1"/>
        <w:numId w:val="19"/>
      </w:numPr>
      <w:spacing w:line="360" w:lineRule="auto"/>
      <w:jc w:val="left"/>
    </w:pPr>
    <w:rPr>
      <w:rFonts w:eastAsiaTheme="minorHAnsi"/>
      <w:szCs w:val="22"/>
    </w:rPr>
  </w:style>
  <w:style w:type="paragraph" w:customStyle="1" w:styleId="LegalNumPar3">
    <w:name w:val="LegalNumPar3"/>
    <w:basedOn w:val="Normal"/>
    <w:pPr>
      <w:numPr>
        <w:ilvl w:val="2"/>
        <w:numId w:val="19"/>
      </w:numPr>
      <w:spacing w:line="360" w:lineRule="auto"/>
      <w:jc w:val="left"/>
    </w:pPr>
    <w:rPr>
      <w:rFonts w:eastAsiaTheme="minorHAnsi"/>
      <w:szCs w:val="22"/>
    </w:rPr>
  </w:style>
  <w:style w:type="character" w:customStyle="1" w:styleId="FooterChar">
    <w:name w:val="Footer Char"/>
    <w:basedOn w:val="DefaultParagraphFont"/>
    <w:link w:val="Footer"/>
    <w:uiPriority w:val="99"/>
    <w:locked/>
    <w:rPr>
      <w:rFonts w:eastAsiaTheme="minorHAnsi"/>
      <w:sz w:val="24"/>
      <w:szCs w:val="22"/>
      <w:lang w:eastAsia="fi-FI"/>
    </w:rPr>
  </w:style>
  <w:style w:type="character" w:customStyle="1" w:styleId="DateChar">
    <w:name w:val="Date Char"/>
    <w:basedOn w:val="DefaultParagraphFont"/>
    <w:link w:val="Date"/>
    <w:uiPriority w:val="99"/>
    <w:locked/>
    <w:rPr>
      <w:sz w:val="24"/>
      <w:lang w:eastAsia="fi-FI"/>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rPr>
  </w:style>
  <w:style w:type="character" w:customStyle="1" w:styleId="HeaderChar">
    <w:name w:val="Header Char"/>
    <w:basedOn w:val="DefaultParagraphFont"/>
    <w:link w:val="Header"/>
    <w:uiPriority w:val="99"/>
    <w:locked/>
    <w:rPr>
      <w:rFonts w:eastAsiaTheme="minorHAnsi"/>
      <w:sz w:val="24"/>
      <w:szCs w:val="22"/>
      <w:lang w:eastAsia="fi-FI"/>
    </w:rPr>
  </w:style>
  <w:style w:type="paragraph" w:styleId="ListParagraph">
    <w:name w:val="List Paragraph"/>
    <w:basedOn w:val="Normal"/>
    <w:link w:val="ListParagraphChar"/>
    <w:uiPriority w:val="34"/>
    <w:qFormat/>
    <w:pPr>
      <w:spacing w:after="200" w:line="276" w:lineRule="auto"/>
      <w:ind w:left="720"/>
      <w:contextualSpacing/>
      <w:jc w:val="left"/>
    </w:pPr>
    <w:rPr>
      <w:rFonts w:asciiTheme="minorHAnsi" w:eastAsiaTheme="minorHAnsi" w:hAnsiTheme="minorHAnsi" w:cstheme="minorBidi"/>
      <w:sz w:val="22"/>
      <w:szCs w:val="22"/>
    </w:rPr>
  </w:style>
  <w:style w:type="character" w:customStyle="1" w:styleId="FootnoteTextChar">
    <w:name w:val="Footnote Text Char"/>
    <w:basedOn w:val="DefaultParagraphFont"/>
    <w:link w:val="FootnoteText"/>
    <w:rPr>
      <w:lang w:eastAsia="fi-FI"/>
    </w:rPr>
  </w:style>
  <w:style w:type="character" w:styleId="FootnoteReference">
    <w:name w:val="footnote reference"/>
    <w:basedOn w:val="DefaultParagraphFont"/>
    <w:uiPriority w:val="99"/>
    <w:unhideWhenUsed/>
    <w:rPr>
      <w:vertAlign w:val="superscript"/>
    </w:rPr>
  </w:style>
  <w:style w:type="character" w:styleId="CommentReference">
    <w:name w:val="annotation reference"/>
    <w:basedOn w:val="DefaultParagraphFont"/>
    <w:unhideWhenUsed/>
    <w:rPr>
      <w:sz w:val="16"/>
      <w:szCs w:val="16"/>
    </w:rPr>
  </w:style>
  <w:style w:type="character" w:customStyle="1" w:styleId="CommentTextChar">
    <w:name w:val="Comment Text Char"/>
    <w:basedOn w:val="DefaultParagraphFont"/>
    <w:link w:val="CommentText"/>
    <w:rPr>
      <w:lang w:eastAsia="fi-FI"/>
    </w:rPr>
  </w:style>
  <w:style w:type="character" w:customStyle="1" w:styleId="ListParagraphChar">
    <w:name w:val="List Paragraph Char"/>
    <w:link w:val="ListParagraph"/>
    <w:uiPriority w:val="34"/>
    <w:locked/>
    <w:rPr>
      <w:rFonts w:asciiTheme="minorHAnsi" w:eastAsiaTheme="minorHAnsi" w:hAnsiTheme="minorHAnsi" w:cstheme="minorBidi"/>
      <w:sz w:val="22"/>
      <w:szCs w:val="22"/>
      <w:lang w:eastAsia="fi-FI"/>
    </w:rPr>
  </w:style>
  <w:style w:type="character" w:customStyle="1" w:styleId="Text1Char">
    <w:name w:val="Text 1 Char"/>
    <w:link w:val="Text1"/>
    <w:rPr>
      <w:sz w:val="24"/>
      <w:lang w:eastAsia="fi-FI"/>
    </w:rPr>
  </w:style>
  <w:style w:type="paragraph" w:styleId="NoSpacing">
    <w:name w:val="No Spacing"/>
    <w:uiPriority w:val="1"/>
    <w:qFormat/>
    <w:rPr>
      <w:rFonts w:asciiTheme="minorHAnsi" w:eastAsiaTheme="minorHAnsi" w:hAnsiTheme="minorHAnsi" w:cstheme="minorBidi"/>
      <w:sz w:val="22"/>
      <w:szCs w:val="22"/>
    </w:rPr>
  </w:style>
  <w:style w:type="table" w:styleId="TableGrid">
    <w:name w:val="Table Grid"/>
    <w:basedOn w:val="TableNormal"/>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fi-FI"/>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eastAsia="fi-FI"/>
    </w:rPr>
  </w:style>
  <w:style w:type="paragraph" w:customStyle="1" w:styleId="Default">
    <w:name w:val="Default"/>
    <w:pPr>
      <w:autoSpaceDE w:val="0"/>
      <w:autoSpaceDN w:val="0"/>
      <w:adjustRightInd w:val="0"/>
    </w:pPr>
    <w:rPr>
      <w:rFonts w:ascii="EC Square Sans Pro" w:hAnsi="EC Square Sans Pro" w:cs="EC Square Sans Pro"/>
      <w:color w:val="000000"/>
      <w:sz w:val="24"/>
      <w:szCs w:val="24"/>
    </w:rPr>
  </w:style>
  <w:style w:type="character" w:customStyle="1" w:styleId="Heading1Char">
    <w:name w:val="Heading 1 Char"/>
    <w:basedOn w:val="DefaultParagraphFont"/>
    <w:link w:val="Heading1"/>
    <w:rPr>
      <w:b/>
      <w:smallCaps/>
      <w:sz w:val="24"/>
      <w:lang w:eastAsia="fi-FI"/>
    </w:rPr>
  </w:style>
  <w:style w:type="paragraph" w:styleId="Revision">
    <w:name w:val="Revision"/>
    <w:hidden/>
    <w:uiPriority w:val="99"/>
    <w:semiHidden/>
    <w:rPr>
      <w:sz w:val="24"/>
    </w:rPr>
  </w:style>
  <w:style w:type="character" w:styleId="Hyperlink">
    <w:name w:val="Hyperlink"/>
    <w:basedOn w:val="DefaultParagraphFont"/>
    <w:uiPriority w:val="99"/>
    <w:unhideWhenUsed/>
    <w:rPr>
      <w:color w:val="0000FF" w:themeColor="hyperlink"/>
      <w:u w:val="single"/>
    </w:rPr>
  </w:style>
  <w:style w:type="character" w:styleId="EndnoteReference">
    <w:name w:val="endnote reference"/>
    <w:basedOn w:val="DefaultParagraphFont"/>
    <w:uiPriority w:val="99"/>
    <w:semiHidden/>
    <w:unhideWhenUsed/>
    <w:rPr>
      <w:vertAlign w:val="superscript"/>
    </w:rPr>
  </w:style>
  <w:style w:type="character" w:customStyle="1" w:styleId="Heading3Char">
    <w:name w:val="Heading 3 Char"/>
    <w:basedOn w:val="DefaultParagraphFont"/>
    <w:link w:val="Heading3"/>
    <w:rPr>
      <w:i/>
      <w:sz w:val="24"/>
      <w:lang w:eastAsia="fi-FI"/>
    </w:rPr>
  </w:style>
  <w:style w:type="character" w:customStyle="1" w:styleId="Heading2Char">
    <w:name w:val="Heading 2 Char"/>
    <w:basedOn w:val="DefaultParagraphFont"/>
    <w:link w:val="Heading2"/>
    <w:rPr>
      <w:b/>
      <w:sz w:val="24"/>
      <w:lang w:eastAsia="fi-FI"/>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keepLines/>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sz w:val="24"/>
    </w:rPr>
  </w:style>
  <w:style w:type="paragraph" w:customStyle="1" w:styleId="HeaderCoverPage">
    <w:name w:val="Header Cover Page"/>
    <w:basedOn w:val="Normal"/>
    <w:link w:val="HeaderCoverPageChar"/>
    <w:pPr>
      <w:keepLines/>
      <w:tabs>
        <w:tab w:val="center" w:pos="4535"/>
        <w:tab w:val="right" w:pos="9071"/>
      </w:tabs>
      <w:spacing w:after="120"/>
    </w:pPr>
  </w:style>
  <w:style w:type="character" w:customStyle="1" w:styleId="HeaderCoverPageChar">
    <w:name w:val="Header Cover Page Char"/>
    <w:basedOn w:val="DefaultParagraphFont"/>
    <w:link w:val="HeaderCoverPage"/>
    <w:rPr>
      <w:sz w:val="24"/>
    </w:rPr>
  </w:style>
  <w:style w:type="paragraph" w:customStyle="1" w:styleId="Declassification">
    <w:name w:val="Declassification"/>
    <w:basedOn w:val="Normal"/>
    <w:next w:val="Normal"/>
    <w:pPr>
      <w:spacing w:after="0"/>
    </w:pPr>
    <w:rPr>
      <w:rFonts w:eastAsiaTheme="minorHAnsi"/>
      <w:szCs w:val="22"/>
    </w:rPr>
  </w:style>
  <w:style w:type="paragraph" w:customStyle="1" w:styleId="HeaderLandscape">
    <w:name w:val="HeaderLandscape"/>
    <w:basedOn w:val="Normal"/>
    <w:pPr>
      <w:tabs>
        <w:tab w:val="center" w:pos="7285"/>
        <w:tab w:val="right" w:pos="14003"/>
      </w:tabs>
      <w:spacing w:after="12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styleId="Strong">
    <w:name w:val="Strong"/>
    <w:basedOn w:val="DefaultParagraphFont"/>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526340">
      <w:bodyDiv w:val="1"/>
      <w:marLeft w:val="0"/>
      <w:marRight w:val="0"/>
      <w:marTop w:val="0"/>
      <w:marBottom w:val="0"/>
      <w:divBdr>
        <w:top w:val="none" w:sz="0" w:space="0" w:color="auto"/>
        <w:left w:val="none" w:sz="0" w:space="0" w:color="auto"/>
        <w:bottom w:val="none" w:sz="0" w:space="0" w:color="auto"/>
        <w:right w:val="none" w:sz="0" w:space="0" w:color="auto"/>
      </w:divBdr>
    </w:div>
    <w:div w:id="909732969">
      <w:bodyDiv w:val="1"/>
      <w:marLeft w:val="0"/>
      <w:marRight w:val="0"/>
      <w:marTop w:val="0"/>
      <w:marBottom w:val="0"/>
      <w:divBdr>
        <w:top w:val="none" w:sz="0" w:space="0" w:color="auto"/>
        <w:left w:val="none" w:sz="0" w:space="0" w:color="auto"/>
        <w:bottom w:val="none" w:sz="0" w:space="0" w:color="auto"/>
        <w:right w:val="none" w:sz="0" w:space="0" w:color="auto"/>
      </w:divBdr>
    </w:div>
    <w:div w:id="1053043518">
      <w:bodyDiv w:val="1"/>
      <w:marLeft w:val="0"/>
      <w:marRight w:val="0"/>
      <w:marTop w:val="0"/>
      <w:marBottom w:val="0"/>
      <w:divBdr>
        <w:top w:val="none" w:sz="0" w:space="0" w:color="auto"/>
        <w:left w:val="none" w:sz="0" w:space="0" w:color="auto"/>
        <w:bottom w:val="none" w:sz="0" w:space="0" w:color="auto"/>
        <w:right w:val="none" w:sz="0" w:space="0" w:color="auto"/>
      </w:divBdr>
    </w:div>
    <w:div w:id="1483042534">
      <w:bodyDiv w:val="1"/>
      <w:marLeft w:val="0"/>
      <w:marRight w:val="0"/>
      <w:marTop w:val="0"/>
      <w:marBottom w:val="0"/>
      <w:divBdr>
        <w:top w:val="none" w:sz="0" w:space="0" w:color="auto"/>
        <w:left w:val="none" w:sz="0" w:space="0" w:color="auto"/>
        <w:bottom w:val="none" w:sz="0" w:space="0" w:color="auto"/>
        <w:right w:val="none" w:sz="0" w:space="0" w:color="auto"/>
      </w:divBdr>
    </w:div>
    <w:div w:id="1686899722">
      <w:bodyDiv w:val="1"/>
      <w:marLeft w:val="0"/>
      <w:marRight w:val="0"/>
      <w:marTop w:val="0"/>
      <w:marBottom w:val="0"/>
      <w:divBdr>
        <w:top w:val="none" w:sz="0" w:space="0" w:color="auto"/>
        <w:left w:val="none" w:sz="0" w:space="0" w:color="auto"/>
        <w:bottom w:val="none" w:sz="0" w:space="0" w:color="auto"/>
        <w:right w:val="none" w:sz="0" w:space="0" w:color="auto"/>
      </w:divBdr>
    </w:div>
    <w:div w:id="1728995934">
      <w:bodyDiv w:val="1"/>
      <w:marLeft w:val="0"/>
      <w:marRight w:val="0"/>
      <w:marTop w:val="0"/>
      <w:marBottom w:val="0"/>
      <w:divBdr>
        <w:top w:val="none" w:sz="0" w:space="0" w:color="auto"/>
        <w:left w:val="none" w:sz="0" w:space="0" w:color="auto"/>
        <w:bottom w:val="none" w:sz="0" w:space="0" w:color="auto"/>
        <w:right w:val="none" w:sz="0" w:space="0" w:color="auto"/>
      </w:divBdr>
    </w:div>
    <w:div w:id="1754357895">
      <w:bodyDiv w:val="1"/>
      <w:marLeft w:val="0"/>
      <w:marRight w:val="0"/>
      <w:marTop w:val="0"/>
      <w:marBottom w:val="0"/>
      <w:divBdr>
        <w:top w:val="none" w:sz="0" w:space="0" w:color="auto"/>
        <w:left w:val="none" w:sz="0" w:space="0" w:color="auto"/>
        <w:bottom w:val="none" w:sz="0" w:space="0" w:color="auto"/>
        <w:right w:val="none" w:sz="0" w:space="0" w:color="auto"/>
      </w:divBdr>
    </w:div>
    <w:div w:id="1890847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2.xml" Id="rId13" /><Relationship Type="http://schemas.openxmlformats.org/officeDocument/2006/relationships/header" Target="header4.xml" Id="rId26" /><Relationship Type="http://schemas.openxmlformats.org/officeDocument/2006/relationships/styles" Target="styles.xml" Id="rId3" /><Relationship Type="http://schemas.openxmlformats.org/officeDocument/2006/relationships/footnotes" Target="footnotes.xml" Id="rId7" /><Relationship Type="http://schemas.openxmlformats.org/officeDocument/2006/relationships/footer" Target="footer1.xml" Id="rId12" /><Relationship Type="http://schemas.openxmlformats.org/officeDocument/2006/relationships/theme" Target="theme/theme1.xml" Id="rId33" /><Relationship Type="http://schemas.openxmlformats.org/officeDocument/2006/relationships/numbering" Target="numbering.xml" Id="rId2" /><Relationship Type="http://schemas.openxmlformats.org/officeDocument/2006/relationships/footer" Target="footer5.xml"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fontTable" Target="fontTable.xml" Id="rId32" /><Relationship Type="http://schemas.openxmlformats.org/officeDocument/2006/relationships/settings" Target="settings.xml" Id="rId5" /><Relationship Type="http://schemas.openxmlformats.org/officeDocument/2006/relationships/footer" Target="footer3.xml" Id="rId15" /><Relationship Type="http://schemas.openxmlformats.org/officeDocument/2006/relationships/footer" Target="footer4.xml" Id="rId28" /><Relationship Type="http://schemas.openxmlformats.org/officeDocument/2006/relationships/header" Target="header1.xml" Id="rId10" /><Relationship Type="http://schemas.openxmlformats.org/officeDocument/2006/relationships/footer" Target="footer6.xml" Id="rId31" /><Relationship Type="http://schemas.microsoft.com/office/2007/relationships/stylesWithEffects" Target="stylesWithEffects.xml" Id="rId4" /><Relationship Type="http://schemas.openxmlformats.org/officeDocument/2006/relationships/header" Target="header3.xml" Id="rId14" /><Relationship Type="http://schemas.openxmlformats.org/officeDocument/2006/relationships/header" Target="header5.xml" Id="rId27" /><Relationship Type="http://schemas.openxmlformats.org/officeDocument/2006/relationships/header" Target="header6.xml" Id="rId30" /><Relationship Type="http://schemas.openxmlformats.org/officeDocument/2006/relationships/image" Target="/word/media/image4.jpeg" Id="rId18" /><Relationship Type="http://schemas.openxmlformats.org/officeDocument/2006/relationships/image" Target="/word/media/image7.jpeg" Id="rId21" /><Relationship Type="http://schemas.openxmlformats.org/officeDocument/2006/relationships/image" Target="/word/media/image3.jpeg" Id="rId17" /><Relationship Type="http://schemas.openxmlformats.org/officeDocument/2006/relationships/image" Target="/word/media/image11.jpeg" Id="rId25" /><Relationship Type="http://schemas.openxmlformats.org/officeDocument/2006/relationships/image" Target="/word/media/image2.jpeg" Id="rId16" /><Relationship Type="http://schemas.openxmlformats.org/officeDocument/2006/relationships/image" Target="/word/media/image6.jpeg" Id="rId20" /><Relationship Type="http://schemas.openxmlformats.org/officeDocument/2006/relationships/image" Target="/word/media/image10.jpeg" Id="rId24" /><Relationship Type="http://schemas.openxmlformats.org/officeDocument/2006/relationships/image" Target="/word/media/image9.jpeg" Id="rId23" /><Relationship Type="http://schemas.openxmlformats.org/officeDocument/2006/relationships/image" Target="/word/media/image5.jpeg" Id="rId19" /><Relationship Type="http://schemas.openxmlformats.org/officeDocument/2006/relationships/image" Target="/word/media/image1.jpeg" Id="rId9" /><Relationship Type="http://schemas.openxmlformats.org/officeDocument/2006/relationships/image" Target="/word/media/image8.jpeg" Id="rId22" /></Relationships>
</file>

<file path=word/_rels/footnotes.xml.rels><?xml version="1.0" encoding="UTF-8" standalone="yes"?>
<Relationships xmlns="http://schemas.openxmlformats.org/package/2006/relationships"><Relationship Id="rId8" Type="http://schemas.openxmlformats.org/officeDocument/2006/relationships/hyperlink" Target="https://ec.europa.eu/europeaid/sites/devco/files/european-consensus-on-development-final-20170626_en.pdf" TargetMode="External"/><Relationship Id="rId3" Type="http://schemas.openxmlformats.org/officeDocument/2006/relationships/hyperlink" Target="https://ec.europa.eu/agriculture/consultations/cap-modernising/2017_fi" TargetMode="External"/><Relationship Id="rId7" Type="http://schemas.openxmlformats.org/officeDocument/2006/relationships/hyperlink" Target="https://ec.europa.eu/health/amr/sites/amr/files/amr_action_plan_2017_en.pdf" TargetMode="External"/><Relationship Id="rId2" Type="http://schemas.openxmlformats.org/officeDocument/2006/relationships/hyperlink" Target="https://ec.europa.eu/agriculture/external-studies/2016-eip_en" TargetMode="External"/><Relationship Id="rId1" Type="http://schemas.openxmlformats.org/officeDocument/2006/relationships/hyperlink" Target="https://ec.europa.eu/agriculture/trade-analysis/statistics_en" TargetMode="External"/><Relationship Id="rId6" Type="http://schemas.openxmlformats.org/officeDocument/2006/relationships/hyperlink" Target="https://ec.europa.eu/info/law/law-making-process/overview-law-making-process/evaluating-and-improving-existing-laws/reducing-burdens-and-simplifying-law/refit-platform/refit-platform-recommendations_en" TargetMode="External"/><Relationship Id="rId5" Type="http://schemas.openxmlformats.org/officeDocument/2006/relationships/hyperlink" Target="http://publications.jrc.ec.europa.eu/repository/bitstream/JRC101396/jrc101396_ecampa2_final_report.pdf" TargetMode="External"/><Relationship Id="rId4" Type="http://schemas.openxmlformats.org/officeDocument/2006/relationships/hyperlink" Target="https://ec.europa.eu/agriculture/sites/agriculture/files/direct-support/pdf/2016-staff-working-document-greening_en.pdf" TargetMode="External"/><Relationship Id="rId9" Type="http://schemas.openxmlformats.org/officeDocument/2006/relationships/hyperlink" Target="http://www.consilium.europa.eu/fi/meetings/international-summit/2015/11/11-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37372169-0A29-42CE-A5D5-89149DE71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8688</Words>
  <Characters>49525</Characters>
  <Application>Microsoft Office Word</Application>
  <DocSecurity>0</DocSecurity>
  <PresentationFormat>Microsoft Word 14.0</PresentationFormat>
  <Lines>412</Lines>
  <Paragraphs>116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58097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2017-11-28T08:17:00Z</dcterms:created>
  <dcterms:modified xsi:type="dcterms:W3CDTF">2017-11-29T12:52:00Z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ies>
</file>