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A1DF" w14:textId="68B8960C" w:rsidR="004B3EAF" w:rsidRPr="0018578C" w:rsidRDefault="0005544D" w:rsidP="0005544D">
      <w:pPr>
        <w:pStyle w:val="Pagedecouverture"/>
        <w:rPr>
          <w:noProof/>
        </w:rPr>
      </w:pPr>
      <w:r>
        <w:rPr>
          <w:noProof/>
        </w:rPr>
        <w:pict w14:anchorId="4092F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FB3770-9A7E-4852-9455-285846D98D3E" style="width:455.25pt;height:383.25pt">
            <v:imagedata r:id="rId11" o:title=""/>
          </v:shape>
        </w:pict>
      </w:r>
    </w:p>
    <w:p w14:paraId="7B47C24C" w14:textId="77777777" w:rsidR="00424DFB" w:rsidRPr="0018578C" w:rsidRDefault="00424DFB" w:rsidP="00424DFB">
      <w:pPr>
        <w:pStyle w:val="Pagedecouverture"/>
        <w:rPr>
          <w:noProof/>
        </w:rPr>
        <w:sectPr w:rsidR="00424DFB" w:rsidRPr="0018578C" w:rsidSect="0005544D">
          <w:footerReference w:type="default" r:id="rId12"/>
          <w:pgSz w:w="11907" w:h="16839"/>
          <w:pgMar w:top="1134" w:right="1417" w:bottom="1134" w:left="1417" w:header="709" w:footer="709" w:gutter="0"/>
          <w:pgNumType w:start="0"/>
          <w:cols w:space="720"/>
          <w:docGrid w:linePitch="360"/>
        </w:sectPr>
      </w:pPr>
    </w:p>
    <w:p w14:paraId="0AF5D918" w14:textId="77777777" w:rsidR="00C1332E" w:rsidRPr="0018578C" w:rsidRDefault="00586D7D">
      <w:pPr>
        <w:pStyle w:val="Exposdesmotifstitre"/>
        <w:rPr>
          <w:noProof/>
        </w:rPr>
      </w:pPr>
      <w:bookmarkStart w:id="0" w:name="_GoBack"/>
      <w:bookmarkEnd w:id="0"/>
      <w:r w:rsidRPr="0018578C">
        <w:rPr>
          <w:noProof/>
        </w:rPr>
        <w:lastRenderedPageBreak/>
        <w:t>RELAZIONE</w:t>
      </w:r>
    </w:p>
    <w:p w14:paraId="14962E63" w14:textId="77777777" w:rsidR="00C1332E" w:rsidRPr="0018578C" w:rsidRDefault="00586D7D">
      <w:pPr>
        <w:pStyle w:val="ManualHeading1"/>
        <w:rPr>
          <w:noProof/>
        </w:rPr>
      </w:pPr>
      <w:r w:rsidRPr="0018578C">
        <w:rPr>
          <w:noProof/>
        </w:rPr>
        <w:t>1.</w:t>
      </w:r>
      <w:r w:rsidRPr="0018578C">
        <w:rPr>
          <w:noProof/>
        </w:rPr>
        <w:tab/>
        <w:t>CONTESTO DELLA PROPOSTA</w:t>
      </w:r>
    </w:p>
    <w:p w14:paraId="607E3613" w14:textId="77777777" w:rsidR="00C1332E" w:rsidRPr="0018578C" w:rsidRDefault="00586D7D">
      <w:pPr>
        <w:pStyle w:val="ManualHeading2"/>
        <w:rPr>
          <w:rFonts w:eastAsia="Arial Unicode MS"/>
          <w:noProof/>
        </w:rPr>
      </w:pPr>
      <w:r w:rsidRPr="0018578C">
        <w:rPr>
          <w:noProof/>
          <w:color w:val="000000"/>
          <w:u w:color="000000"/>
          <w:bdr w:val="nil"/>
        </w:rPr>
        <w:t>•</w:t>
      </w:r>
      <w:r w:rsidRPr="0018578C">
        <w:rPr>
          <w:noProof/>
        </w:rPr>
        <w:tab/>
        <w:t>Motivi e obiettivi della proposta</w:t>
      </w:r>
    </w:p>
    <w:p w14:paraId="64ED53E3" w14:textId="77777777" w:rsidR="00AB3B6A" w:rsidRPr="0018578C" w:rsidRDefault="002F554A" w:rsidP="002F554A">
      <w:pPr>
        <w:pBdr>
          <w:top w:val="nil"/>
          <w:left w:val="nil"/>
          <w:bottom w:val="nil"/>
          <w:right w:val="nil"/>
          <w:between w:val="nil"/>
          <w:bar w:val="nil"/>
        </w:pBdr>
        <w:spacing w:before="0" w:after="240"/>
        <w:rPr>
          <w:noProof/>
        </w:rPr>
      </w:pPr>
      <w:r w:rsidRPr="0018578C">
        <w:rPr>
          <w:noProof/>
        </w:rPr>
        <w:t xml:space="preserve">La guerra di aggressione russa nei confronti dell'Ucraina ha comportato una serie di sfide impreviste per l'Unione europea proprio quando l'Unione e i suoi Stati membri erano impegnati nella ripresa delle nostre economie e società dopo la pandemia di COVID-19. </w:t>
      </w:r>
    </w:p>
    <w:p w14:paraId="7FB81543" w14:textId="3B3734B1" w:rsidR="002F554A" w:rsidRPr="0018578C" w:rsidRDefault="002F554A" w:rsidP="006573D1">
      <w:pPr>
        <w:pBdr>
          <w:top w:val="nil"/>
          <w:left w:val="nil"/>
          <w:bottom w:val="nil"/>
          <w:right w:val="nil"/>
          <w:between w:val="nil"/>
          <w:bar w:val="nil"/>
        </w:pBdr>
        <w:spacing w:before="0" w:after="240"/>
        <w:rPr>
          <w:noProof/>
        </w:rPr>
      </w:pPr>
      <w:r w:rsidRPr="0018578C">
        <w:rPr>
          <w:noProof/>
        </w:rPr>
        <w:t>Dall'invasione non provocata dell'Ucraina da parte della Russia del 24 febbraio, l'Unione ha accolto oltre 6,2 milioni di cittadini ucraini in fuga dall'aggressione russa. L'UE ha reagito rapidamente, sostenendo gli Stati membri e le regioni nella gestione di tale afflusso di persone mobilitando tutti i finanziamenti disponibili. Tuttavia con l'aumento del numero di arrivi, è evidente che sono necessari ulteriori interventi. La riunione straordinaria del Consiglio europeo del maggio 2022 ha invitato la Commissione a "presentare nuove iniziative …  nell'ambito del quadro finanziario pluriennale" per sostenere lo sforzo di fornire protezione a milioni di rifugiati in fuga dalla guerra in Ucraina.</w:t>
      </w:r>
    </w:p>
    <w:p w14:paraId="54149776" w14:textId="77777777" w:rsidR="00304116" w:rsidRPr="0018578C" w:rsidRDefault="002F554A" w:rsidP="002F554A">
      <w:pPr>
        <w:pBdr>
          <w:top w:val="nil"/>
          <w:left w:val="nil"/>
          <w:bottom w:val="nil"/>
          <w:right w:val="nil"/>
          <w:between w:val="nil"/>
          <w:bar w:val="nil"/>
        </w:pBdr>
        <w:spacing w:before="0" w:after="240"/>
        <w:rPr>
          <w:noProof/>
        </w:rPr>
      </w:pPr>
      <w:r w:rsidRPr="0018578C">
        <w:rPr>
          <w:noProof/>
        </w:rPr>
        <w:t xml:space="preserve">Oltre a fornire sostegno agli Stati membri nel contesto dell'afflusso di sfollati, la Commissione segue altresì attentamente l'attuale impatto dell'invasione non provocata dell'Ucraina da parte della Russia, in particolare sull'attuazione della politica di coesione. Sono state riscontrate segnatamente conseguenze sui progetti infrastrutturali, tanto in termini di disponibilità e costi delle materie prime quanto di disponibilità di manodopera. Il Parlamento europeo, il Consiglio e le regioni hanno tutti espresso preoccupazioni in merito agli effetti che tali problemi potrebbero avere sul completamento dell'attuazione dei programmi del periodo 2014-2020 e sull'avvio dei nuovi programmi del periodo 2021-2027. </w:t>
      </w:r>
    </w:p>
    <w:p w14:paraId="350367E7" w14:textId="722372E0" w:rsidR="005314BD" w:rsidRPr="0018578C" w:rsidRDefault="005314BD" w:rsidP="005314BD">
      <w:pPr>
        <w:pBdr>
          <w:top w:val="nil"/>
          <w:left w:val="nil"/>
          <w:bottom w:val="nil"/>
          <w:right w:val="nil"/>
          <w:between w:val="nil"/>
          <w:bar w:val="nil"/>
        </w:pBdr>
        <w:spacing w:before="0" w:after="240"/>
        <w:rPr>
          <w:noProof/>
        </w:rPr>
      </w:pPr>
      <w:r w:rsidRPr="0018578C">
        <w:rPr>
          <w:noProof/>
        </w:rPr>
        <w:t>Dal 24 febbraio la Commissione ha già presentato una serie di proposte, nel quadro dell'azione di coesione a favore dei rifugiati in Europa (CARE), al fine di garantire che tutti i finanziamenti disponibili nell'ambito dei programmi della politica di coesione per il periodo 2014-2020 e del Fondo di aiuti europei agli indigenti siano rapidamente mobilitati per affrontare le sfide immediate cui devono far fronte gli Stati membri e in particolare diverse loro regioni orientali, segnatamente per quanto concerne le persone in fuga dall'aggressione russa.</w:t>
      </w:r>
    </w:p>
    <w:p w14:paraId="5EB5E12F" w14:textId="77777777" w:rsidR="000013B8" w:rsidRPr="0018578C" w:rsidRDefault="00944661" w:rsidP="000013B8">
      <w:pPr>
        <w:pBdr>
          <w:top w:val="nil"/>
          <w:left w:val="nil"/>
          <w:bottom w:val="nil"/>
          <w:right w:val="nil"/>
          <w:between w:val="nil"/>
          <w:bar w:val="nil"/>
        </w:pBdr>
        <w:spacing w:before="0" w:after="240"/>
        <w:rPr>
          <w:noProof/>
        </w:rPr>
      </w:pPr>
      <w:r w:rsidRPr="0018578C">
        <w:rPr>
          <w:noProof/>
        </w:rPr>
        <w:t>Tali modifiche hanno garantito la possibilità di mobilitare i finanziamenti disponibili per far fronte alle conseguenze immediate della guerra di aggressione russa nei confronti dell'Ucraina, consentendo nel contempo agli Stati membri di continuare a impegnarsi per garantire una ripresa verde, digitale e resiliente delle loro economie dalla crisi derivante dalla pandemia di COVID-19.</w:t>
      </w:r>
    </w:p>
    <w:p w14:paraId="028CA0DE" w14:textId="0B9FB8A9" w:rsidR="00944661" w:rsidRPr="0018578C" w:rsidRDefault="00944661" w:rsidP="00944661">
      <w:pPr>
        <w:pBdr>
          <w:top w:val="nil"/>
          <w:left w:val="nil"/>
          <w:bottom w:val="nil"/>
          <w:right w:val="nil"/>
          <w:between w:val="nil"/>
          <w:bar w:val="nil"/>
        </w:pBdr>
        <w:spacing w:before="0" w:after="240"/>
        <w:rPr>
          <w:noProof/>
        </w:rPr>
      </w:pPr>
      <w:r w:rsidRPr="0018578C">
        <w:rPr>
          <w:noProof/>
        </w:rPr>
        <w:t xml:space="preserve">La possibilità di utilizzare il Fondo europeo di sviluppo regionale (FESR) e il Fondo sociale europeo (FSE) per operazioni volte ad affrontare le sfide migratorie a seguito dell'aggressione militare della Russia ai sensi delle norme dell'altro fondo consente di utilizzare le risorse disponibili per soddisfare le esigenze esistenti, senza che sia necessario un trasferimento. Inoltre tali operazioni sono rese ammissibili a decorrere dalla data dell'invasione, al fine di consentire il sostegno per tutte le esigenze connesse. È stato altresì introdotto un nuovo costo unitario e le modalità di comunicazione in materia di partecipanti sono state semplificate per ridurre gli oneri amministrativi sia per i beneficiari sia per le amministrazioni degli Stati membri nel contesto della risposta alle sfide migratorie. Infine la possibilità di ricorrere a un cofinanziamento fino al 100 % è stata estesa per tali misure anche al periodo contabile terminato il 30 giugno 2022, al fine di contribuire ad alleviare l'onere che grava sulle finanze pubbliche degli Stati membri, e l'aumento sostanziale dei prefinanziamenti a titolo delle risorse REACT-EU ha fornito agli Stati membri la liquidità necessaria per soddisfare le esigenze più urgenti. </w:t>
      </w:r>
    </w:p>
    <w:p w14:paraId="6804217D" w14:textId="3F81D5BF" w:rsidR="00944661" w:rsidRPr="0018578C" w:rsidRDefault="00944661" w:rsidP="00944661">
      <w:pPr>
        <w:pBdr>
          <w:top w:val="nil"/>
          <w:left w:val="nil"/>
          <w:bottom w:val="nil"/>
          <w:right w:val="nil"/>
          <w:between w:val="nil"/>
          <w:bar w:val="nil"/>
        </w:pBdr>
        <w:spacing w:before="0" w:after="240"/>
        <w:rPr>
          <w:noProof/>
        </w:rPr>
      </w:pPr>
      <w:r w:rsidRPr="0018578C">
        <w:rPr>
          <w:noProof/>
        </w:rPr>
        <w:t>Le conseguenze dell'aggressione militare russa hanno acquisito una portata maggiore e il loro impatto si è ampliato. Di conseguenza gli Stati membri devono far fronte a continui e consistenti afflussi di persone in fuga dall'aggressione russa. Nel contempo alcuni Stati membri si trovano ad affrontare carenze di manodopera e scarsità di materie prime in alcuni settori. Questa situazione si va ad aggiungere alle conseguenze della pandemia di COVID-19, in particolare alle perturbazioni delle catene del valore, che mettono a repentaglio i bilanci pubblici incentrati sulla ripresa dell'economia, ma rischia anche di ritardare gli investimenti, soprattutto nelle infrastrutture.</w:t>
      </w:r>
    </w:p>
    <w:p w14:paraId="0185A523" w14:textId="5DE3621A" w:rsidR="00944661" w:rsidRPr="0018578C" w:rsidRDefault="00012F1F" w:rsidP="00944661">
      <w:pPr>
        <w:pBdr>
          <w:top w:val="nil"/>
          <w:left w:val="nil"/>
          <w:bottom w:val="nil"/>
          <w:right w:val="nil"/>
          <w:between w:val="nil"/>
          <w:bar w:val="nil"/>
        </w:pBdr>
        <w:spacing w:before="0" w:after="240"/>
        <w:rPr>
          <w:noProof/>
        </w:rPr>
      </w:pPr>
      <w:r w:rsidRPr="0018578C">
        <w:rPr>
          <w:noProof/>
        </w:rPr>
        <w:t xml:space="preserve">Sebbene le misure già adottate abbiano svolto un ruolo importante nel sostenere gli Stati membri e le regioni nell'affrontare gli effetti immediati della guerra, risulta evidente che l'evoluzione della situazione richiede ulteriori misure. In particolare una maggiore flessibilità contribuirà a ottimizzare l'uso delle risorse rimanenti per il periodo 2014-2020 e consentirà un più agevole scaglionamento dei progetti in ritardo tra i programmi del periodo 2014-2020 e quelli del periodo 2021-2027. </w:t>
      </w:r>
    </w:p>
    <w:p w14:paraId="7F1CE955" w14:textId="77777777" w:rsidR="00944661" w:rsidRPr="0018578C" w:rsidRDefault="00944661" w:rsidP="00944661">
      <w:pPr>
        <w:pBdr>
          <w:top w:val="nil"/>
          <w:left w:val="nil"/>
          <w:bottom w:val="nil"/>
          <w:right w:val="nil"/>
          <w:between w:val="nil"/>
          <w:bar w:val="nil"/>
        </w:pBdr>
        <w:spacing w:before="0" w:after="240"/>
        <w:rPr>
          <w:noProof/>
        </w:rPr>
      </w:pPr>
      <w:r w:rsidRPr="0018578C">
        <w:rPr>
          <w:noProof/>
        </w:rPr>
        <w:t xml:space="preserve">Di conseguenza dovrebbe essere introdotta un'ulteriore flessibilità per consentire un sostegno più rapido e completo a titolo dei fondi al fine di alleviare l'onere che grava sui bilanci nazionali e agevolare l'attuazione di operazioni volte ad affrontare sia le sfide migratorie, sia le perturbazioni del mercato in settori economici chiave. </w:t>
      </w:r>
    </w:p>
    <w:p w14:paraId="133055DF" w14:textId="77777777" w:rsidR="00944661" w:rsidRPr="0018578C" w:rsidRDefault="00D42B7B" w:rsidP="00944661">
      <w:pPr>
        <w:pBdr>
          <w:top w:val="nil"/>
          <w:left w:val="nil"/>
          <w:bottom w:val="nil"/>
          <w:right w:val="nil"/>
          <w:between w:val="nil"/>
          <w:bar w:val="nil"/>
        </w:pBdr>
        <w:spacing w:before="0" w:after="240"/>
        <w:rPr>
          <w:noProof/>
        </w:rPr>
      </w:pPr>
      <w:r w:rsidRPr="0018578C">
        <w:rPr>
          <w:noProof/>
        </w:rPr>
        <w:t>Per le operazioni volte ad affrontare le sfide migratorie a seguito dell'aggressione militare da parte della Federazione russa è pertanto opportuno, nell'ambito di tale sostegno più completo e quale misura eccezionale, fatte salve le norme che dovrebbero applicarsi in circostanze normali, derogare ai requisiti connessi all'ubicazione dell'operazione all'interno di un determinato Stato membro, dato che le persone in fuga dalla guerra possono cambiare ubicazione più di una volta. Inoltre, dato il protrarsi dell'aggressione russa, è giustificato prevedere una proroga temporale e un aumento dei costi unitari stabiliti recentemente per coprire le necessità di base e il sostegno a favore delle persone cui è stata concessa la protezione temporanea o un'altra protezione adeguata a norma del diritto nazionale conformemente alla decisione di esecuzione (UE) 2022/382 del Consiglio</w:t>
      </w:r>
      <w:r w:rsidRPr="0018578C">
        <w:rPr>
          <w:rStyle w:val="FootnoteReference"/>
          <w:noProof/>
        </w:rPr>
        <w:footnoteReference w:id="2"/>
      </w:r>
      <w:r w:rsidRPr="0018578C">
        <w:rPr>
          <w:noProof/>
        </w:rPr>
        <w:t xml:space="preserve"> e alla direttiva 2001/55/CE del Consiglio</w:t>
      </w:r>
      <w:r w:rsidRPr="0018578C">
        <w:rPr>
          <w:rStyle w:val="FootnoteReference"/>
          <w:noProof/>
        </w:rPr>
        <w:footnoteReference w:id="3"/>
      </w:r>
      <w:r w:rsidRPr="0018578C">
        <w:rPr>
          <w:noProof/>
        </w:rPr>
        <w:t xml:space="preserve"> in tutti gli Stati membri.</w:t>
      </w:r>
    </w:p>
    <w:p w14:paraId="405B11EC" w14:textId="2647CC87" w:rsidR="00944661" w:rsidRPr="0018578C" w:rsidRDefault="00944661" w:rsidP="00944661">
      <w:pPr>
        <w:pBdr>
          <w:top w:val="nil"/>
          <w:left w:val="nil"/>
          <w:bottom w:val="nil"/>
          <w:right w:val="nil"/>
          <w:between w:val="nil"/>
          <w:bar w:val="nil"/>
        </w:pBdr>
        <w:spacing w:before="0" w:after="240"/>
        <w:rPr>
          <w:noProof/>
        </w:rPr>
      </w:pPr>
      <w:r w:rsidRPr="0018578C">
        <w:rPr>
          <w:noProof/>
        </w:rPr>
        <w:t>Si propone inoltre di consentire che le risorse rimanenti del Fondo di coesione per il periodo 2014-2020 possano sostenere operazioni che rientrano nell'ambito del FESR o dell'FSE, conformemente alle norme applicabili a tali fondi. Ciò implica l'estensione al Fondo di coesione della flessibilità per l'utilizzo delle risorse del FESR e dell'FSE introdotta con il regolamento (UE) 2022/562 del Parlamento europeo e del Consiglio</w:t>
      </w:r>
      <w:r w:rsidRPr="0018578C">
        <w:rPr>
          <w:rStyle w:val="FootnoteReference"/>
          <w:noProof/>
        </w:rPr>
        <w:footnoteReference w:id="4"/>
      </w:r>
      <w:r w:rsidRPr="0018578C">
        <w:rPr>
          <w:noProof/>
        </w:rPr>
        <w:t>. Analogamente, dato che la data di ammissibilità per le operazioni volte ad affrontare le sfide migratorie a seguito dell'aggressione militare da parte della Russia è stata fissata al 24 febbraio 2022, dovrebbe essere possibile dichiarare le spese relative a tali operazioni anche quando sono già materialmente completate o pienamente realizzate. Tali possibilità dovrebbero essere estese anche al Fondo europeo per gli affari marittimi e la pesca (FEAMP) in considerazione delle conseguenze della guerra sul settore della pesca e dell'acquacoltura.</w:t>
      </w:r>
    </w:p>
    <w:p w14:paraId="00CB5046" w14:textId="435ABF96" w:rsidR="00944661" w:rsidRPr="0018578C" w:rsidRDefault="00944661" w:rsidP="00944661">
      <w:pPr>
        <w:pBdr>
          <w:top w:val="nil"/>
          <w:left w:val="nil"/>
          <w:bottom w:val="nil"/>
          <w:right w:val="nil"/>
          <w:between w:val="nil"/>
          <w:bar w:val="nil"/>
        </w:pBdr>
        <w:spacing w:before="0" w:after="240"/>
        <w:rPr>
          <w:noProof/>
        </w:rPr>
      </w:pPr>
      <w:r w:rsidRPr="0018578C">
        <w:rPr>
          <w:noProof/>
        </w:rPr>
        <w:t>Nello stesso spirito e al fine di alleviare l'onere amministrativo per gli Stati membri che si adeguano costantemente a esigenze in evoluzione, i trasferimenti tra obiettivi tematici nell'ambito di una priorità e nell'ambito di un fondo e di una categoria di regioni dovrebbero essere possibili senza che sia necessaria una decisione di modifica del programma da parte della Commissione. Si propone inoltre di aumentare il massimale della flessibilità tra le priorità per il calcolo del saldo finale del contributo dei fondi. Inoltre, per le priorità destinate a promuovere l'integrazione socioeconomica dei cittadini di paesi terzi, comprese quelle relative alle operazioni volte ad affrontare le sfide migratorie a seguito dell'aggressione militare da parte della Federazione russa, è opportuno stabilire la possibilità di un tasso di cofinanziamento fino al 100 % in entrambi i periodi di programmazione, al fine di aiutare gli Stati membri a rispondere alle esigenze degli sfollati sia ora che in futuro.</w:t>
      </w:r>
    </w:p>
    <w:p w14:paraId="12D33020" w14:textId="77777777" w:rsidR="00944661" w:rsidRPr="0018578C" w:rsidRDefault="00143278" w:rsidP="00944661">
      <w:pPr>
        <w:pBdr>
          <w:top w:val="nil"/>
          <w:left w:val="nil"/>
          <w:bottom w:val="nil"/>
          <w:right w:val="nil"/>
          <w:between w:val="nil"/>
          <w:bar w:val="nil"/>
        </w:pBdr>
        <w:spacing w:before="0" w:after="240"/>
        <w:rPr>
          <w:noProof/>
        </w:rPr>
      </w:pPr>
      <w:r w:rsidRPr="0018578C">
        <w:rPr>
          <w:noProof/>
        </w:rPr>
        <w:t>Al fine di tener conto delle condizioni più semplici per lo scaglionamento dei progetti tra periodi di programmazione, è altresì necessario introdurre flessibilità mirate per il periodo di programmazione 2021-2027.</w:t>
      </w:r>
    </w:p>
    <w:p w14:paraId="4AE9F2EC" w14:textId="77777777" w:rsidR="00A17F91" w:rsidRPr="0018578C" w:rsidRDefault="00A17F91" w:rsidP="00944661">
      <w:pPr>
        <w:pBdr>
          <w:top w:val="nil"/>
          <w:left w:val="nil"/>
          <w:bottom w:val="nil"/>
          <w:right w:val="nil"/>
          <w:between w:val="nil"/>
          <w:bar w:val="nil"/>
        </w:pBdr>
        <w:spacing w:before="0" w:after="240"/>
        <w:rPr>
          <w:noProof/>
        </w:rPr>
      </w:pPr>
      <w:r w:rsidRPr="0018578C">
        <w:rPr>
          <w:noProof/>
        </w:rPr>
        <w:t>Per aiutare tutti gli Stati membri ad affrontare l'impatto della guerra nei loro programmi 2021-2027, il sostegno a titolo del FESR, del FSE + e del Fondo di coesione nell'ambito dell'obiettivo "Investimenti a favore dell'occupazione e della crescita" dovrebbe essere mobilitato rapidamente aumentando il tasso di prefinanziamento.</w:t>
      </w:r>
    </w:p>
    <w:p w14:paraId="0C192F07" w14:textId="1A1F8D3B" w:rsidR="00A17F91" w:rsidRPr="0018578C" w:rsidRDefault="00A17F91" w:rsidP="00A17F91">
      <w:pPr>
        <w:pBdr>
          <w:top w:val="nil"/>
          <w:left w:val="nil"/>
          <w:bottom w:val="nil"/>
          <w:right w:val="nil"/>
          <w:between w:val="nil"/>
          <w:bar w:val="nil"/>
        </w:pBdr>
        <w:spacing w:before="0" w:after="240"/>
        <w:rPr>
          <w:noProof/>
        </w:rPr>
      </w:pPr>
      <w:r w:rsidRPr="0018578C">
        <w:rPr>
          <w:noProof/>
        </w:rPr>
        <w:t xml:space="preserve">Il tasso di cofinanziamento fino al 100 % dovrebbe inoltre essere introdotto per le priorità destinate a promuovere l'integrazione socioeconomica dei cittadini di paesi terzi nel quadro dei programmi 2021-2027 fino alla metà del 2024 e dovrebbe essere riesaminato in base alla sua modalità di utilizzo. </w:t>
      </w:r>
    </w:p>
    <w:p w14:paraId="3D2DCEE6" w14:textId="77777777" w:rsidR="00944661" w:rsidRPr="0018578C" w:rsidRDefault="00A17F91" w:rsidP="00944661">
      <w:pPr>
        <w:pBdr>
          <w:top w:val="nil"/>
          <w:left w:val="nil"/>
          <w:bottom w:val="nil"/>
          <w:right w:val="nil"/>
          <w:between w:val="nil"/>
          <w:bar w:val="nil"/>
        </w:pBdr>
        <w:spacing w:before="0" w:after="240"/>
        <w:rPr>
          <w:noProof/>
        </w:rPr>
      </w:pPr>
      <w:r w:rsidRPr="0018578C">
        <w:rPr>
          <w:noProof/>
        </w:rPr>
        <w:t>Infine, il massimale per la possibilità di scaglionare le operazioni dai programmi 2014-2020 a quelli del periodo di programmazione 2021-2027 dovrebbe essere ridotto per estendere tale possibilità a un maggior numero di operazioni soggette a ritardi. Inoltre la seconda fase delle operazioni nel quadro dei programmi 2021-2027 dovrebbe essere resa ammissibile conformemente alle norme del periodo 2014-2020 e le autorità di gestione dovrebbero avere la possibilità di concedere direttamente un sostegno a tali operazioni, purché sia soddisfatto un numero limitato di condizioni fondamentali. Tale flessibilità nello scaglionamento non pregiudicherà gli obblighi degli Stati membri di rispettare i requisiti di concentrazione tematica e gli obiettivi relativi al contributo all'azione per il clima.</w:t>
      </w:r>
    </w:p>
    <w:p w14:paraId="21671F9A" w14:textId="77777777" w:rsidR="00C1332E" w:rsidRPr="0018578C" w:rsidRDefault="00586D7D">
      <w:pPr>
        <w:pStyle w:val="ManualHeading2"/>
        <w:rPr>
          <w:rFonts w:eastAsia="Arial Unicode MS"/>
          <w:noProof/>
          <w:color w:val="000000"/>
          <w:u w:color="000000"/>
          <w:bdr w:val="nil"/>
        </w:rPr>
      </w:pPr>
      <w:r w:rsidRPr="0018578C">
        <w:rPr>
          <w:noProof/>
          <w:color w:val="000000"/>
          <w:u w:color="000000"/>
          <w:bdr w:val="nil"/>
        </w:rPr>
        <w:t>•</w:t>
      </w:r>
      <w:r w:rsidRPr="0018578C">
        <w:rPr>
          <w:noProof/>
        </w:rPr>
        <w:tab/>
        <w:t>Coerenza con le disposizioni vigenti nel settore normativo interessato</w:t>
      </w:r>
    </w:p>
    <w:p w14:paraId="0C342CD1" w14:textId="77777777" w:rsidR="00C1332E" w:rsidRPr="0018578C" w:rsidRDefault="00107C7D">
      <w:pPr>
        <w:pBdr>
          <w:top w:val="nil"/>
          <w:left w:val="nil"/>
          <w:bottom w:val="nil"/>
          <w:right w:val="nil"/>
          <w:between w:val="nil"/>
          <w:bar w:val="nil"/>
        </w:pBdr>
        <w:spacing w:before="0" w:after="240"/>
        <w:rPr>
          <w:noProof/>
        </w:rPr>
      </w:pPr>
      <w:r w:rsidRPr="0018578C">
        <w:rPr>
          <w:noProof/>
        </w:rPr>
        <w:t>La proposta è coerente con il quadro giuridico generale istituito per i Fondi strutturali e di investimento europei (fondi SIE) e per la politica di coesione e si limita a modifiche mirate ed eccezionali dei regolamenti (UE) n. 1303/2013 e (UE) n. 2021/1060. La proposta integra inoltre le precedenti modifiche del regolamento (UE) n. 1303/2013, tramite i regolamenti di modifica del 6 aprile 2022 e del 12 aprile 2022, nonché di tutte le altre misure volte ad affrontare l'attuale situazione senza precedenti.</w:t>
      </w:r>
    </w:p>
    <w:p w14:paraId="48A8078C" w14:textId="77777777" w:rsidR="00C1332E" w:rsidRPr="0018578C" w:rsidRDefault="00586D7D">
      <w:pPr>
        <w:pStyle w:val="ManualHeading2"/>
        <w:rPr>
          <w:rFonts w:eastAsia="Arial Unicode MS"/>
          <w:noProof/>
        </w:rPr>
      </w:pPr>
      <w:r w:rsidRPr="0018578C">
        <w:rPr>
          <w:noProof/>
          <w:color w:val="000000"/>
          <w:u w:color="000000"/>
          <w:bdr w:val="nil"/>
        </w:rPr>
        <w:t>•</w:t>
      </w:r>
      <w:r w:rsidRPr="0018578C">
        <w:rPr>
          <w:noProof/>
        </w:rPr>
        <w:tab/>
        <w:t>Coerenza con le altre normative dell'Unione</w:t>
      </w:r>
    </w:p>
    <w:p w14:paraId="7136537B" w14:textId="77777777" w:rsidR="00C1332E" w:rsidRPr="0018578C" w:rsidRDefault="00107C7D">
      <w:pPr>
        <w:pBdr>
          <w:top w:val="nil"/>
          <w:left w:val="nil"/>
          <w:bottom w:val="nil"/>
          <w:right w:val="nil"/>
          <w:between w:val="nil"/>
          <w:bar w:val="nil"/>
        </w:pBdr>
        <w:spacing w:before="0" w:after="240"/>
        <w:rPr>
          <w:noProof/>
        </w:rPr>
      </w:pPr>
      <w:r w:rsidRPr="0018578C">
        <w:rPr>
          <w:noProof/>
        </w:rPr>
        <w:t>La proposta si limita a modifiche mirate ed eccezionali dei regolamenti (UE) n. 1303/2013 e (UE) n. 2021/1060 e mantiene la coerenza con altre politiche dell'Unione.</w:t>
      </w:r>
    </w:p>
    <w:p w14:paraId="4C2D9CC7" w14:textId="77777777" w:rsidR="00C1332E" w:rsidRPr="0018578C" w:rsidRDefault="00586D7D">
      <w:pPr>
        <w:pStyle w:val="ManualHeading1"/>
        <w:rPr>
          <w:noProof/>
        </w:rPr>
      </w:pPr>
      <w:r w:rsidRPr="0018578C">
        <w:rPr>
          <w:noProof/>
        </w:rPr>
        <w:t>2.</w:t>
      </w:r>
      <w:r w:rsidRPr="0018578C">
        <w:rPr>
          <w:noProof/>
        </w:rPr>
        <w:tab/>
        <w:t>BASE GIURIDICA, SUSSIDIARIETÀ E PROPORZIONALITÀ</w:t>
      </w:r>
    </w:p>
    <w:p w14:paraId="0CE46B51"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Base giuridica</w:t>
      </w:r>
    </w:p>
    <w:p w14:paraId="31F5C0EB" w14:textId="77777777" w:rsidR="00C1332E" w:rsidRPr="0018578C" w:rsidRDefault="00586D7D">
      <w:pPr>
        <w:pBdr>
          <w:top w:val="nil"/>
          <w:left w:val="nil"/>
          <w:bottom w:val="nil"/>
          <w:right w:val="nil"/>
          <w:between w:val="nil"/>
          <w:bar w:val="nil"/>
        </w:pBdr>
        <w:spacing w:before="0" w:after="240"/>
        <w:rPr>
          <w:noProof/>
        </w:rPr>
      </w:pPr>
      <w:r w:rsidRPr="0018578C">
        <w:rPr>
          <w:noProof/>
        </w:rPr>
        <w:t xml:space="preserve">La proposta si basa sull'articolo 177 del trattato sul funzionamento dell'Unione europea. </w:t>
      </w:r>
    </w:p>
    <w:p w14:paraId="3BF6BD94"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 xml:space="preserve">Sussidiarietà (per la competenza non esclusiva) </w:t>
      </w:r>
    </w:p>
    <w:p w14:paraId="03D3B82D" w14:textId="2ECB1A95" w:rsidR="00E02C73" w:rsidRPr="0018578C" w:rsidRDefault="00107C7D" w:rsidP="00E02C73">
      <w:pPr>
        <w:pBdr>
          <w:top w:val="nil"/>
          <w:left w:val="nil"/>
          <w:bottom w:val="nil"/>
          <w:right w:val="nil"/>
          <w:between w:val="nil"/>
          <w:bar w:val="nil"/>
        </w:pBdr>
        <w:spacing w:before="0" w:after="240"/>
        <w:rPr>
          <w:noProof/>
        </w:rPr>
      </w:pPr>
      <w:r w:rsidRPr="0018578C">
        <w:rPr>
          <w:noProof/>
        </w:rPr>
        <w:t xml:space="preserve">La proposta modifica la legislazione vigente dell'UE e mira ad agevolare l'uso e ad aumentare la flessibilità nell'attuazione delle risorse della politica di coesione da parte degli Stati membri e delle regioni per sostenere misure destinate ad affrontare le sfide migratorie a seguito dell'aggressione militare della Russia tanto nei programmi del periodo 2014-2020 quanto in quelli del periodo 2021-2027. Affrontare tali sfide è un obbiettivo che non può essere conseguito in misura sufficiente dai soli Stati membri e può essere conseguito meglio a livello di Unione. </w:t>
      </w:r>
    </w:p>
    <w:p w14:paraId="6C4D4EEB"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Proporzionalità</w:t>
      </w:r>
    </w:p>
    <w:p w14:paraId="6CD96C87" w14:textId="77777777" w:rsidR="000A6742" w:rsidRPr="0018578C" w:rsidRDefault="00107C7D" w:rsidP="000A6742">
      <w:pPr>
        <w:pBdr>
          <w:top w:val="nil"/>
          <w:left w:val="nil"/>
          <w:bottom w:val="nil"/>
          <w:right w:val="nil"/>
          <w:between w:val="nil"/>
          <w:bar w:val="nil"/>
        </w:pBdr>
        <w:spacing w:before="0" w:after="240"/>
        <w:rPr>
          <w:noProof/>
        </w:rPr>
      </w:pPr>
      <w:r w:rsidRPr="0018578C">
        <w:rPr>
          <w:noProof/>
        </w:rPr>
        <w:t>La proposta si limita a quanto necessario e mirato a garantire che tutte le risorse disponibili nell'ambito della politica di coesione possano sostenere misure destinate ad affrontare le sfide migratorie a seguito dell'aggressione militare da parte della Russia. Le flessibilità proposte non vanno oltre quanto necessario per utilizzare appieno le risorse nel quadro dei programmi dei fondi SIE per il periodo 2014-2020 e per consentire un più agevole scaglionamento delle operazioni fino ai programmi del periodo 2021-2027.</w:t>
      </w:r>
    </w:p>
    <w:p w14:paraId="6C256B41"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Scelta dell'atto giuridico</w:t>
      </w:r>
    </w:p>
    <w:p w14:paraId="72909253" w14:textId="77777777" w:rsidR="00676147" w:rsidRPr="0018578C" w:rsidRDefault="00107C7D" w:rsidP="00676147">
      <w:pPr>
        <w:pBdr>
          <w:top w:val="nil"/>
          <w:left w:val="nil"/>
          <w:bottom w:val="nil"/>
          <w:right w:val="nil"/>
          <w:between w:val="nil"/>
          <w:bar w:val="nil"/>
        </w:pBdr>
        <w:spacing w:before="0" w:after="240"/>
        <w:rPr>
          <w:noProof/>
        </w:rPr>
      </w:pPr>
      <w:r w:rsidRPr="0018578C">
        <w:rPr>
          <w:noProof/>
        </w:rPr>
        <w:t>Un regolamento che modifica regolamenti esistenti è lo strumento adeguato per facilitare il ricorso alla politica di coesione e alle risorse per sostenere misure destinate ad affrontare le sfide migratorie a seguito dell'aggressione militare da parte della Russia e per estendere la possibilità di operazioni scaglionate con un costo totale inferiore, rese necessarie da tali circostanze senza precedenti.</w:t>
      </w:r>
    </w:p>
    <w:p w14:paraId="2F4A61C8" w14:textId="77777777" w:rsidR="00C1332E" w:rsidRPr="0018578C" w:rsidRDefault="00586D7D">
      <w:pPr>
        <w:pStyle w:val="ManualHeading1"/>
        <w:rPr>
          <w:noProof/>
        </w:rPr>
      </w:pPr>
      <w:r w:rsidRPr="0018578C">
        <w:rPr>
          <w:noProof/>
        </w:rPr>
        <w:t>3.</w:t>
      </w:r>
      <w:r w:rsidRPr="0018578C">
        <w:rPr>
          <w:noProof/>
        </w:rPr>
        <w:tab/>
        <w:t>RISULTATI DELLE VALUTAZIONI EX POST, DELLE CONSULTAZIONI DEI PORTATORI DI INTERESSI E DELLE VALUTAZIONI D'IMPATTO</w:t>
      </w:r>
    </w:p>
    <w:p w14:paraId="5395F139"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Valutazioni ex post / Vaglio di adeguatezza della legislazione vigente</w:t>
      </w:r>
    </w:p>
    <w:p w14:paraId="3A54010F" w14:textId="77777777" w:rsidR="00C1332E" w:rsidRPr="0018578C" w:rsidRDefault="00586D7D">
      <w:pPr>
        <w:pBdr>
          <w:top w:val="nil"/>
          <w:left w:val="nil"/>
          <w:bottom w:val="nil"/>
          <w:right w:val="nil"/>
          <w:between w:val="nil"/>
          <w:bar w:val="nil"/>
        </w:pBdr>
        <w:spacing w:before="0" w:after="240"/>
        <w:rPr>
          <w:noProof/>
        </w:rPr>
      </w:pPr>
      <w:r w:rsidRPr="0018578C">
        <w:rPr>
          <w:noProof/>
        </w:rPr>
        <w:t>N.a.</w:t>
      </w:r>
    </w:p>
    <w:p w14:paraId="43B95EC3"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Consultazioni dei portatori di interessi</w:t>
      </w:r>
    </w:p>
    <w:p w14:paraId="39752F2A" w14:textId="77777777" w:rsidR="00C1332E" w:rsidRPr="0018578C" w:rsidRDefault="00107C7D">
      <w:pPr>
        <w:pBdr>
          <w:top w:val="nil"/>
          <w:left w:val="nil"/>
          <w:bottom w:val="nil"/>
          <w:right w:val="nil"/>
          <w:between w:val="nil"/>
          <w:bar w:val="nil"/>
        </w:pBdr>
        <w:spacing w:before="0" w:after="240"/>
        <w:rPr>
          <w:noProof/>
        </w:rPr>
      </w:pPr>
      <w:r w:rsidRPr="0018578C">
        <w:rPr>
          <w:noProof/>
        </w:rPr>
        <w:t>La proposta fa seguito a scambi ad alto livello con altre istituzioni e Stati membri. Dato che non occorre effettuare una valutazione d'impatto, non è necessaria una consultazione pubblica.</w:t>
      </w:r>
    </w:p>
    <w:p w14:paraId="5F9F2D4E"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Assunzione e uso di perizie</w:t>
      </w:r>
    </w:p>
    <w:p w14:paraId="7899FB60" w14:textId="77777777" w:rsidR="00C1332E" w:rsidRPr="0018578C" w:rsidRDefault="00586D7D">
      <w:pPr>
        <w:rPr>
          <w:noProof/>
        </w:rPr>
      </w:pPr>
      <w:r w:rsidRPr="0018578C">
        <w:rPr>
          <w:noProof/>
        </w:rPr>
        <w:t>N.a.</w:t>
      </w:r>
    </w:p>
    <w:p w14:paraId="464D7D3F"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Valutazione d'impatto</w:t>
      </w:r>
    </w:p>
    <w:p w14:paraId="25CABEF8" w14:textId="77777777" w:rsidR="00C1332E" w:rsidRPr="0018578C" w:rsidRDefault="00107C7D">
      <w:pPr>
        <w:pBdr>
          <w:top w:val="nil"/>
          <w:left w:val="nil"/>
          <w:bottom w:val="nil"/>
          <w:right w:val="nil"/>
          <w:between w:val="nil"/>
          <w:bar w:val="nil"/>
        </w:pBdr>
        <w:spacing w:before="0" w:after="240"/>
        <w:rPr>
          <w:noProof/>
        </w:rPr>
      </w:pPr>
      <w:r w:rsidRPr="0018578C">
        <w:rPr>
          <w:noProof/>
        </w:rPr>
        <w:t>Una valutazione d'impatto è stata effettuata per elaborare la proposta relativa ai regolamenti (UE) n. 1303/2013 e (UE) n. 2021/1060. La presente modifica mirata, volta a rispondere a una situazione critica, non richiede una valutazione d'impatto distinta.</w:t>
      </w:r>
    </w:p>
    <w:p w14:paraId="6E0CE4D7"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Efficienza normativa e semplificazione</w:t>
      </w:r>
    </w:p>
    <w:p w14:paraId="7FB40782" w14:textId="77777777" w:rsidR="00C1332E" w:rsidRPr="0018578C" w:rsidRDefault="00586D7D">
      <w:pPr>
        <w:rPr>
          <w:noProof/>
        </w:rPr>
      </w:pPr>
      <w:r w:rsidRPr="0018578C">
        <w:rPr>
          <w:noProof/>
        </w:rPr>
        <w:t>N.a.</w:t>
      </w:r>
    </w:p>
    <w:p w14:paraId="38910CB9"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Diritti fondamentali</w:t>
      </w:r>
    </w:p>
    <w:p w14:paraId="2FA1F0D8" w14:textId="77777777" w:rsidR="00C1332E" w:rsidRPr="0018578C" w:rsidRDefault="00586D7D">
      <w:pPr>
        <w:rPr>
          <w:noProof/>
        </w:rPr>
      </w:pPr>
      <w:r w:rsidRPr="0018578C">
        <w:rPr>
          <w:noProof/>
        </w:rPr>
        <w:t>N.a.</w:t>
      </w:r>
    </w:p>
    <w:p w14:paraId="72A16DED" w14:textId="77777777" w:rsidR="00C1332E" w:rsidRPr="0018578C" w:rsidRDefault="00586D7D">
      <w:pPr>
        <w:pStyle w:val="ManualHeading1"/>
        <w:rPr>
          <w:noProof/>
        </w:rPr>
      </w:pPr>
      <w:r w:rsidRPr="0018578C">
        <w:rPr>
          <w:noProof/>
        </w:rPr>
        <w:t>4.</w:t>
      </w:r>
      <w:r w:rsidRPr="0018578C">
        <w:rPr>
          <w:noProof/>
        </w:rPr>
        <w:tab/>
        <w:t>INCIDENZA SUL BILANCIO</w:t>
      </w:r>
    </w:p>
    <w:p w14:paraId="360306AC" w14:textId="77777777" w:rsidR="00431F4F" w:rsidRPr="0018578C" w:rsidRDefault="00107C7D" w:rsidP="00A17F91">
      <w:pPr>
        <w:rPr>
          <w:noProof/>
        </w:rPr>
      </w:pPr>
      <w:r w:rsidRPr="0018578C">
        <w:rPr>
          <w:noProof/>
        </w:rPr>
        <w:t xml:space="preserve">La proposta riguarda i programmi della politica di coesione tanto del periodo 2014-2020 quanto del periodo 2021-2027 e non modifica gli impegni di bilancio esistenti. </w:t>
      </w:r>
    </w:p>
    <w:p w14:paraId="2D23CBC7" w14:textId="77777777" w:rsidR="00431F4F" w:rsidRPr="0018578C" w:rsidRDefault="00431F4F" w:rsidP="00A17F91">
      <w:pPr>
        <w:rPr>
          <w:noProof/>
          <w:szCs w:val="24"/>
        </w:rPr>
      </w:pPr>
      <w:r w:rsidRPr="0018578C">
        <w:rPr>
          <w:noProof/>
        </w:rPr>
        <w:t xml:space="preserve">Per il periodo 2021-2027 aumenta il livello di prefinanziamento per i programmi che ricevono sostegno dal FESR, dal FSE + e dal Fondo di coesione nel contesto dell'obiettivo "Investimenti a favore della crescita e dell'occupazione" nel 2022 e nel 2023. Tale aumento comporterà un'anticipazione degli stanziamenti di pagamento al 2022 e al 2023 ed è neutro in termini di bilancio per il periodo 2021-2027. </w:t>
      </w:r>
    </w:p>
    <w:p w14:paraId="514D5C38" w14:textId="77777777" w:rsidR="00A17F91" w:rsidRPr="0018578C" w:rsidRDefault="00431F4F" w:rsidP="00A17F91">
      <w:pPr>
        <w:rPr>
          <w:noProof/>
        </w:rPr>
      </w:pPr>
      <w:r w:rsidRPr="0018578C">
        <w:rPr>
          <w:noProof/>
        </w:rPr>
        <w:t>Il prefinanziamento supplementare di 1,74 miliardi di EUR per il 2023 non era previsto nel progetto di bilancio. La Commissione valuterà pertanto la possibilità di proporre la copertura del fabbisogno supplementare di pagamenti mediante una lettera rettificativa del progetto di bilancio 2023, tenendo conto delle previsioni rivedute degli Stati membri.</w:t>
      </w:r>
    </w:p>
    <w:p w14:paraId="33577454" w14:textId="77777777" w:rsidR="008B061D" w:rsidRPr="0018578C" w:rsidRDefault="008B061D" w:rsidP="008B061D">
      <w:pPr>
        <w:rPr>
          <w:noProof/>
        </w:rPr>
      </w:pPr>
      <w:r w:rsidRPr="0018578C">
        <w:rPr>
          <w:noProof/>
        </w:rPr>
        <w:t xml:space="preserve">La modifica proposta non comporta alcuna variazione dei massimali annui per impegni e pagamenti previsti nel quadro finanziario pluriennale che figurano nell'allegato I del regolamento (UE, Euratom) 2020/2093 del Consiglio né comporta modifiche del fabbisogno complessivo di pagamenti per alcuno dei due periodi di programmazione. </w:t>
      </w:r>
    </w:p>
    <w:p w14:paraId="3D168AEA" w14:textId="77777777" w:rsidR="00676147" w:rsidRPr="0018578C" w:rsidRDefault="008B061D" w:rsidP="00EF5081">
      <w:pPr>
        <w:rPr>
          <w:noProof/>
        </w:rPr>
      </w:pPr>
      <w:r w:rsidRPr="0018578C">
        <w:rPr>
          <w:noProof/>
        </w:rPr>
        <w:t xml:space="preserve">La Commissione monitorerà attentamente l'impatto della proposta di modifica sugli stanziamenti di pagamento nel 2022 e nel 2023, tenendo conto dell'esecuzione generale del bilancio, delle previsioni rivedute degli Stati membri e di eventuali esigenze o priorità emergenti. </w:t>
      </w:r>
    </w:p>
    <w:p w14:paraId="24DC0907" w14:textId="77777777" w:rsidR="00C1332E" w:rsidRPr="0018578C" w:rsidRDefault="00586D7D">
      <w:pPr>
        <w:pStyle w:val="ManualHeading1"/>
        <w:rPr>
          <w:noProof/>
        </w:rPr>
      </w:pPr>
      <w:r w:rsidRPr="0018578C">
        <w:rPr>
          <w:noProof/>
        </w:rPr>
        <w:t>5.</w:t>
      </w:r>
      <w:r w:rsidRPr="0018578C">
        <w:rPr>
          <w:noProof/>
        </w:rPr>
        <w:tab/>
        <w:t>ALTRI ELEMENTI</w:t>
      </w:r>
    </w:p>
    <w:p w14:paraId="2853191A"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Piani attuativi e modalità di monitoraggio, valutazione e informazione</w:t>
      </w:r>
    </w:p>
    <w:p w14:paraId="16F6BFD5" w14:textId="77777777" w:rsidR="00C1332E" w:rsidRPr="0018578C" w:rsidRDefault="00AB6D32">
      <w:pPr>
        <w:pBdr>
          <w:top w:val="nil"/>
          <w:left w:val="nil"/>
          <w:bottom w:val="nil"/>
          <w:right w:val="nil"/>
          <w:between w:val="nil"/>
          <w:bar w:val="nil"/>
        </w:pBdr>
        <w:spacing w:before="0" w:after="240"/>
        <w:rPr>
          <w:noProof/>
        </w:rPr>
      </w:pPr>
      <w:r w:rsidRPr="0018578C">
        <w:rPr>
          <w:noProof/>
        </w:rPr>
        <w:t>L'attuazione delle misure sarà oggetto di monitoraggio e relazioni nel quadro dei meccanismi generali di rendicontazione stabiliti nei regolamenti (UE) n. 1303/2013 e (UE) n. 2021/1060.</w:t>
      </w:r>
    </w:p>
    <w:p w14:paraId="132A0980"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Documenti esplicativi (per le direttive)</w:t>
      </w:r>
    </w:p>
    <w:p w14:paraId="4EBB330A" w14:textId="77777777" w:rsidR="00C1332E" w:rsidRPr="0018578C" w:rsidRDefault="00586D7D">
      <w:pPr>
        <w:pBdr>
          <w:top w:val="nil"/>
          <w:left w:val="nil"/>
          <w:bottom w:val="nil"/>
          <w:right w:val="nil"/>
          <w:between w:val="nil"/>
          <w:bar w:val="nil"/>
        </w:pBdr>
        <w:spacing w:before="0" w:after="240"/>
        <w:rPr>
          <w:noProof/>
        </w:rPr>
      </w:pPr>
      <w:r w:rsidRPr="0018578C">
        <w:rPr>
          <w:noProof/>
        </w:rPr>
        <w:t>N.a.</w:t>
      </w:r>
    </w:p>
    <w:p w14:paraId="7EA1E1AB" w14:textId="77777777" w:rsidR="00C1332E" w:rsidRPr="0018578C" w:rsidRDefault="00586D7D">
      <w:pPr>
        <w:pStyle w:val="ManualHeading2"/>
        <w:rPr>
          <w:rFonts w:eastAsia="Arial Unicode MS"/>
          <w:noProof/>
          <w:u w:color="000000"/>
          <w:bdr w:val="nil"/>
        </w:rPr>
      </w:pPr>
      <w:r w:rsidRPr="0018578C">
        <w:rPr>
          <w:noProof/>
          <w:u w:color="000000"/>
          <w:bdr w:val="nil"/>
        </w:rPr>
        <w:t>•</w:t>
      </w:r>
      <w:r w:rsidRPr="0018578C">
        <w:rPr>
          <w:noProof/>
        </w:rPr>
        <w:tab/>
      </w:r>
      <w:r w:rsidRPr="0018578C">
        <w:rPr>
          <w:noProof/>
          <w:u w:color="000000"/>
          <w:bdr w:val="nil"/>
        </w:rPr>
        <w:t>Illustrazione dettagliata delle singole disposizioni della proposta</w:t>
      </w:r>
    </w:p>
    <w:p w14:paraId="235B5190" w14:textId="77777777" w:rsidR="00AB6D32" w:rsidRPr="0018578C" w:rsidRDefault="00AB6D32" w:rsidP="00AB6D32">
      <w:pPr>
        <w:rPr>
          <w:noProof/>
        </w:rPr>
      </w:pPr>
      <w:r w:rsidRPr="0018578C">
        <w:rPr>
          <w:noProof/>
        </w:rPr>
        <w:t>La proposta prevede di modificare i regolamenti (UE) n. 1303/2013 e (UE) n. 2021/1060 al fine di:</w:t>
      </w:r>
    </w:p>
    <w:p w14:paraId="0154BF48" w14:textId="2FC2622F" w:rsidR="00AB6D32" w:rsidRPr="0018578C" w:rsidRDefault="00AB6D32" w:rsidP="00DD4B5E">
      <w:pPr>
        <w:pStyle w:val="Bullet1"/>
        <w:numPr>
          <w:ilvl w:val="0"/>
          <w:numId w:val="14"/>
        </w:numPr>
        <w:rPr>
          <w:noProof/>
        </w:rPr>
      </w:pPr>
      <w:r w:rsidRPr="0018578C">
        <w:rPr>
          <w:noProof/>
        </w:rPr>
        <w:t>derogare ai requisiti di ubicazione all'interno di un determinato Stato membro per le operazioni volte ad affrontare le sfide migratorie a seguito dell'aggressione militare da parte della Russia, in quanto le persone in fuga dalla guerra possono cambiare ubicazione più di una volta (modifica dell'articolo 70 del regolamento (UE) n. 1303/2013);</w:t>
      </w:r>
    </w:p>
    <w:p w14:paraId="2B3AE8F3" w14:textId="77777777" w:rsidR="00AB6D32" w:rsidRPr="0018578C" w:rsidRDefault="00AB6D32" w:rsidP="00DD4B5E">
      <w:pPr>
        <w:pStyle w:val="Bullet1"/>
        <w:numPr>
          <w:ilvl w:val="0"/>
          <w:numId w:val="14"/>
        </w:numPr>
        <w:rPr>
          <w:noProof/>
        </w:rPr>
      </w:pPr>
      <w:r w:rsidRPr="0018578C">
        <w:rPr>
          <w:noProof/>
        </w:rPr>
        <w:t>introdurre la possibilità di dichiarare le spese per le operazioni che sono già materialmente completate o pienamente realizzate (modifica dell'articolo 65 del regolamento (UE) n. 1303/2013);</w:t>
      </w:r>
    </w:p>
    <w:p w14:paraId="0E078A2C" w14:textId="192A318C" w:rsidR="00AB6D32" w:rsidRPr="0018578C" w:rsidRDefault="00AB6D32" w:rsidP="00DD4B5E">
      <w:pPr>
        <w:pStyle w:val="Bullet1"/>
        <w:numPr>
          <w:ilvl w:val="0"/>
          <w:numId w:val="14"/>
        </w:numPr>
        <w:rPr>
          <w:noProof/>
        </w:rPr>
      </w:pPr>
      <w:r w:rsidRPr="0018578C">
        <w:rPr>
          <w:noProof/>
        </w:rPr>
        <w:t>consentire, notificando alla Commissione le tabelle finanziarie rivedute approvate dal comitato di sorveglianza e in assenza di una decisione della Commissione che modifica il programma, l'applicazione di un tasso di cofinanziamento fino al 100 % per un asse prioritario distinto stabilito per promuovere l'integrazione socioeconomica dei cittadini di paesi terzi, anche nel caso di operazioni volte ad affrontare le sfide migratorie a seguito dell'aggressione militare da parte della Federazione russa (articolo 120, nuovo paragrafo 9, del regolamento (UE) n. 1303/2013);</w:t>
      </w:r>
    </w:p>
    <w:p w14:paraId="524C7B6F" w14:textId="406C4098" w:rsidR="00875927" w:rsidRPr="0018578C" w:rsidRDefault="00AB6D32" w:rsidP="00DD4B5E">
      <w:pPr>
        <w:pStyle w:val="Bullet1"/>
        <w:numPr>
          <w:ilvl w:val="0"/>
          <w:numId w:val="14"/>
        </w:numPr>
        <w:rPr>
          <w:noProof/>
        </w:rPr>
      </w:pPr>
      <w:r w:rsidRPr="0018578C">
        <w:rPr>
          <w:noProof/>
        </w:rPr>
        <w:t>introdurre un'ulteriore flessibilità tra i fondi, consentendo in particolare l'utilizzo delle risorse del Fondo di coesione per il periodo 2014-2020 per operazioni volte ad affrontare le sfide migratorie a seguito dell'aggressione militare da parte della Russia e rientranti nell'ambito delle norme specifiche del FESR e del FSE, purché una dotazione finanziaria minima del 30 % del bilancio dell'asse prioritario sia concessa a beneficiari che sono autorità locali e organizzazioni della società civile che operano in comunità locali, al fine di garantire che questi tipi di beneficiari ricevano una quota adeguata di tali risorse dato il loro ruolo attivo nelle azioni di accoglienza e integrazione dei rifugiati (modifica dell'articolo 98, paragrafo 4, del regolamento (UE) n. 1303/2013);</w:t>
      </w:r>
    </w:p>
    <w:p w14:paraId="5B28316B" w14:textId="77777777" w:rsidR="00AB6D32" w:rsidRPr="0018578C" w:rsidRDefault="00AB6D32" w:rsidP="00027C97">
      <w:pPr>
        <w:pStyle w:val="Bullet1"/>
        <w:numPr>
          <w:ilvl w:val="0"/>
          <w:numId w:val="14"/>
        </w:numPr>
        <w:rPr>
          <w:noProof/>
        </w:rPr>
      </w:pPr>
      <w:r w:rsidRPr="0018578C">
        <w:rPr>
          <w:noProof/>
        </w:rPr>
        <w:t xml:space="preserve">consentire l'uso di </w:t>
      </w:r>
      <w:r w:rsidRPr="0018578C">
        <w:rPr>
          <w:noProof/>
          <w:color w:val="000000"/>
          <w:shd w:val="clear" w:color="auto" w:fill="FFFFFF"/>
        </w:rPr>
        <w:t>stime informate limitate al numero totale delle persone che ricevono sostegno e al numero dei minori di età inferiore a 18 anni</w:t>
      </w:r>
      <w:r w:rsidRPr="0018578C">
        <w:rPr>
          <w:noProof/>
        </w:rPr>
        <w:t xml:space="preserve"> quando </w:t>
      </w:r>
      <w:r w:rsidRPr="0018578C">
        <w:rPr>
          <w:noProof/>
          <w:color w:val="000000"/>
          <w:shd w:val="clear" w:color="auto" w:fill="FFFFFF"/>
        </w:rPr>
        <w:t xml:space="preserve">è necessario comunicare i dati sui partecipanti nel quadro dell'asse prioritario distinto </w:t>
      </w:r>
      <w:r w:rsidRPr="0018578C">
        <w:rPr>
          <w:noProof/>
        </w:rPr>
        <w:t xml:space="preserve"> che sostiene le operazioni volte ad affrontare le sfide migratorie a seguito dell'aggressione militare da parte della Federazione russa (modifica dell'articolo 98, paragrafo 4, del regolamento (UE) n. 1303/2013)</w:t>
      </w:r>
      <w:r w:rsidRPr="0018578C">
        <w:rPr>
          <w:noProof/>
          <w:color w:val="000000"/>
          <w:shd w:val="clear" w:color="auto" w:fill="FFFFFF"/>
        </w:rPr>
        <w:t>;</w:t>
      </w:r>
    </w:p>
    <w:p w14:paraId="2FFCC12B" w14:textId="77777777" w:rsidR="00AB6D32" w:rsidRPr="0018578C" w:rsidRDefault="00AB6D32" w:rsidP="00027C97">
      <w:pPr>
        <w:pStyle w:val="Bullet1"/>
        <w:numPr>
          <w:ilvl w:val="0"/>
          <w:numId w:val="14"/>
        </w:numPr>
        <w:rPr>
          <w:noProof/>
        </w:rPr>
      </w:pPr>
      <w:r w:rsidRPr="0018578C">
        <w:rPr>
          <w:noProof/>
        </w:rPr>
        <w:t>portare il costo unitario recentemente stabilito per sostenere misure destinate ad affrontare le sfide migratorie a seguito dell'aggressione militare da parte della Federazione russa a 100 EUR la settimana per ogni settimana intera o parziale trascorsa dalla persona nello Stato membro interessato, per un massimo di 26 settimane in totale dalla data di arrivo della persona nell'Unione (modifica dell'articolo 68 quater del regolamento (UE) n. 1303/2013);</w:t>
      </w:r>
    </w:p>
    <w:p w14:paraId="0E8B6CA9" w14:textId="77777777" w:rsidR="00AB6D32" w:rsidRPr="0018578C" w:rsidRDefault="00AB6D32" w:rsidP="00027C97">
      <w:pPr>
        <w:pStyle w:val="Bullet1"/>
        <w:numPr>
          <w:ilvl w:val="0"/>
          <w:numId w:val="14"/>
        </w:numPr>
        <w:rPr>
          <w:noProof/>
        </w:rPr>
      </w:pPr>
      <w:r w:rsidRPr="0018578C">
        <w:rPr>
          <w:noProof/>
        </w:rPr>
        <w:t>aumentare la flessibilità per i pagamenti del saldo finale per ciascuna priorità, per fondo e per categoria di regioni nel periodo contabile finale, passando dal 10 % al 15 % (modifica dell'articolo 130, paragrafo 3, del regolamento (UE) n. 1303/2013);</w:t>
      </w:r>
    </w:p>
    <w:p w14:paraId="15D4414D" w14:textId="77777777" w:rsidR="00AB6D32" w:rsidRPr="0018578C" w:rsidRDefault="00AB6D32" w:rsidP="00DD4B5E">
      <w:pPr>
        <w:pStyle w:val="Bullet1"/>
        <w:numPr>
          <w:ilvl w:val="0"/>
          <w:numId w:val="14"/>
        </w:numPr>
        <w:rPr>
          <w:noProof/>
        </w:rPr>
      </w:pPr>
      <w:r w:rsidRPr="0018578C">
        <w:rPr>
          <w:noProof/>
        </w:rPr>
        <w:t>consentire trasferimenti nei programmi di dotazioni tra obiettivi tematici nell'ambito della stessa priorità dello stesso fondo e della stessa categoria di regioni in assenza di una decisione della Commissione che modifichi il programma (modifica dell'articolo 30 e dell'articolo 96, paragrafo 10, del regolamento (UE) n. 1303/2013);</w:t>
      </w:r>
    </w:p>
    <w:p w14:paraId="0AD9D967" w14:textId="4F4D5735" w:rsidR="00E10BE1" w:rsidRPr="0018578C" w:rsidRDefault="00E10BE1" w:rsidP="00DD4B5E">
      <w:pPr>
        <w:pStyle w:val="Bullet1"/>
        <w:numPr>
          <w:ilvl w:val="0"/>
          <w:numId w:val="14"/>
        </w:numPr>
        <w:rPr>
          <w:noProof/>
        </w:rPr>
      </w:pPr>
      <w:r w:rsidRPr="0018578C">
        <w:rPr>
          <w:noProof/>
        </w:rPr>
        <w:t>aumentare il tasso di prefinanziamento per i programmi del FESR, del FSE + e del Fondo di coesione nell'ambito dell'obiettivo "Investimenti a favore dell'occupazione e della crescita" dello 0,5 % nel 2022 e dello 0,5 % nel 2023 del sostegno totale a carico dei fondi indicato nella decisione di approvazione del programma in tutti gli Stati membri (modifica dell'articolo 90, paragrafo 2, del regolamento (UE) 2021/1060);</w:t>
      </w:r>
    </w:p>
    <w:p w14:paraId="62760142" w14:textId="4CFF608A" w:rsidR="00AB6D32" w:rsidRPr="0018578C" w:rsidRDefault="00AB6D32" w:rsidP="00DD4B5E">
      <w:pPr>
        <w:pStyle w:val="Bullet1"/>
        <w:numPr>
          <w:ilvl w:val="0"/>
          <w:numId w:val="14"/>
        </w:numPr>
        <w:rPr>
          <w:noProof/>
        </w:rPr>
      </w:pPr>
      <w:r w:rsidRPr="0018578C">
        <w:rPr>
          <w:noProof/>
        </w:rPr>
        <w:t>consentire l'applicazione di un tasso di cofinanziamento fino al 100 % sino al 30 giugno 2024 per una priorità distinta stabilita nell'ambito di un programma per sostenere le operazioni volte a promuovere l'integrazione socioeconomica dei cittadini di paesi terzi. Almeno il 30 % del sostegno nell'ambito della priorità dovrebbe essere concesso a beneficiari che sono autorità locali e organizzazioni della società civile che operano in comunità locali, al fine di garantire che questi tipi di beneficiari ricevano una quota adeguata di tali risorse, dato il loro ruolo attivo nelle azioni di accoglienza e integrazione dei rifugiati. L'importo totale programmato nell'ambito di tali priorità in uno Stato membro non può superare il 5 % della dotazione nazionale iniziale di tale Stato membro a titolo del FESR e del FSE + combinati. Il tasso di cofinanziamento fino al 100 % sarà riesaminato entro il 30 giugno 2024 (modifica dell'articolo 112 del regolamento (UE) 2021/1060);</w:t>
      </w:r>
    </w:p>
    <w:p w14:paraId="641B2DB2" w14:textId="3076663A" w:rsidR="00406A17" w:rsidRPr="0018578C" w:rsidRDefault="00AB6D32" w:rsidP="00DD4B5E">
      <w:pPr>
        <w:pStyle w:val="Bullet1"/>
        <w:numPr>
          <w:ilvl w:val="0"/>
          <w:numId w:val="14"/>
        </w:numPr>
        <w:rPr>
          <w:noProof/>
        </w:rPr>
      </w:pPr>
      <w:r w:rsidRPr="0018578C">
        <w:rPr>
          <w:noProof/>
        </w:rPr>
        <w:t xml:space="preserve">considerare ammissibili al sostegno anche nell'ambito dei programmi del periodo 2021-2027 le operazioni aventi un costo totale superiore a 1 000 000 EUR che sono state selezionate per ricevere il sostegno dei programmi per il periodo 2014-2020 e sono iniziate prima del 29 giugno 2022 e consentire la concessione diretta da parte dell'autorità di gestione, purché sia soddisfatto un numero limitato di condizioni fondamentali (nuovo articolo 118 bis del regolamento (UE) 2021/1060); </w:t>
      </w:r>
    </w:p>
    <w:p w14:paraId="01B4F503" w14:textId="77777777" w:rsidR="00C71348" w:rsidRPr="0018578C" w:rsidRDefault="00406A17" w:rsidP="00DD4B5E">
      <w:pPr>
        <w:pStyle w:val="Bullet1"/>
        <w:numPr>
          <w:ilvl w:val="0"/>
          <w:numId w:val="14"/>
        </w:numPr>
        <w:rPr>
          <w:noProof/>
        </w:rPr>
      </w:pPr>
      <w:r w:rsidRPr="0018578C">
        <w:rPr>
          <w:noProof/>
        </w:rPr>
        <w:t>aggiungere settori di intervento dedicati per coprire operazioni scaglionate che altrimenti non sarebbero ammissibili al sostegno nel periodo 2021-2027 (modifica della tabella 1 dell'allegato I del regolamento (UE) 2021/1060).</w:t>
      </w:r>
    </w:p>
    <w:p w14:paraId="1628246C" w14:textId="77777777" w:rsidR="00C1332E" w:rsidRPr="0018578C" w:rsidRDefault="00C1332E" w:rsidP="00E83480">
      <w:pPr>
        <w:rPr>
          <w:noProof/>
        </w:rPr>
        <w:sectPr w:rsidR="00C1332E" w:rsidRPr="0018578C" w:rsidSect="0005544D">
          <w:footerReference w:type="default" r:id="rId13"/>
          <w:footerReference w:type="first" r:id="rId14"/>
          <w:pgSz w:w="11907" w:h="16839"/>
          <w:pgMar w:top="1134" w:right="1417" w:bottom="1134" w:left="1417" w:header="709" w:footer="709" w:gutter="0"/>
          <w:cols w:space="720"/>
          <w:docGrid w:linePitch="360"/>
        </w:sectPr>
      </w:pPr>
    </w:p>
    <w:p w14:paraId="1D09FCC9" w14:textId="7778790A" w:rsidR="003039C0" w:rsidRPr="0018578C" w:rsidRDefault="00B54971" w:rsidP="00B54971">
      <w:pPr>
        <w:pStyle w:val="Rfrenceinterinstitutionnelle"/>
        <w:rPr>
          <w:noProof/>
        </w:rPr>
      </w:pPr>
      <w:r w:rsidRPr="00B54971">
        <w:t>2022/0208 (COD)</w:t>
      </w:r>
    </w:p>
    <w:p w14:paraId="23336252" w14:textId="3950DF52" w:rsidR="00C1332E" w:rsidRPr="0018578C" w:rsidRDefault="00D44E27" w:rsidP="00D44E27">
      <w:pPr>
        <w:pStyle w:val="Statut"/>
        <w:rPr>
          <w:noProof/>
        </w:rPr>
      </w:pPr>
      <w:r w:rsidRPr="00D44E27">
        <w:rPr>
          <w:noProof/>
        </w:rPr>
        <w:t>Proposta di</w:t>
      </w:r>
    </w:p>
    <w:p w14:paraId="054F9938" w14:textId="0DFE0425" w:rsidR="00C1332E" w:rsidRPr="0018578C" w:rsidRDefault="00D44E27" w:rsidP="00D44E27">
      <w:pPr>
        <w:pStyle w:val="Typedudocument"/>
        <w:rPr>
          <w:noProof/>
        </w:rPr>
      </w:pPr>
      <w:r w:rsidRPr="00D44E27">
        <w:rPr>
          <w:noProof/>
        </w:rPr>
        <w:t>REGOLAMENTO DEL PARLAMENTO EUROPEO E DEL CONSIGLIO</w:t>
      </w:r>
    </w:p>
    <w:p w14:paraId="59B59A03" w14:textId="78B04F23" w:rsidR="00C1332E" w:rsidRPr="0018578C" w:rsidRDefault="00D44E27" w:rsidP="00D44E27">
      <w:pPr>
        <w:pStyle w:val="Titreobjet"/>
        <w:rPr>
          <w:noProof/>
        </w:rPr>
      </w:pPr>
      <w:r w:rsidRPr="00D44E27">
        <w:rPr>
          <w:noProof/>
        </w:rPr>
        <w:t xml:space="preserve">recante modifica del regolamento (UE) n. 1303/2013 e del regolamento (UE) 2021/1060 per quanto concerne un'ulteriore flessibilità per affrontare le conseguenze dell'aggressione militare da parte della Federazione russa </w:t>
      </w:r>
      <w:r w:rsidRPr="00D44E27">
        <w:rPr>
          <w:noProof/>
        </w:rPr>
        <w:br/>
        <w:t>FAST (assistenza flessibile ai territori) - CARE</w:t>
      </w:r>
    </w:p>
    <w:p w14:paraId="26E2466C" w14:textId="77777777" w:rsidR="00C1332E" w:rsidRPr="0018578C" w:rsidRDefault="00586D7D">
      <w:pPr>
        <w:pStyle w:val="Institutionquiagit"/>
        <w:rPr>
          <w:noProof/>
        </w:rPr>
      </w:pPr>
      <w:r w:rsidRPr="0018578C">
        <w:rPr>
          <w:noProof/>
        </w:rPr>
        <w:t>IL PARLAMENTO EUROPEO E IL CONSIGLIO DELL'UNIONE EUROPEA,</w:t>
      </w:r>
    </w:p>
    <w:p w14:paraId="51B47533" w14:textId="77777777" w:rsidR="00C1332E" w:rsidRPr="0018578C" w:rsidRDefault="00586D7D">
      <w:pPr>
        <w:rPr>
          <w:noProof/>
        </w:rPr>
      </w:pPr>
      <w:r w:rsidRPr="0018578C">
        <w:rPr>
          <w:noProof/>
        </w:rPr>
        <w:t xml:space="preserve">visto il trattato sul funzionamento dell'Unione europea, in particolare l'articolo 177, </w:t>
      </w:r>
    </w:p>
    <w:p w14:paraId="130108CF" w14:textId="77777777" w:rsidR="00C1332E" w:rsidRPr="0018578C" w:rsidRDefault="00586D7D">
      <w:pPr>
        <w:rPr>
          <w:noProof/>
        </w:rPr>
      </w:pPr>
      <w:r w:rsidRPr="0018578C">
        <w:rPr>
          <w:noProof/>
        </w:rPr>
        <w:t>vista la proposta della Commissione europea,</w:t>
      </w:r>
    </w:p>
    <w:p w14:paraId="29BBBA87" w14:textId="77777777" w:rsidR="00C1332E" w:rsidRPr="0018578C" w:rsidRDefault="00586D7D">
      <w:pPr>
        <w:rPr>
          <w:noProof/>
        </w:rPr>
      </w:pPr>
      <w:r w:rsidRPr="0018578C">
        <w:rPr>
          <w:noProof/>
        </w:rPr>
        <w:t>previa trasmissione del progetto di atto legislativo ai parlamenti nazionali,</w:t>
      </w:r>
    </w:p>
    <w:p w14:paraId="21EF91E7" w14:textId="77777777" w:rsidR="00C1332E" w:rsidRPr="0018578C" w:rsidRDefault="00586D7D">
      <w:pPr>
        <w:rPr>
          <w:noProof/>
        </w:rPr>
      </w:pPr>
      <w:r w:rsidRPr="0018578C">
        <w:rPr>
          <w:noProof/>
        </w:rPr>
        <w:t>visto il parere del Comitato economico e sociale europeo</w:t>
      </w:r>
      <w:r w:rsidRPr="0018578C">
        <w:rPr>
          <w:rStyle w:val="FootnoteReference"/>
          <w:noProof/>
        </w:rPr>
        <w:footnoteReference w:id="5"/>
      </w:r>
      <w:r w:rsidRPr="0018578C">
        <w:rPr>
          <w:noProof/>
        </w:rPr>
        <w:t xml:space="preserve">, </w:t>
      </w:r>
    </w:p>
    <w:p w14:paraId="7EBD21FB" w14:textId="77777777" w:rsidR="00C1332E" w:rsidRPr="0018578C" w:rsidRDefault="00340EA6">
      <w:pPr>
        <w:rPr>
          <w:noProof/>
        </w:rPr>
      </w:pPr>
      <w:r w:rsidRPr="0018578C">
        <w:rPr>
          <w:noProof/>
        </w:rPr>
        <w:t>visto il parere del Comitato delle regioni</w:t>
      </w:r>
      <w:r w:rsidRPr="0018578C">
        <w:rPr>
          <w:rStyle w:val="FootnoteReference"/>
          <w:noProof/>
        </w:rPr>
        <w:footnoteReference w:id="6"/>
      </w:r>
      <w:r w:rsidRPr="0018578C">
        <w:rPr>
          <w:noProof/>
        </w:rPr>
        <w:t>,</w:t>
      </w:r>
    </w:p>
    <w:p w14:paraId="38CD9CEF" w14:textId="77777777" w:rsidR="00C1332E" w:rsidRPr="0018578C" w:rsidRDefault="00586D7D">
      <w:pPr>
        <w:rPr>
          <w:noProof/>
        </w:rPr>
      </w:pPr>
      <w:r w:rsidRPr="0018578C">
        <w:rPr>
          <w:noProof/>
        </w:rPr>
        <w:t>deliberando secondo la procedura legislativa ordinaria,</w:t>
      </w:r>
    </w:p>
    <w:p w14:paraId="430A5551" w14:textId="77777777" w:rsidR="00C1332E" w:rsidRPr="0018578C" w:rsidRDefault="00586D7D">
      <w:pPr>
        <w:rPr>
          <w:noProof/>
        </w:rPr>
      </w:pPr>
      <w:r w:rsidRPr="0018578C">
        <w:rPr>
          <w:noProof/>
        </w:rPr>
        <w:t>considerando quanto segue:</w:t>
      </w:r>
    </w:p>
    <w:p w14:paraId="7E77CBC1" w14:textId="47D99D37" w:rsidR="00D91CF7" w:rsidRPr="0018578C" w:rsidRDefault="0086029D" w:rsidP="0086029D">
      <w:pPr>
        <w:pStyle w:val="ManualConsidrant"/>
        <w:rPr>
          <w:noProof/>
        </w:rPr>
      </w:pPr>
      <w:r w:rsidRPr="0086029D">
        <w:t>(1)</w:t>
      </w:r>
      <w:r w:rsidRPr="0086029D">
        <w:tab/>
      </w:r>
      <w:r w:rsidR="002B1527" w:rsidRPr="0018578C">
        <w:rPr>
          <w:noProof/>
        </w:rPr>
        <w:t>Gli Stati membri, e in particolare le regioni centrali e orientali dell'Unione europea, sono stati duramente colpiti dalle conseguenze dell'aggressione militare della Federazione russa nei confronti dell'Ucraina, in un momento in cui le economie degli Stati membri si stanno ancora riprendendo dall'impatto della pandemia di COVID-19. Allo stesso tempo, a fronte di un continuo afflusso di persone in fuga dall'aggressione russa, numerosi Stati membri risentono altresì della carenza di manodopera, delle difficoltà nelle catene di approvvigionamento e dell'aumento dei prezzi e dei costi dell'energia. Da un lato, ciò comporta sfide per i bilanci pubblici e, dall'altro, ritarda l'attuazione degli investimenti. Si è così creata una situazione eccezionale che deve essere affrontata con misure specifiche e ben mirate, al fine di non dover modificare i massimali annui per impegni e pagamenti previsti nel quadro finanziario pluriennale di cui all'allegato I del regolamento (UE, Euratom) 2020/2093 del Consiglio</w:t>
      </w:r>
      <w:r w:rsidR="002B1527" w:rsidRPr="0018578C">
        <w:rPr>
          <w:rStyle w:val="FootnoteReference"/>
          <w:noProof/>
        </w:rPr>
        <w:footnoteReference w:id="7"/>
      </w:r>
      <w:r w:rsidR="002B1527" w:rsidRPr="0018578C">
        <w:rPr>
          <w:noProof/>
        </w:rPr>
        <w:t xml:space="preserve"> e di evitare di compromettere la ripresa verde, digitale e resiliente dell'economia che è in corso.</w:t>
      </w:r>
    </w:p>
    <w:p w14:paraId="54D0A851" w14:textId="611042A5" w:rsidR="00182F8D" w:rsidRPr="0018578C" w:rsidRDefault="0086029D" w:rsidP="0086029D">
      <w:pPr>
        <w:pStyle w:val="ManualConsidrant"/>
        <w:rPr>
          <w:noProof/>
        </w:rPr>
      </w:pPr>
      <w:r w:rsidRPr="0086029D">
        <w:t>(2)</w:t>
      </w:r>
      <w:r w:rsidRPr="0086029D">
        <w:tab/>
      </w:r>
      <w:r w:rsidR="006941F3" w:rsidRPr="0018578C">
        <w:rPr>
          <w:noProof/>
        </w:rPr>
        <w:t>Al fine di alleviare l'onere crescente che grava sui bilanci nazionali, il regolamento (UE) 2022/562 del Parlamento europeo e del Consiglio</w:t>
      </w:r>
      <w:r w:rsidR="006941F3" w:rsidRPr="0018578C">
        <w:rPr>
          <w:rStyle w:val="FootnoteReference"/>
          <w:noProof/>
        </w:rPr>
        <w:footnoteReference w:id="8"/>
      </w:r>
      <w:r w:rsidR="006941F3" w:rsidRPr="0018578C">
        <w:rPr>
          <w:noProof/>
        </w:rPr>
        <w:t xml:space="preserve"> ha apportato una serie di modifiche mirate ai regolamenti del Parlamento europeo e del Consiglio (UE) n. 1303/2013</w:t>
      </w:r>
      <w:r w:rsidR="006941F3" w:rsidRPr="0018578C">
        <w:rPr>
          <w:rStyle w:val="FootnoteReference"/>
          <w:noProof/>
        </w:rPr>
        <w:footnoteReference w:id="9"/>
      </w:r>
      <w:r w:rsidR="006941F3" w:rsidRPr="0018578C">
        <w:rPr>
          <w:noProof/>
        </w:rPr>
        <w:t xml:space="preserve"> e (UE) n. 223/2014</w:t>
      </w:r>
      <w:r w:rsidR="006941F3" w:rsidRPr="0018578C">
        <w:rPr>
          <w:rStyle w:val="FootnoteReference"/>
          <w:noProof/>
        </w:rPr>
        <w:footnoteReference w:id="10"/>
      </w:r>
      <w:r w:rsidR="006941F3" w:rsidRPr="0018578C">
        <w:rPr>
          <w:noProof/>
        </w:rPr>
        <w:t xml:space="preserve"> per agevolare gli Stati membri nell'utilizzo delle loro dotazioni residue del Fondo europeo di sviluppo regionale (FESR), del Fondo sociale europeo (FSE) e del Fondo di aiuti europei agli indigenti (FEAD) nell'ambito del quadro finanziario pluriennale per il periodo 2014-2020, nonché per utilizzare le risorse REACT-EU, al fine di affrontare le sfide migratorie a seguito dell'aggressione militare da parte della Federazione russa nel modo più efficace e più rapido possibile.</w:t>
      </w:r>
    </w:p>
    <w:p w14:paraId="63D61958" w14:textId="1E669935" w:rsidR="00D91CF7" w:rsidRPr="0018578C" w:rsidRDefault="0086029D" w:rsidP="0086029D">
      <w:pPr>
        <w:pStyle w:val="ManualConsidrant"/>
        <w:rPr>
          <w:noProof/>
        </w:rPr>
      </w:pPr>
      <w:r w:rsidRPr="0086029D">
        <w:t>(3)</w:t>
      </w:r>
      <w:r w:rsidRPr="0086029D">
        <w:tab/>
      </w:r>
      <w:r w:rsidR="001E71F7" w:rsidRPr="0018578C">
        <w:rPr>
          <w:noProof/>
        </w:rPr>
        <w:t>Inoltre, il regolamento (UE) 2022/613 del Parlamento europeo e del Consiglio</w:t>
      </w:r>
      <w:r w:rsidR="001E71F7" w:rsidRPr="0018578C">
        <w:rPr>
          <w:rStyle w:val="FootnoteReference"/>
          <w:noProof/>
        </w:rPr>
        <w:footnoteReference w:id="11"/>
      </w:r>
      <w:r w:rsidR="001E71F7" w:rsidRPr="0018578C">
        <w:rPr>
          <w:noProof/>
          <w:vertAlign w:val="superscript"/>
        </w:rPr>
        <w:t xml:space="preserve"> </w:t>
      </w:r>
      <w:r w:rsidR="001E71F7" w:rsidRPr="0018578C">
        <w:rPr>
          <w:noProof/>
        </w:rPr>
        <w:t xml:space="preserve">prevede ulteriori possibilità di mobilitare rapidamente risorse per compensare i costi di bilancio immediati sostenuti dagli Stati membri e ha stabilito un costo unitario per agevolare il finanziamento delle necessità di base e il sostegno a favore delle persone cui è concessa la protezione temporanea. </w:t>
      </w:r>
    </w:p>
    <w:p w14:paraId="279730B8" w14:textId="582F01D8" w:rsidR="00020FF8" w:rsidRPr="0018578C" w:rsidRDefault="0086029D" w:rsidP="0086029D">
      <w:pPr>
        <w:pStyle w:val="ManualConsidrant"/>
        <w:rPr>
          <w:noProof/>
        </w:rPr>
      </w:pPr>
      <w:r w:rsidRPr="0086029D">
        <w:t>(4)</w:t>
      </w:r>
      <w:r w:rsidRPr="0086029D">
        <w:tab/>
      </w:r>
      <w:r w:rsidR="00F36932" w:rsidRPr="0018578C">
        <w:rPr>
          <w:noProof/>
        </w:rPr>
        <w:t xml:space="preserve">Dovrebbero tuttavia essere predisposti per gli Stati membri ulteriori regimi eccezionali per consentire loro di concentrarsi sulla risposta necessaria a una situazione socioeconomica senza precedenti, dato il protrarsi dell'invasione russa, in particolare per quanto riguarda le operazioni volte ad affrontare le sfide migratorie a seguito dell'aggressione militare da parte della Federazione russa. </w:t>
      </w:r>
    </w:p>
    <w:p w14:paraId="6E34BDF6" w14:textId="7450BB51" w:rsidR="00020FF8" w:rsidRPr="0018578C" w:rsidRDefault="0086029D" w:rsidP="0086029D">
      <w:pPr>
        <w:pStyle w:val="ManualConsidrant"/>
        <w:rPr>
          <w:noProof/>
        </w:rPr>
      </w:pPr>
      <w:r w:rsidRPr="0086029D">
        <w:t>(5)</w:t>
      </w:r>
      <w:r w:rsidRPr="0086029D">
        <w:tab/>
      </w:r>
      <w:r w:rsidR="00D06C6A" w:rsidRPr="0018578C">
        <w:rPr>
          <w:noProof/>
        </w:rPr>
        <w:t xml:space="preserve">Data l'ulteriore pressione sui bilanci pubblici causata dall'aggressione militare da parte della Federazione russa, la flessibilità relativa all'uso del FESR e del FSE prevista all'articolo 98, paragrafo 4, del regolamento (UE) n. 1303/2013 per tali operazioni dovrebbe essere estesa anche al Fondo di coesione, affinché le sue risorse possano essere utilizzate anche per sostenere operazioni che rientrano nell'ambito del FESR o del FSE conformemente alle norme applicabili a tali fondi. È inoltre opportuno estendere i requisiti di monitoraggio leggero di cui all'articolo 98, paragrafo 4, del regolamento (UE) n. 1303/2013 alle operazioni sostenute dal FSE per affrontare le sfide migratorie, laddove tali operazioni siano programmate nell'ambito di un asse prioritario relativo unicamente tale sfida. Dovrebbe altresì essere introdotta la possibilità per le priorità destinate a promuovere l'integrazione socioeconomica dei cittadini di paesi terzi, comprese quelle relative alle operazioni volte ad affrontare le sfide migratorie a seguito dell'aggressione militare russa, di beneficiare di un tasso di cofinanziamento fino al 100 % in entrambi i periodi di programmazione, al fine di aiutare gli Stati membri a rispondere alle esigenze degli sfollati sia ora che in futuro. Analogamente, è opportuno aumentare l'importo del costo unitario per agevolare il finanziamento delle necessità di base e il sostegno ai rifugiati e prorogare la sua applicazione nel tempo. </w:t>
      </w:r>
    </w:p>
    <w:p w14:paraId="78686C44" w14:textId="49E1BE5C" w:rsidR="00821190" w:rsidRPr="0018578C" w:rsidRDefault="0086029D" w:rsidP="0086029D">
      <w:pPr>
        <w:pStyle w:val="ManualConsidrant"/>
        <w:rPr>
          <w:noProof/>
        </w:rPr>
      </w:pPr>
      <w:r w:rsidRPr="0086029D">
        <w:t>(6)</w:t>
      </w:r>
      <w:r w:rsidRPr="0086029D">
        <w:tab/>
      </w:r>
      <w:r w:rsidR="00D06C6A" w:rsidRPr="0018578C">
        <w:rPr>
          <w:noProof/>
        </w:rPr>
        <w:t>La fissazione, al 24 febbraio 2022, della data di inizio dell'ammissibilità per le operazioni volte ad affrontare le sfide migratorie a seguito dell'aggressione militare da parte della Federazione russa non si è inoltre dimostrata sufficiente a garantire che tutte le operazioni pertinenti volte ad affrontare tali sfide possano essere sostenute dai fondi. È pertanto opportuno consentire, in via eccezionale, la selezione di tali operazioni prima dell'approvazione di una relativa modifica del programma nonché l'ammissibilità delle spese per le operazioni materialmente completate o pienamente realizzate, estendendo tali flessibilità anche alle operazioni sostenute dal FEAMP volte a ad affrontare le conseguenze dell'aggressione russa nel settore della pesca e dell'acquacoltura. Tenuto conto dei limitati finanziamenti disponibili nelle regioni più colpite, dovrebbe inoltre essere possibile sostenere tali operazioni oltre i limiti dell'area del programma all'interno di un determinato Stato membro, dato che la situazione delle persone in fuga dall'aggressione russa, che si spostano all'interno degli Stati membri e tra di essi, rappresenta una sfida per la coesione economica, sociale e territoriale dell'Unione nel suo insieme. Tali operazioni dovrebbero pertanto essere ammissibili indipendentemente dal luogo in cui sono attuate all'interno di un determinato Stato membro, in quanto la loro ubicazione non è, in ultima analisi, un criterio decisivo per rispondere alle esigenze immediate.</w:t>
      </w:r>
    </w:p>
    <w:p w14:paraId="590E6E1A" w14:textId="2641EB04" w:rsidR="00E8243D" w:rsidRPr="0018578C" w:rsidRDefault="0086029D" w:rsidP="0086029D">
      <w:pPr>
        <w:pStyle w:val="ManualConsidrant"/>
        <w:rPr>
          <w:noProof/>
        </w:rPr>
      </w:pPr>
      <w:r w:rsidRPr="0086029D">
        <w:t>(7)</w:t>
      </w:r>
      <w:r w:rsidRPr="0086029D">
        <w:tab/>
      </w:r>
      <w:r w:rsidR="00E8243D" w:rsidRPr="0018578C">
        <w:rPr>
          <w:noProof/>
        </w:rPr>
        <w:t xml:space="preserve">Inoltre, dato l'elevato livello di oneri per affrontare le sfide migratorie conseguenti all'aggressione militare da parte della Federazione russa, che grava sulle autorità locali e sulle organizzazioni della società civile che operano in comunità locali, è opportuno prevedere un livello minimo di sostegno pari al 30 % a favore di tali organismi nel contesto delle risorse utilizzate per sostenere operazioni rientranti nell'ambito del FESR o del FSE in conformità dell'articolo 98, paragrafo 4, primo e secondo comma, del regolamento (UE) n. 1303/2013. </w:t>
      </w:r>
    </w:p>
    <w:p w14:paraId="19A2CFF6" w14:textId="28718682" w:rsidR="00F36932" w:rsidRPr="0018578C" w:rsidRDefault="0086029D" w:rsidP="0086029D">
      <w:pPr>
        <w:pStyle w:val="ManualConsidrant"/>
        <w:rPr>
          <w:noProof/>
        </w:rPr>
      </w:pPr>
      <w:r w:rsidRPr="0086029D">
        <w:t>(8)</w:t>
      </w:r>
      <w:r w:rsidRPr="0086029D">
        <w:tab/>
      </w:r>
      <w:r w:rsidR="00F37942" w:rsidRPr="0018578C">
        <w:rPr>
          <w:noProof/>
        </w:rPr>
        <w:t xml:space="preserve">Al fine di alleviare per gli Stati membri l'onere amministrativo di tenere conto delle esigenze in evoluzione e del rispetto delle dotazioni finanziarie di un programma operativo, è opportuno prevedere una misura generale che elimini la necessità di una modifica formale di un programma operativo nel quadro del periodo di programmazione 2014-2020 per consentire i trasferimenti tra obiettivi tematici nell'ambito di una priorità dello stesso fondo e della stessa categoria di regioni. </w:t>
      </w:r>
    </w:p>
    <w:p w14:paraId="1610D527" w14:textId="4EF858BF" w:rsidR="00C35C28" w:rsidRPr="0018578C" w:rsidRDefault="0086029D" w:rsidP="0086029D">
      <w:pPr>
        <w:pStyle w:val="ManualConsidrant"/>
        <w:rPr>
          <w:noProof/>
        </w:rPr>
      </w:pPr>
      <w:r w:rsidRPr="0086029D">
        <w:t>(9)</w:t>
      </w:r>
      <w:r w:rsidRPr="0086029D">
        <w:tab/>
      </w:r>
      <w:r w:rsidR="003C0C5B" w:rsidRPr="0018578C">
        <w:rPr>
          <w:noProof/>
        </w:rPr>
        <w:t>Infine, per ottimizzare l'utilizzo delle dotazioni per il periodo 2014-2020 nel quadro della chiusura dei programmi del periodo di programmazione 2014-2020, è opportuno aumentare il massimale della flessibilità tra le priorità per il calcolo del saldo finale del contributo dei fondi.</w:t>
      </w:r>
    </w:p>
    <w:p w14:paraId="1ECE0945" w14:textId="3A399AE7" w:rsidR="00911BF5" w:rsidRPr="0018578C" w:rsidRDefault="0086029D" w:rsidP="0086029D">
      <w:pPr>
        <w:pStyle w:val="ManualConsidrant"/>
        <w:rPr>
          <w:noProof/>
        </w:rPr>
      </w:pPr>
      <w:r w:rsidRPr="0086029D">
        <w:t>(10)</w:t>
      </w:r>
      <w:r w:rsidRPr="0086029D">
        <w:tab/>
      </w:r>
      <w:r w:rsidR="00F677CA" w:rsidRPr="0018578C">
        <w:rPr>
          <w:noProof/>
        </w:rPr>
        <w:t>Alcune flessibilità per far fronte alla situazione senza precedenti dovrebbero inoltre essere previste nel quadro giuridico che disciplina i programmi del periodo di programmazione 2021-2027. Sempre al fine di alleviare l'onere che grava sui bilanci nazionali, i prefinanziamenti per i programmi nell'ambito dell'obiettivo "Investimenti a favore dell'occupazione e della crescita" dovrebbero essere aumentati. Inoltre, date le sfide poste dagli sfollamenti in massa e le risposte integrate richieste dagli Stati membri, qualora uno Stato membro dedichi una priorità nell'ambito di uno dei suoi programmi di coesione del periodo 2021-2027 al sostegno di operazioni volte a promuovere l'integrazione socioeconomica dei cittadini di paesi terzi, dovrebbe essere possibile un tasso di cofinanziamento fino al 100 % per tale priorità fino al 30 giugno 2024, a condizione che sia destinato un livello adeguato di sostegno alle autorità locali e alle organizzazioni della società civile che operano in comunità locali e che l'importo totale programmato nell'ambito di tali priorità in uno Stato membro non superi il 5 % della dotazione nazionale iniziale di tale Stato membro a titolo del FESR e del FSE + combinati. Ciò non pregiudica la possibilità per gli Stati membri di programmare importi supplementari per tali priorità con tassi di cofinanziamento normali. Tenendo inoltre conto delle perturbazioni alla fine del periodo di programmazione 2014-2020 causate dall'aggressione militare da parte della Russia, oltre all'incidenza a lungo termine della pandemia sull'attuazione dei progetti e alle continue perturbazioni delle catene del valore, è opportuno prevedere un'ulteriore flessibilità anche per consentire la concessione diretta di sostegno e il completamento delle operazioni la cui attuazione è iniziata conformemente al quadro legislativo per il periodo 2014-2020, prima della data della presente proposta legislativa, anche qualora tali operazioni non rientrino nell'ambito del corrispondente fondo interessato nel quadro del periodo di programmazione 2021-2027, ad eccezione dei casi in cui i fondi sono stati utilizzati a norma dell'articolo 98, paragrafo 4, primo o secondo comma, del regolamento (UE) n. 1303/2013. Per garantire che tali operazioni possano essere attribuite ai tipi di interventi, l'allegato I del regolamento (UE) 2021/1060 del Parlamento europeo e del Consiglio</w:t>
      </w:r>
      <w:r w:rsidR="00F677CA" w:rsidRPr="0018578C">
        <w:rPr>
          <w:rStyle w:val="FootnoteReference"/>
          <w:noProof/>
        </w:rPr>
        <w:footnoteReference w:id="12"/>
      </w:r>
      <w:r w:rsidR="00F677CA" w:rsidRPr="0018578C">
        <w:rPr>
          <w:noProof/>
        </w:rPr>
        <w:t xml:space="preserve"> dovrebbe essere adeguato di conseguenza. Il sostegno a tali operazioni non dovrebbe pregiudicare gli obblighi degli Stati membri di rispettare i requisiti di concentrazione tematica e gli obiettivi relativi al contributo all'azione per il clima.</w:t>
      </w:r>
    </w:p>
    <w:p w14:paraId="61465636" w14:textId="223A8629" w:rsidR="00C1332E" w:rsidRPr="0018578C" w:rsidRDefault="0086029D" w:rsidP="0086029D">
      <w:pPr>
        <w:pStyle w:val="ManualConsidrant"/>
        <w:rPr>
          <w:noProof/>
        </w:rPr>
      </w:pPr>
      <w:r w:rsidRPr="0086029D">
        <w:t>(11)</w:t>
      </w:r>
      <w:r w:rsidRPr="0086029D">
        <w:tab/>
      </w:r>
      <w:r w:rsidR="00586D7D" w:rsidRPr="0018578C">
        <w:rPr>
          <w:noProof/>
        </w:rPr>
        <w:t>Poiché l'obiettivo del presente regolamento, vale a dire prestare assistenza agli Stati membri nel far fronte alle sfide generate dall'arrivo di un numero eccezionalmente elevato di persone in fuga dall'aggressione militare della Federazione russa nei confronti dell'Ucraina e sostenere gli Stati membri nell'impegno costante per progredire verso una ripresa resiliente dell'economia dalla pandemia di COVID-19, a motivo della portata e degli effetti dell'azione in questione, può essere conseguito meglio a livello di Unione, quest'ultima può intervenire in base al principio di sussidiarietà sancito dall'articolo 5 del trattato sull'Unione europea (TUE). Il presente regolamento si limita a quanto è necessario per conseguire tali obiettivi in ottemperanza al principio di proporzionalità enunciato nello stesso articolo.</w:t>
      </w:r>
    </w:p>
    <w:p w14:paraId="62662DA8" w14:textId="1E684C0E" w:rsidR="00C1332E" w:rsidRPr="0018578C" w:rsidRDefault="0086029D" w:rsidP="0086029D">
      <w:pPr>
        <w:pStyle w:val="ManualConsidrant"/>
        <w:rPr>
          <w:noProof/>
        </w:rPr>
      </w:pPr>
      <w:r w:rsidRPr="0086029D">
        <w:t>(12)</w:t>
      </w:r>
      <w:r w:rsidRPr="0086029D">
        <w:tab/>
      </w:r>
      <w:r w:rsidR="00586D7D" w:rsidRPr="0018578C">
        <w:rPr>
          <w:noProof/>
        </w:rPr>
        <w:t>È quindi opportuno modificare di conseguenza rispettivamente il regolamento (UE) n. 1303/2013 e il regolamento (UE) 2021/1060,</w:t>
      </w:r>
    </w:p>
    <w:p w14:paraId="04F27049" w14:textId="4625422B" w:rsidR="00E2601F" w:rsidRPr="0018578C" w:rsidRDefault="0086029D" w:rsidP="0086029D">
      <w:pPr>
        <w:pStyle w:val="ManualConsidrant"/>
        <w:rPr>
          <w:noProof/>
        </w:rPr>
      </w:pPr>
      <w:r w:rsidRPr="0086029D">
        <w:t>(13)</w:t>
      </w:r>
      <w:r w:rsidRPr="0086029D">
        <w:tab/>
      </w:r>
      <w:r w:rsidR="00E2601F" w:rsidRPr="0018578C">
        <w:rPr>
          <w:noProof/>
        </w:rPr>
        <w:t>Considerata l'urgenza di prevedere un rapido alleggerimento dei bilanci pubblici per preservare la capacità degli Stati membri di sostenere la ripresa delle economie, si ritiene opportuno invocare l'eccezione al periodo di otto settimane prevista all'articolo 4 del protocollo n. 1 sul ruolo dei parlamenti nazionali nell'Unione europea, allegato al TUE, al trattato sul funzionamento dell'Unione europea e al trattato che istituisce la Comunità europea dell'energia atomica.</w:t>
      </w:r>
    </w:p>
    <w:p w14:paraId="63CA435C" w14:textId="7F10E4C4" w:rsidR="00C1332E" w:rsidRPr="0018578C" w:rsidRDefault="0086029D" w:rsidP="0086029D">
      <w:pPr>
        <w:pStyle w:val="ManualConsidrant"/>
        <w:rPr>
          <w:noProof/>
        </w:rPr>
      </w:pPr>
      <w:r w:rsidRPr="0086029D">
        <w:t>(14)</w:t>
      </w:r>
      <w:r w:rsidRPr="0086029D">
        <w:tab/>
      </w:r>
      <w:r w:rsidR="00E2601F" w:rsidRPr="0018578C">
        <w:rPr>
          <w:noProof/>
        </w:rPr>
        <w:t xml:space="preserve">Considerata l'esigenza di prevedere un rapido alleggerimento dei bilanci pubblici al fine di preservare la capacità degli Stati membri di sostenere il processo di ripresa economica e consentire una rapida programmazione dello scaglionamento delle operazioni al periodo di programmazione 2021-2027, è opportuno che il presente regolamento entri in vigore con urgenza il giorno successivo alla pubblicazione nella </w:t>
      </w:r>
      <w:r w:rsidR="00E2601F" w:rsidRPr="0018578C">
        <w:rPr>
          <w:i/>
          <w:noProof/>
        </w:rPr>
        <w:t>Gazzetta ufficiale dell'Unione europea</w:t>
      </w:r>
      <w:r w:rsidR="00E2601F" w:rsidRPr="0018578C">
        <w:rPr>
          <w:noProof/>
        </w:rPr>
        <w:t>.</w:t>
      </w:r>
    </w:p>
    <w:p w14:paraId="61870C04" w14:textId="77777777" w:rsidR="00C1332E" w:rsidRPr="0018578C" w:rsidRDefault="00586D7D">
      <w:pPr>
        <w:pStyle w:val="Formuledadoption"/>
        <w:rPr>
          <w:noProof/>
        </w:rPr>
      </w:pPr>
      <w:r w:rsidRPr="0018578C">
        <w:rPr>
          <w:noProof/>
        </w:rPr>
        <w:t>HANNO ADOTTATO IL PRESENTE REGOLAMENTO:</w:t>
      </w:r>
    </w:p>
    <w:p w14:paraId="14E4EF5D" w14:textId="77777777" w:rsidR="00C1332E" w:rsidRPr="0018578C" w:rsidRDefault="00586D7D">
      <w:pPr>
        <w:pStyle w:val="Titrearticle"/>
        <w:rPr>
          <w:noProof/>
        </w:rPr>
      </w:pPr>
      <w:r w:rsidRPr="0018578C">
        <w:rPr>
          <w:noProof/>
        </w:rPr>
        <w:t>Articolo 1</w:t>
      </w:r>
    </w:p>
    <w:p w14:paraId="2DBF8A91" w14:textId="77777777" w:rsidR="00C71348" w:rsidRPr="0018578C" w:rsidRDefault="00C71348" w:rsidP="00C71348">
      <w:pPr>
        <w:jc w:val="center"/>
        <w:rPr>
          <w:b/>
          <w:noProof/>
        </w:rPr>
      </w:pPr>
      <w:r w:rsidRPr="0018578C">
        <w:rPr>
          <w:b/>
          <w:noProof/>
        </w:rPr>
        <w:t>Modifiche del regolamento (UE) n. 1303/2013</w:t>
      </w:r>
    </w:p>
    <w:p w14:paraId="2833B6F7" w14:textId="77777777" w:rsidR="00396995" w:rsidRPr="0018578C" w:rsidRDefault="00396995" w:rsidP="00396995">
      <w:pPr>
        <w:jc w:val="left"/>
        <w:rPr>
          <w:noProof/>
        </w:rPr>
      </w:pPr>
      <w:r w:rsidRPr="0018578C">
        <w:rPr>
          <w:noProof/>
        </w:rPr>
        <w:t>Il regolamento (UE) n. 1303/2013 è così modificato:</w:t>
      </w:r>
    </w:p>
    <w:p w14:paraId="62FEF6D9" w14:textId="77777777" w:rsidR="00E220EC" w:rsidRPr="0018578C" w:rsidRDefault="00E220EC" w:rsidP="00E220EC">
      <w:pPr>
        <w:pStyle w:val="Point0"/>
        <w:rPr>
          <w:noProof/>
        </w:rPr>
      </w:pPr>
      <w:r w:rsidRPr="0018578C">
        <w:rPr>
          <w:noProof/>
        </w:rPr>
        <w:t>1)</w:t>
      </w:r>
      <w:r w:rsidRPr="0018578C">
        <w:rPr>
          <w:noProof/>
        </w:rPr>
        <w:tab/>
        <w:t xml:space="preserve">all'articolo 30, sono aggiunti i paragrafi seguenti: </w:t>
      </w:r>
    </w:p>
    <w:p w14:paraId="6A50C9DB" w14:textId="77777777" w:rsidR="00E220EC" w:rsidRPr="0018578C" w:rsidRDefault="00E220EC" w:rsidP="003E0E5F">
      <w:pPr>
        <w:pStyle w:val="Text1"/>
        <w:rPr>
          <w:noProof/>
        </w:rPr>
      </w:pPr>
      <w:r w:rsidRPr="0018578C">
        <w:rPr>
          <w:noProof/>
        </w:rPr>
        <w:t xml:space="preserve">"6. In deroga ai paragrafi 1 e 2, per i programmi sostenuti dal FESR, dal FSE o dal Fondo di coesione, lo Stato membro può trasferire dotazioni finanziarie tra diversi obiettivi tematici nell'ambito della stessa priorità dello stesso Fondo e della stessa categoria di regioni dello stesso programma. </w:t>
      </w:r>
    </w:p>
    <w:p w14:paraId="385CCD65" w14:textId="77777777" w:rsidR="004700C1" w:rsidRPr="0018578C" w:rsidRDefault="00E220EC" w:rsidP="003E0E5F">
      <w:pPr>
        <w:pStyle w:val="Text1"/>
        <w:rPr>
          <w:noProof/>
        </w:rPr>
      </w:pPr>
      <w:r w:rsidRPr="0018578C">
        <w:rPr>
          <w:noProof/>
        </w:rPr>
        <w:t>Tali trasferimenti sono considerati non rilevanti e non richiedono una decisione di modifica del programma da parte della Commissione. Essi devono comunque essere conformi ai requisiti di regolamentazione ed essere preventivamente approvati dal comitato di sorveglianza. Lo Stato membro notifica alla Commissione le tabelle finanziarie rivedute.</w:t>
      </w:r>
    </w:p>
    <w:p w14:paraId="5B4078AD" w14:textId="77777777" w:rsidR="00E220EC" w:rsidRPr="0018578C" w:rsidRDefault="004700C1" w:rsidP="003E0E5F">
      <w:pPr>
        <w:pStyle w:val="Text1"/>
        <w:rPr>
          <w:noProof/>
        </w:rPr>
      </w:pPr>
      <w:r w:rsidRPr="0018578C">
        <w:rPr>
          <w:noProof/>
        </w:rPr>
        <w:t xml:space="preserve">7. In deroga ai paragrafi 1 e 2, l'applicazione di un tasso di cofinanziamento fino al 100 % a norma dell'articolo 120, paragrafo 9, a un asse prioritario destinato a promuovere l'integrazione economica dei cittadini di paesi terzi stabilito nell'ambito di un programma, anche nel caso di operazioni volte ad affrontare le sfide migratorie a seguito dell'aggressione militare da parte della Federazione russa, non richiede una decisione della Commissione che modifichi il programma. La modifica è approvata preventivamente dal comitato di sorveglianza. Lo Stato membro notifica alla Commissione le tabelle finanziarie rivedute."; </w:t>
      </w:r>
    </w:p>
    <w:p w14:paraId="53626EA5" w14:textId="77777777" w:rsidR="0000018F" w:rsidRPr="0018578C" w:rsidRDefault="0000018F" w:rsidP="00E8673D">
      <w:pPr>
        <w:pStyle w:val="Point0"/>
        <w:rPr>
          <w:noProof/>
        </w:rPr>
      </w:pPr>
      <w:r w:rsidRPr="0018578C">
        <w:rPr>
          <w:noProof/>
        </w:rPr>
        <w:t>2)</w:t>
      </w:r>
      <w:r w:rsidRPr="0018578C">
        <w:rPr>
          <w:noProof/>
        </w:rPr>
        <w:tab/>
        <w:t xml:space="preserve">all'articolo 65 è inserito il paragrafo seguente: </w:t>
      </w:r>
    </w:p>
    <w:p w14:paraId="023B9C11" w14:textId="3BDE3308" w:rsidR="0000018F" w:rsidRPr="0018578C" w:rsidRDefault="0000018F" w:rsidP="003E0E5F">
      <w:pPr>
        <w:pStyle w:val="Text1"/>
        <w:rPr>
          <w:noProof/>
        </w:rPr>
      </w:pPr>
      <w:r w:rsidRPr="0018578C">
        <w:rPr>
          <w:noProof/>
        </w:rPr>
        <w:t xml:space="preserve">"10 bis. Il paragrafo 6 non si applica alle operazioni volte ad affrontare le sfide migratorie a seguito dell'aggressione militare da parte della Federazione russa. </w:t>
      </w:r>
    </w:p>
    <w:p w14:paraId="22BEA765" w14:textId="52CCF0CD" w:rsidR="003D2470" w:rsidRPr="0018578C" w:rsidRDefault="003D2470" w:rsidP="003D2470">
      <w:pPr>
        <w:pStyle w:val="Text1"/>
        <w:rPr>
          <w:noProof/>
        </w:rPr>
      </w:pPr>
      <w:r w:rsidRPr="0018578C">
        <w:rPr>
          <w:noProof/>
        </w:rPr>
        <w:t>Il paragrafo 6 non si applica neppure agli interventi sostenuti dal FEAMP relativi alle conseguenze di tale aggressione nel settore della pesca e dell'acquacoltura.</w:t>
      </w:r>
    </w:p>
    <w:p w14:paraId="43DEEFC6" w14:textId="4E2781FD" w:rsidR="0000018F" w:rsidRPr="0018578C" w:rsidRDefault="0000018F" w:rsidP="003E0E5F">
      <w:pPr>
        <w:pStyle w:val="Text1"/>
        <w:rPr>
          <w:noProof/>
        </w:rPr>
      </w:pPr>
      <w:r w:rsidRPr="0018578C">
        <w:rPr>
          <w:noProof/>
        </w:rPr>
        <w:t>In deroga all'articolo 125, paragrafo 3, lettera b), dette operazioni possono essere selezionate per il sostegno del FESR, del FSE, del Fondo di coesione o del FEAMP prima dell'approvazione del programma modificato.";</w:t>
      </w:r>
    </w:p>
    <w:p w14:paraId="5AA1503A" w14:textId="77777777" w:rsidR="00BB305B" w:rsidRPr="0018578C" w:rsidRDefault="00BB305B" w:rsidP="00BB305B">
      <w:pPr>
        <w:pStyle w:val="Point0"/>
        <w:tabs>
          <w:tab w:val="left" w:pos="851"/>
        </w:tabs>
        <w:rPr>
          <w:noProof/>
        </w:rPr>
      </w:pPr>
      <w:r w:rsidRPr="0018578C">
        <w:rPr>
          <w:noProof/>
        </w:rPr>
        <w:t>3)</w:t>
      </w:r>
      <w:r w:rsidRPr="0018578C">
        <w:rPr>
          <w:noProof/>
        </w:rPr>
        <w:tab/>
        <w:t xml:space="preserve">all'articolo 68 quater, il primo comma è sostituito dal seguente:  </w:t>
      </w:r>
    </w:p>
    <w:p w14:paraId="798FB4FB" w14:textId="30A8BC80" w:rsidR="00BB305B" w:rsidRPr="0018578C" w:rsidRDefault="00BB305B" w:rsidP="003E0E5F">
      <w:pPr>
        <w:pStyle w:val="Text1"/>
        <w:rPr>
          <w:noProof/>
        </w:rPr>
      </w:pPr>
      <w:r w:rsidRPr="0018578C">
        <w:rPr>
          <w:noProof/>
        </w:rPr>
        <w:t>"Ai fini dell'attuazione delle operazioni volte ad affrontare le sfide migratorie a seguito dell'aggressione militare da parte della Federazione russa, gli Stati membri possono inserire tra le spese dichiarate nelle domande di pagamento un costo unitario collegato alle necessità di base e al sostegno a favore delle persone che ricevono protezione temporanea o altra protezione adeguata ai sensi del diritto nazionale in conformità della decisione di esecuzione (UE) 2022/382 del Consiglio</w:t>
      </w:r>
      <w:r w:rsidRPr="0018578C">
        <w:rPr>
          <w:rStyle w:val="FootnoteReference"/>
          <w:noProof/>
        </w:rPr>
        <w:footnoteReference w:id="13"/>
      </w:r>
      <w:r w:rsidRPr="0018578C">
        <w:rPr>
          <w:noProof/>
        </w:rPr>
        <w:t xml:space="preserve"> e della direttiva 2001/55/CE del Consiglio</w:t>
      </w:r>
      <w:r w:rsidRPr="0018578C">
        <w:rPr>
          <w:rStyle w:val="FootnoteReference"/>
          <w:noProof/>
        </w:rPr>
        <w:footnoteReference w:id="14"/>
      </w:r>
      <w:r w:rsidRPr="0018578C">
        <w:rPr>
          <w:noProof/>
        </w:rPr>
        <w:t>. Tale costo unitario è pari a 100 EUR alla settimana per ogni settimana completa o parziale trascorsa da una persona nello Stato membro interessato. Il costo unitario può essere utilizzato per la durata massima totale di 26 settimane, a decorrere dalla data di arrivo della persona nell'Unione.";</w:t>
      </w:r>
    </w:p>
    <w:p w14:paraId="191F0150" w14:textId="77777777" w:rsidR="00F27244" w:rsidRPr="0018578C" w:rsidRDefault="00F27244" w:rsidP="00F37942">
      <w:pPr>
        <w:pStyle w:val="Point0"/>
        <w:ind w:left="0" w:firstLine="1"/>
        <w:rPr>
          <w:noProof/>
        </w:rPr>
      </w:pPr>
      <w:r w:rsidRPr="0018578C">
        <w:rPr>
          <w:noProof/>
        </w:rPr>
        <w:t>4)</w:t>
      </w:r>
      <w:r w:rsidRPr="0018578C">
        <w:rPr>
          <w:noProof/>
        </w:rPr>
        <w:tab/>
        <w:t>all'articolo 70, paragrafo 2, è aggiunto il comma seguente:</w:t>
      </w:r>
    </w:p>
    <w:p w14:paraId="558224EA" w14:textId="77777777" w:rsidR="00F27244" w:rsidRPr="0018578C" w:rsidRDefault="00111C25" w:rsidP="00925880">
      <w:pPr>
        <w:pStyle w:val="Text1"/>
        <w:rPr>
          <w:noProof/>
        </w:rPr>
      </w:pPr>
      <w:r w:rsidRPr="0018578C">
        <w:rPr>
          <w:noProof/>
        </w:rPr>
        <w:t>"Qualora le operazioni volte ad affrontare le sfide migratorie a seguito dell'aggressione militare da parte della Federazione russa che ricevono sostegno dal FESR, dal FSE o dal Fondo di coesione siano attuate al di fuori dell'area del programma ma all'interno dello Stato membro, si applica solo la lettera d) del primo comma.";</w:t>
      </w:r>
    </w:p>
    <w:p w14:paraId="7CCF1074" w14:textId="77777777" w:rsidR="00C3178C" w:rsidRPr="0018578C" w:rsidRDefault="00C93451" w:rsidP="0054591C">
      <w:pPr>
        <w:pStyle w:val="Point0"/>
        <w:tabs>
          <w:tab w:val="left" w:pos="851"/>
        </w:tabs>
        <w:ind w:left="0" w:firstLine="0"/>
        <w:rPr>
          <w:noProof/>
        </w:rPr>
      </w:pPr>
      <w:r w:rsidRPr="0018578C">
        <w:rPr>
          <w:noProof/>
        </w:rPr>
        <w:t>5)</w:t>
      </w:r>
      <w:r w:rsidRPr="0018578C">
        <w:rPr>
          <w:noProof/>
        </w:rPr>
        <w:tab/>
        <w:t xml:space="preserve">all'articolo 70, il paragrafo 4 è sostituito dal seguente: </w:t>
      </w:r>
    </w:p>
    <w:p w14:paraId="2EB71E1D" w14:textId="77777777" w:rsidR="00C3178C" w:rsidRPr="0018578C" w:rsidRDefault="00C3178C" w:rsidP="00C3178C">
      <w:pPr>
        <w:pStyle w:val="Text1"/>
        <w:rPr>
          <w:noProof/>
        </w:rPr>
      </w:pPr>
      <w:r w:rsidRPr="0018578C">
        <w:rPr>
          <w:noProof/>
        </w:rPr>
        <w:t>"4. I paragrafi 1, 2 e 3 non si applicano ai programmi nell'ambito dell'obiettivo Cooperazione territoriale europea. I paragrafi 2 e 3 non si applicano alle operazioni sostenute dal FSE, ad eccezione del paragrafo 2, ultimo comma.";</w:t>
      </w:r>
    </w:p>
    <w:p w14:paraId="420B0EA2" w14:textId="77777777" w:rsidR="0054591C" w:rsidRPr="0018578C" w:rsidRDefault="00C3178C" w:rsidP="0054591C">
      <w:pPr>
        <w:pStyle w:val="Point0"/>
        <w:tabs>
          <w:tab w:val="left" w:pos="851"/>
        </w:tabs>
        <w:ind w:left="0" w:firstLine="0"/>
        <w:rPr>
          <w:noProof/>
        </w:rPr>
      </w:pPr>
      <w:r w:rsidRPr="0018578C">
        <w:rPr>
          <w:noProof/>
        </w:rPr>
        <w:t>6)</w:t>
      </w:r>
      <w:r w:rsidRPr="0018578C">
        <w:rPr>
          <w:noProof/>
        </w:rPr>
        <w:tab/>
        <w:t xml:space="preserve">all'articolo 96, paragrafo 10, il primo comma è sostituito dal seguente: </w:t>
      </w:r>
    </w:p>
    <w:p w14:paraId="3D3D3D5C" w14:textId="77777777" w:rsidR="0054591C" w:rsidRPr="0018578C" w:rsidRDefault="0054591C" w:rsidP="003E0E5F">
      <w:pPr>
        <w:pStyle w:val="Text1"/>
        <w:rPr>
          <w:noProof/>
        </w:rPr>
      </w:pPr>
      <w:r w:rsidRPr="0018578C">
        <w:rPr>
          <w:noProof/>
        </w:rPr>
        <w:t>"10. Fatto salvo l'articolo 30, paragrafi 5, 6 e 7, la Commissione adotta una decisione, mediante un atto di esecuzione, che approva tutti gli elementi, compresa ogni futura modifica, del programma operativo disciplinati dal presente articolo, a eccezione di quelli che rientrano nell'ambito di applicazione del paragrafo 2, primo comma, lettera b), punto vi), lettera c), punto v), e lettera e), dei paragrafi 4 e 5, del paragrafo 6, lettere a) e c), e del paragrafo 7, che rimangono di competenza degli Stati membri.";</w:t>
      </w:r>
    </w:p>
    <w:p w14:paraId="7167CA76" w14:textId="77777777" w:rsidR="00C3178C" w:rsidRPr="0018578C" w:rsidRDefault="004E43DD" w:rsidP="0000018F">
      <w:pPr>
        <w:pStyle w:val="Point0"/>
        <w:rPr>
          <w:noProof/>
        </w:rPr>
      </w:pPr>
      <w:r w:rsidRPr="0018578C">
        <w:rPr>
          <w:noProof/>
        </w:rPr>
        <w:t>7)</w:t>
      </w:r>
      <w:r w:rsidRPr="0018578C">
        <w:rPr>
          <w:noProof/>
        </w:rPr>
        <w:tab/>
        <w:t>all'articolo 98, il paragrafo 4 è così modificato:</w:t>
      </w:r>
    </w:p>
    <w:p w14:paraId="35CEFB1E" w14:textId="77777777" w:rsidR="00E45329" w:rsidRPr="0018578C" w:rsidRDefault="00C3178C" w:rsidP="00C3178C">
      <w:pPr>
        <w:pStyle w:val="Text1"/>
        <w:rPr>
          <w:noProof/>
        </w:rPr>
      </w:pPr>
      <w:r w:rsidRPr="0018578C">
        <w:rPr>
          <w:noProof/>
        </w:rPr>
        <w:t xml:space="preserve">a) dopo il primo comma è inserito il comma seguente: </w:t>
      </w:r>
    </w:p>
    <w:p w14:paraId="60847740" w14:textId="77777777" w:rsidR="00601839" w:rsidRPr="0018578C" w:rsidRDefault="00E45329" w:rsidP="00654E80">
      <w:pPr>
        <w:pStyle w:val="Text1"/>
        <w:rPr>
          <w:noProof/>
        </w:rPr>
      </w:pPr>
      <w:r w:rsidRPr="0018578C">
        <w:rPr>
          <w:noProof/>
        </w:rPr>
        <w:t>"Inoltre tali operazioni possono essere finanziate anche dal Fondo di coesione in base alle norme applicabili al FESR o all'FSE.";</w:t>
      </w:r>
    </w:p>
    <w:p w14:paraId="54DFCBC8" w14:textId="77777777" w:rsidR="00215403" w:rsidRPr="0018578C" w:rsidRDefault="00C3178C" w:rsidP="00C3178C">
      <w:pPr>
        <w:pStyle w:val="Text1"/>
        <w:rPr>
          <w:noProof/>
        </w:rPr>
      </w:pPr>
      <w:r w:rsidRPr="0018578C">
        <w:rPr>
          <w:noProof/>
        </w:rPr>
        <w:t>b) dopo il secondo comma, è aggiunto il comma seguente:</w:t>
      </w:r>
    </w:p>
    <w:p w14:paraId="2899A953" w14:textId="5CB2A0BF" w:rsidR="00215403" w:rsidRPr="0018578C" w:rsidRDefault="00215403" w:rsidP="00654E80">
      <w:pPr>
        <w:pStyle w:val="Text1"/>
        <w:rPr>
          <w:noProof/>
        </w:rPr>
      </w:pPr>
      <w:r w:rsidRPr="0018578C">
        <w:rPr>
          <w:noProof/>
        </w:rPr>
        <w:t>"Qualora un asse prioritario dedicato si avvalga della possibilità di cui al primo o al secondo comma, almeno il 30 % della dotazione finanziaria di tale asse prioritario è destinato a operazioni aventi beneficiari che sono autorità locali e organizzazioni della società civile che operano in comunità locali. Gli Stati membri riferiscono in merito al rispetto di tale condizione nella relazione finale di attuazione di cui all'articolo 50, paragrafo 1, e all'articolo 111. Se tale condizione non è soddisfatta, il rimborso da parte della Commissione nell'ambito dell'asse prioritario in questione è ridotto proporzionalmente per garantire che tale condizione sia rispettata nel calcolo del saldo finale da versare al programma.";</w:t>
      </w:r>
    </w:p>
    <w:p w14:paraId="2A019DAF" w14:textId="77777777" w:rsidR="00EB007E" w:rsidRPr="0018578C" w:rsidRDefault="00C636B9" w:rsidP="002967E3">
      <w:pPr>
        <w:pStyle w:val="Text1"/>
        <w:rPr>
          <w:noProof/>
        </w:rPr>
      </w:pPr>
      <w:r w:rsidRPr="0018578C">
        <w:rPr>
          <w:noProof/>
        </w:rPr>
        <w:t>c) il terzo comma è sostituito dal seguente:</w:t>
      </w:r>
    </w:p>
    <w:p w14:paraId="1B0B15D2" w14:textId="77777777" w:rsidR="00EB007E" w:rsidRPr="0018578C" w:rsidRDefault="0008111C" w:rsidP="002812B3">
      <w:pPr>
        <w:pStyle w:val="Text1"/>
        <w:rPr>
          <w:noProof/>
        </w:rPr>
      </w:pPr>
      <w:r w:rsidRPr="0018578C">
        <w:rPr>
          <w:noProof/>
          <w:color w:val="000000"/>
          <w:shd w:val="clear" w:color="auto" w:fill="FFFFFF"/>
        </w:rPr>
        <w:t>"Qualora sia necessario comunicare dati sui partecipanti per le operazioni dell'asse prioritario di cui al terzo comma, tali dati si basano su stime informate e si limitano al numero totale delle persone che ricevono sostegno e al numero dei minori di età inferiore a 18 anni. Gli stessi obblighi di rendicontazione si applicano anche ad altri assi prioritari sostenuti dall'FSE che sostengono soltanto operazioni volte ad affrontare le sfide migratorie conseguenti all'aggressione militare da parte della Federazione russa.";</w:t>
      </w:r>
    </w:p>
    <w:p w14:paraId="1350EB90" w14:textId="77777777" w:rsidR="00395481" w:rsidRPr="0018578C" w:rsidRDefault="00395481" w:rsidP="003E0E5F">
      <w:pPr>
        <w:pStyle w:val="Point0"/>
        <w:rPr>
          <w:noProof/>
        </w:rPr>
      </w:pPr>
      <w:r w:rsidRPr="0018578C">
        <w:rPr>
          <w:noProof/>
        </w:rPr>
        <w:t>8)</w:t>
      </w:r>
      <w:r w:rsidRPr="0018578C">
        <w:rPr>
          <w:noProof/>
        </w:rPr>
        <w:tab/>
        <w:t>all'articolo 120 è aggiunto il paragrafo seguente:</w:t>
      </w:r>
    </w:p>
    <w:p w14:paraId="2269B7B9" w14:textId="77777777" w:rsidR="00395481" w:rsidRPr="0018578C" w:rsidRDefault="00395481" w:rsidP="002812B3">
      <w:pPr>
        <w:pStyle w:val="Text1"/>
        <w:rPr>
          <w:noProof/>
        </w:rPr>
      </w:pPr>
      <w:r w:rsidRPr="0018578C">
        <w:rPr>
          <w:noProof/>
        </w:rPr>
        <w:t>"9. Nell'ambito di un programma operativo può essere stabilito un asse prioritario distinto destinato a promuovere l'integrazione socioeconomica dei cittadini di paesi terzi con un tasso di cofinanziamento fino al 100 %. Tale asse prioritario può essere interamente dedicato a operazioni volte ad affrontare le sfide migratorie a seguito dell'aggressione militare da parte della Federazione russa, compreso l'asse prioritario dedicato di cui all'articolo 98, paragrafo 4, terzo comma.";</w:t>
      </w:r>
    </w:p>
    <w:p w14:paraId="4CBA07D4" w14:textId="77777777" w:rsidR="00D226DB" w:rsidRPr="0018578C" w:rsidRDefault="00F37942" w:rsidP="00035429">
      <w:pPr>
        <w:pStyle w:val="Point0"/>
        <w:rPr>
          <w:noProof/>
        </w:rPr>
      </w:pPr>
      <w:r w:rsidRPr="0018578C">
        <w:rPr>
          <w:noProof/>
        </w:rPr>
        <w:t>9)</w:t>
      </w:r>
      <w:r w:rsidRPr="0018578C">
        <w:rPr>
          <w:noProof/>
        </w:rPr>
        <w:tab/>
        <w:t>all'articolo 130, paragrafo 3, il primo comma è sostituito dal seguente:</w:t>
      </w:r>
    </w:p>
    <w:p w14:paraId="17CB1EC5" w14:textId="77777777" w:rsidR="00182F8D" w:rsidRPr="0018578C" w:rsidRDefault="00CA5FF3" w:rsidP="00035429">
      <w:pPr>
        <w:pStyle w:val="Text1"/>
        <w:rPr>
          <w:noProof/>
        </w:rPr>
      </w:pPr>
      <w:r w:rsidRPr="0018578C">
        <w:rPr>
          <w:noProof/>
        </w:rPr>
        <w:t>"In deroga al paragrafo 2, nel periodo contabile finale il contributo dei fondi o del FEAMP a ciascuna priorità mediante i pagamenti del saldo finale non supera, per fondo e per categoria di regioni, di oltre il 15 % il contributo dei fondi o del FEAMP per ciascuna priorità stabilito, per fondo e per categoria di regioni, dalla decisione della Commissione che approva il programma operativo.".</w:t>
      </w:r>
    </w:p>
    <w:p w14:paraId="66681B5E" w14:textId="77777777" w:rsidR="00C71348" w:rsidRPr="0018578C" w:rsidRDefault="00C71348" w:rsidP="00C71348">
      <w:pPr>
        <w:pStyle w:val="Titrearticle"/>
        <w:rPr>
          <w:noProof/>
        </w:rPr>
      </w:pPr>
      <w:r w:rsidRPr="0018578C">
        <w:rPr>
          <w:noProof/>
        </w:rPr>
        <w:t>Articolo 2</w:t>
      </w:r>
    </w:p>
    <w:p w14:paraId="42EEE101" w14:textId="77777777" w:rsidR="00C71348" w:rsidRPr="0018578C" w:rsidRDefault="00C71348" w:rsidP="00C71348">
      <w:pPr>
        <w:jc w:val="center"/>
        <w:rPr>
          <w:b/>
          <w:noProof/>
        </w:rPr>
      </w:pPr>
      <w:r w:rsidRPr="0018578C">
        <w:rPr>
          <w:b/>
          <w:noProof/>
        </w:rPr>
        <w:t>Modifiche del regolamento (UE) 2021/1060</w:t>
      </w:r>
    </w:p>
    <w:p w14:paraId="613AC6DE" w14:textId="77777777" w:rsidR="006C2F62" w:rsidRPr="0018578C" w:rsidRDefault="006C2F62" w:rsidP="006C2F62">
      <w:pPr>
        <w:jc w:val="left"/>
        <w:rPr>
          <w:noProof/>
        </w:rPr>
      </w:pPr>
      <w:r w:rsidRPr="0018578C">
        <w:rPr>
          <w:noProof/>
        </w:rPr>
        <w:t>Il regolamento (UE) 2021/1060 è così modificato:</w:t>
      </w:r>
    </w:p>
    <w:p w14:paraId="26EC14E2" w14:textId="77777777" w:rsidR="00DA3892" w:rsidRPr="0018578C" w:rsidRDefault="00DA3892" w:rsidP="00DA3892">
      <w:pPr>
        <w:pStyle w:val="Text1"/>
        <w:ind w:left="851" w:hanging="851"/>
        <w:rPr>
          <w:noProof/>
        </w:rPr>
      </w:pPr>
      <w:r w:rsidRPr="0018578C">
        <w:rPr>
          <w:noProof/>
        </w:rPr>
        <w:t>1)</w:t>
      </w:r>
      <w:r w:rsidRPr="0018578C">
        <w:rPr>
          <w:noProof/>
        </w:rPr>
        <w:tab/>
        <w:t>all'articolo 90, paragrafo 2, è aggiunto il comma seguente:</w:t>
      </w:r>
    </w:p>
    <w:p w14:paraId="49E9DA99" w14:textId="77777777" w:rsidR="00DA3892" w:rsidRPr="0018578C" w:rsidRDefault="00DA3892" w:rsidP="00DA3892">
      <w:pPr>
        <w:pStyle w:val="Text1"/>
        <w:ind w:left="851" w:hanging="131"/>
        <w:rPr>
          <w:noProof/>
        </w:rPr>
      </w:pPr>
      <w:r w:rsidRPr="0018578C">
        <w:rPr>
          <w:noProof/>
        </w:rPr>
        <w:t>"Un prefinanziamento supplementare dello 0,5 % è versato nel 2022 immediatamente dopo l'entrata in vigore del presente regolamento e nel 2023 è versato un prefinanziamento supplementare dello 0,5 % per i programmi sostenuti dal FESR, dal FSE + o dal Fondo di coesione nell'ambito dell'obiettivo "Investimenti a favore dell'occupazione e della crescita". Se un programma è adottato dopo il 31 dicembre 2022, la rata per il 2022 è versata nell'anno di adozione.";</w:t>
      </w:r>
    </w:p>
    <w:p w14:paraId="2B73F7C6" w14:textId="77777777" w:rsidR="00B832CB" w:rsidRPr="0018578C" w:rsidRDefault="004700C1" w:rsidP="00DA3892">
      <w:pPr>
        <w:pStyle w:val="Point0"/>
        <w:rPr>
          <w:noProof/>
        </w:rPr>
      </w:pPr>
      <w:r w:rsidRPr="0018578C">
        <w:rPr>
          <w:noProof/>
        </w:rPr>
        <w:t>2)</w:t>
      </w:r>
      <w:r w:rsidRPr="0018578C">
        <w:rPr>
          <w:noProof/>
        </w:rPr>
        <w:tab/>
        <w:t xml:space="preserve">all'articolo 90, paragrafo 5, il primo comma è sostituito dal seguente: </w:t>
      </w:r>
    </w:p>
    <w:p w14:paraId="1AF538C1" w14:textId="77777777" w:rsidR="00B832CB" w:rsidRPr="0018578C" w:rsidRDefault="00B832CB" w:rsidP="00301AC6">
      <w:pPr>
        <w:pStyle w:val="Text1"/>
        <w:ind w:left="851"/>
        <w:rPr>
          <w:noProof/>
        </w:rPr>
      </w:pPr>
      <w:r w:rsidRPr="0018578C">
        <w:rPr>
          <w:noProof/>
        </w:rPr>
        <w:t>"5. La Commissione effettua la liquidazione contabile dell'importo versato a titolo di prefinanziamento ogni anno per il 2021 e il 2022, ad eccezione del prefinanziamento supplementare di cui al paragrafo 2, ultimo comma. La Commissione effettua la liquidazione contabile di tutti gli altri importi versati a titolo di prefinanziamento non oltre il periodo contabile finale a norma dell'articolo 100.";</w:t>
      </w:r>
    </w:p>
    <w:p w14:paraId="4C8F0513" w14:textId="77777777" w:rsidR="00215403" w:rsidRPr="0018578C" w:rsidRDefault="00B832CB" w:rsidP="00DA3892">
      <w:pPr>
        <w:pStyle w:val="Point0"/>
        <w:rPr>
          <w:noProof/>
        </w:rPr>
      </w:pPr>
      <w:r w:rsidRPr="0018578C">
        <w:rPr>
          <w:noProof/>
        </w:rPr>
        <w:t>3)</w:t>
      </w:r>
      <w:r w:rsidRPr="0018578C">
        <w:rPr>
          <w:noProof/>
        </w:rPr>
        <w:tab/>
        <w:t xml:space="preserve">all'articolo 112 è aggiunto il paragrafo seguente: </w:t>
      </w:r>
    </w:p>
    <w:p w14:paraId="25C29640" w14:textId="624FEABB" w:rsidR="00DA3892" w:rsidRPr="0018578C" w:rsidRDefault="00215403" w:rsidP="00215403">
      <w:pPr>
        <w:pStyle w:val="Text1"/>
        <w:ind w:left="851"/>
        <w:rPr>
          <w:noProof/>
        </w:rPr>
      </w:pPr>
      <w:r w:rsidRPr="0018578C">
        <w:rPr>
          <w:noProof/>
        </w:rPr>
        <w:t xml:space="preserve">"7. Qualora nell'ambito di un programma venga stabilita una priorità distinta a sostegno di operazioni volte a promuovere l'integrazione socioeconomica dei cittadini di paesi terzi, è applicato un tasso di cofinanziamento fino al 100 % alle spese dichiarate nelle domande di pagamento sino alla fine del periodo contabile che termina il 30 giugno 2024. Dopo tale data si applica il tasso di cofinanziamento indicato nel programma conformemente ai tassi massimi di cofinanziamento di cui ai paragrafi 3 e 4. </w:t>
      </w:r>
    </w:p>
    <w:p w14:paraId="350AE1C1" w14:textId="77777777" w:rsidR="003535D8" w:rsidRPr="0018578C" w:rsidRDefault="003535D8" w:rsidP="003535D8">
      <w:pPr>
        <w:pStyle w:val="Text1"/>
        <w:ind w:left="851"/>
        <w:rPr>
          <w:noProof/>
        </w:rPr>
      </w:pPr>
      <w:r w:rsidRPr="0018578C">
        <w:rPr>
          <w:noProof/>
        </w:rPr>
        <w:t xml:space="preserve">L'importo totale programmato nell'ambito di tali priorità in uno Stato membro non supera il 5 % della dotazione nazionale iniziale a titolo del FESR e del FSE + combinati. </w:t>
      </w:r>
    </w:p>
    <w:p w14:paraId="7D836E0B" w14:textId="77777777" w:rsidR="00DA3892" w:rsidRPr="0018578C" w:rsidRDefault="00DA3892" w:rsidP="00151187">
      <w:pPr>
        <w:pStyle w:val="Text1"/>
        <w:ind w:left="851"/>
        <w:rPr>
          <w:noProof/>
        </w:rPr>
      </w:pPr>
      <w:r w:rsidRPr="0018578C">
        <w:rPr>
          <w:noProof/>
        </w:rPr>
        <w:t>La Commissione riesamina il tasso di cofinanziamento entro il 30 giugno 2024.</w:t>
      </w:r>
    </w:p>
    <w:p w14:paraId="3621A065" w14:textId="4BCDB76C" w:rsidR="00DA3892" w:rsidRPr="0018578C" w:rsidRDefault="001B084D" w:rsidP="00DA3892">
      <w:pPr>
        <w:pStyle w:val="Text1"/>
        <w:ind w:left="851"/>
        <w:rPr>
          <w:noProof/>
        </w:rPr>
      </w:pPr>
      <w:r w:rsidRPr="0018578C">
        <w:rPr>
          <w:noProof/>
        </w:rPr>
        <w:t>Almeno il 30 % della dotazione finanziaria di tale priorità distinta è attribuito a operazioni i cui beneficiari sono autorità locali e organizzazioni della società civile che operano in comunità locali. Gli Stati membri riferiscono in merito al rispetto di tale condizione nella relazione finale in materia di performance di cui all'articolo 43. Se tale condizione non è soddisfatta, il rimborso da parte della Commissione nell'ambito della priorità in questione è ridotto proporzionalmente per garantire che tale condizione sia rispettata nel calcolo del saldo finale da versare al programma.";</w:t>
      </w:r>
    </w:p>
    <w:p w14:paraId="43131B08" w14:textId="77777777" w:rsidR="00C520AE" w:rsidRPr="0018578C" w:rsidRDefault="00215403" w:rsidP="003E0E5F">
      <w:pPr>
        <w:pStyle w:val="Point0"/>
        <w:rPr>
          <w:noProof/>
        </w:rPr>
      </w:pPr>
      <w:r w:rsidRPr="0018578C">
        <w:rPr>
          <w:noProof/>
        </w:rPr>
        <w:t>4)</w:t>
      </w:r>
      <w:r w:rsidRPr="0018578C">
        <w:rPr>
          <w:noProof/>
        </w:rPr>
        <w:tab/>
        <w:t xml:space="preserve">è inserito il seguente articolo 118 bis: </w:t>
      </w:r>
    </w:p>
    <w:p w14:paraId="4F00E1AA" w14:textId="77777777" w:rsidR="00C520AE" w:rsidRPr="0018578C" w:rsidRDefault="00C520AE" w:rsidP="003E0E5F">
      <w:pPr>
        <w:pStyle w:val="Text1"/>
        <w:jc w:val="center"/>
        <w:rPr>
          <w:noProof/>
        </w:rPr>
      </w:pPr>
      <w:r w:rsidRPr="0018578C">
        <w:rPr>
          <w:noProof/>
        </w:rPr>
        <w:t>"</w:t>
      </w:r>
      <w:r w:rsidRPr="0018578C">
        <w:rPr>
          <w:i/>
          <w:noProof/>
        </w:rPr>
        <w:t>Articolo 118 bis</w:t>
      </w:r>
    </w:p>
    <w:p w14:paraId="6FDE15D7" w14:textId="77777777" w:rsidR="00C520AE" w:rsidRPr="0018578C" w:rsidRDefault="00C520AE" w:rsidP="00136CB4">
      <w:pPr>
        <w:pStyle w:val="Text1"/>
        <w:rPr>
          <w:b/>
          <w:noProof/>
        </w:rPr>
      </w:pPr>
      <w:r w:rsidRPr="0018578C">
        <w:rPr>
          <w:b/>
          <w:noProof/>
        </w:rPr>
        <w:t>Condizioni delle operazioni soggette a esecuzione scaglionata selezionate per il sostegno prima del 29 giugno 2022 a norma del regolamento (UE) n. 1303/2013</w:t>
      </w:r>
    </w:p>
    <w:p w14:paraId="35F8C634" w14:textId="77777777" w:rsidR="00104D2B" w:rsidRPr="0018578C" w:rsidRDefault="00A822E1" w:rsidP="00136CB4">
      <w:pPr>
        <w:pStyle w:val="Text1"/>
        <w:rPr>
          <w:noProof/>
        </w:rPr>
      </w:pPr>
      <w:r w:rsidRPr="0018578C">
        <w:rPr>
          <w:noProof/>
        </w:rPr>
        <w:t>1. In deroga all'articolo 118, un'operazione con un costo totale superiore a 1 000 000 EUR selezionata per ricevere sostegno e avviata prima del 29 giugno 2022 a norma del regolamento (UE) n. 1303/2013 e dei regolamenti, specifici dei fondi, del Parlamento europeo e del Consiglio (UE) n. 1301/2013</w:t>
      </w:r>
      <w:r w:rsidRPr="0018578C">
        <w:rPr>
          <w:rStyle w:val="FootnoteReference"/>
          <w:noProof/>
        </w:rPr>
        <w:footnoteReference w:id="15"/>
      </w:r>
      <w:r w:rsidRPr="0018578C">
        <w:rPr>
          <w:noProof/>
        </w:rPr>
        <w:t>, (UE) n. 1304/2013</w:t>
      </w:r>
      <w:r w:rsidRPr="0018578C">
        <w:rPr>
          <w:rStyle w:val="FootnoteReference"/>
          <w:noProof/>
        </w:rPr>
        <w:footnoteReference w:id="16"/>
      </w:r>
      <w:r w:rsidRPr="0018578C">
        <w:rPr>
          <w:noProof/>
        </w:rPr>
        <w:t>, (UE) n. 1300/2013</w:t>
      </w:r>
      <w:r w:rsidRPr="0018578C">
        <w:rPr>
          <w:rStyle w:val="FootnoteReference"/>
          <w:noProof/>
        </w:rPr>
        <w:footnoteReference w:id="17"/>
      </w:r>
      <w:r w:rsidRPr="0018578C">
        <w:rPr>
          <w:noProof/>
        </w:rPr>
        <w:t>, (UE) n. 1299/2013</w:t>
      </w:r>
      <w:r w:rsidRPr="0018578C">
        <w:rPr>
          <w:rStyle w:val="FootnoteReference"/>
          <w:noProof/>
        </w:rPr>
        <w:footnoteReference w:id="18"/>
      </w:r>
      <w:r w:rsidRPr="0018578C">
        <w:rPr>
          <w:noProof/>
        </w:rPr>
        <w:t xml:space="preserve"> e (UE) n. 2014/508</w:t>
      </w:r>
      <w:r w:rsidRPr="0018578C">
        <w:rPr>
          <w:rStyle w:val="FootnoteReference"/>
          <w:noProof/>
        </w:rPr>
        <w:footnoteReference w:id="19"/>
      </w:r>
      <w:r w:rsidRPr="0018578C">
        <w:rPr>
          <w:noProof/>
        </w:rPr>
        <w:t xml:space="preserve"> è considerata ammissibile al sostegno a norma del presente regolamento e dei corrispondenti regolamenti specifici di ciascun fondo nel periodo di programmazione 2021-2027. </w:t>
      </w:r>
    </w:p>
    <w:p w14:paraId="23D87E5A" w14:textId="77777777" w:rsidR="004C6D45" w:rsidRPr="0018578C" w:rsidRDefault="009A7051" w:rsidP="00136CB4">
      <w:pPr>
        <w:pStyle w:val="Text1"/>
        <w:rPr>
          <w:noProof/>
        </w:rPr>
      </w:pPr>
      <w:r w:rsidRPr="0018578C">
        <w:rPr>
          <w:noProof/>
        </w:rPr>
        <w:t xml:space="preserve">In deroga all'articolo 73, paragrafi 1 e 2, l'autorità di gestione può decidere di concedere direttamente un sostegno a tale operazione a norma del presente regolamento, purché siano soddisfatte le condizioni seguenti: </w:t>
      </w:r>
    </w:p>
    <w:p w14:paraId="437404C8" w14:textId="77777777" w:rsidR="00616AEC" w:rsidRPr="0018578C" w:rsidRDefault="00136CB4" w:rsidP="00136CB4">
      <w:pPr>
        <w:pStyle w:val="Point1"/>
        <w:rPr>
          <w:noProof/>
        </w:rPr>
      </w:pPr>
      <w:r w:rsidRPr="0018578C">
        <w:rPr>
          <w:noProof/>
        </w:rPr>
        <w:t>a)</w:t>
      </w:r>
      <w:r w:rsidRPr="0018578C">
        <w:rPr>
          <w:noProof/>
        </w:rPr>
        <w:tab/>
        <w:t>l'operazione presenta due fasi distinguibili sotto l'aspetto finanziario, e piste di controllo distinte;</w:t>
      </w:r>
    </w:p>
    <w:p w14:paraId="54E84E70" w14:textId="77777777" w:rsidR="004C6D45" w:rsidRPr="0018578C" w:rsidRDefault="00136CB4" w:rsidP="00136CB4">
      <w:pPr>
        <w:pStyle w:val="Point1"/>
        <w:rPr>
          <w:noProof/>
        </w:rPr>
      </w:pPr>
      <w:r w:rsidRPr="0018578C">
        <w:rPr>
          <w:noProof/>
        </w:rPr>
        <w:t>b)</w:t>
      </w:r>
      <w:r w:rsidRPr="0018578C">
        <w:rPr>
          <w:noProof/>
        </w:rPr>
        <w:tab/>
        <w:t xml:space="preserve">l'operazione rientra tra le azioni programmate nell'ambito di un particolare obiettivo specifico ed è attribuita a un tipo di intervento conformemente all'allegato I; </w:t>
      </w:r>
    </w:p>
    <w:p w14:paraId="6F15FA19" w14:textId="77777777" w:rsidR="00C520AE" w:rsidRPr="0018578C" w:rsidRDefault="00136CB4" w:rsidP="00136CB4">
      <w:pPr>
        <w:pStyle w:val="Point1"/>
        <w:rPr>
          <w:noProof/>
        </w:rPr>
      </w:pPr>
      <w:r w:rsidRPr="0018578C">
        <w:rPr>
          <w:noProof/>
        </w:rPr>
        <w:t>c)</w:t>
      </w:r>
      <w:r w:rsidRPr="0018578C">
        <w:rPr>
          <w:noProof/>
        </w:rPr>
        <w:tab/>
        <w:t xml:space="preserve">le spese incluse in una domanda di pagamento relativa alla prima fase non sono incluse in nessuna domanda di pagamento riguardante la seconda fase; </w:t>
      </w:r>
    </w:p>
    <w:p w14:paraId="39288200" w14:textId="77777777" w:rsidR="004C19FB" w:rsidRPr="0018578C" w:rsidRDefault="00136CB4" w:rsidP="00136CB4">
      <w:pPr>
        <w:pStyle w:val="Point1"/>
        <w:rPr>
          <w:noProof/>
        </w:rPr>
      </w:pPr>
      <w:r w:rsidRPr="0018578C">
        <w:rPr>
          <w:noProof/>
        </w:rPr>
        <w:t>d)</w:t>
      </w:r>
      <w:r w:rsidRPr="0018578C">
        <w:rPr>
          <w:noProof/>
        </w:rPr>
        <w:tab/>
        <w:t>lo Stato membro si impegna a completare durante il periodo di programmazione e a rendere operativa la seconda fase finale nella relazione finale di attuazione, o nel contesto del Fondo europeo per gli affari marittimi e la pesca nell'ultima relazione di attuazione annuale, presentata in conformità dell'articolo 141 del regolamento (UE) n. 1303/2013.</w:t>
      </w:r>
    </w:p>
    <w:p w14:paraId="621009A6" w14:textId="77777777" w:rsidR="00A822E1" w:rsidRPr="0018578C" w:rsidRDefault="00A822E1" w:rsidP="00A822E1">
      <w:pPr>
        <w:pStyle w:val="Text1"/>
        <w:rPr>
          <w:noProof/>
        </w:rPr>
      </w:pPr>
      <w:r w:rsidRPr="0018578C">
        <w:rPr>
          <w:noProof/>
        </w:rPr>
        <w:t>2. Il presente articolo non si applica alle operazioni volte a far fronte alle sfide migratorie conseguenti all'aggressione militare da parte della Federazione russa, sostenute avvalendosi della possibilità di cui all'articolo 98, paragrafo 4, primo e secondo comma, del regolamento (UE) n. 1303/2013.";</w:t>
      </w:r>
    </w:p>
    <w:p w14:paraId="1C4F025E" w14:textId="77777777" w:rsidR="003261E3" w:rsidRPr="0018578C" w:rsidRDefault="00215403" w:rsidP="003E0E5F">
      <w:pPr>
        <w:pStyle w:val="Point0"/>
        <w:rPr>
          <w:noProof/>
        </w:rPr>
      </w:pPr>
      <w:r w:rsidRPr="0018578C">
        <w:rPr>
          <w:noProof/>
        </w:rPr>
        <w:t>5)</w:t>
      </w:r>
      <w:r w:rsidRPr="0018578C">
        <w:rPr>
          <w:noProof/>
        </w:rPr>
        <w:tab/>
        <w:t>nell'allegato I sono aggiunte, alla fine della tabella 1, le righe seguenti:</w:t>
      </w:r>
    </w:p>
    <w:p w14:paraId="1E1A9A8E" w14:textId="77777777" w:rsidR="002463FA" w:rsidRPr="0018578C" w:rsidRDefault="0011607E" w:rsidP="00F37942">
      <w:pPr>
        <w:shd w:val="clear" w:color="auto" w:fill="FFFFFF"/>
        <w:spacing w:after="0" w:line="312" w:lineRule="atLeast"/>
        <w:rPr>
          <w:noProof/>
        </w:rPr>
      </w:pPr>
      <w:r w:rsidRPr="0018578C">
        <w:rPr>
          <w:noProof/>
        </w:rPr>
        <w:t>"</w:t>
      </w:r>
    </w:p>
    <w:tbl>
      <w:tblPr>
        <w:tblW w:w="0" w:type="auto"/>
        <w:tblCellMar>
          <w:left w:w="0" w:type="dxa"/>
          <w:right w:w="0" w:type="dxa"/>
        </w:tblCellMar>
        <w:tblLook w:val="04A0" w:firstRow="1" w:lastRow="0" w:firstColumn="1" w:lastColumn="0" w:noHBand="0" w:noVBand="1"/>
      </w:tblPr>
      <w:tblGrid>
        <w:gridCol w:w="576"/>
        <w:gridCol w:w="5196"/>
        <w:gridCol w:w="1829"/>
        <w:gridCol w:w="1688"/>
      </w:tblGrid>
      <w:tr w:rsidR="002463FA" w:rsidRPr="0018578C" w14:paraId="0F33731C" w14:textId="77777777" w:rsidTr="00B11792">
        <w:tc>
          <w:tcPr>
            <w:tcW w:w="577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A7FB38" w14:textId="77777777" w:rsidR="002463FA" w:rsidRPr="0018578C" w:rsidRDefault="002463FA" w:rsidP="002463FA">
            <w:pPr>
              <w:shd w:val="clear" w:color="auto" w:fill="FFFFFF"/>
              <w:spacing w:before="0" w:after="0"/>
              <w:jc w:val="center"/>
              <w:rPr>
                <w:noProof/>
              </w:rPr>
            </w:pPr>
            <w:r w:rsidRPr="0018578C">
              <w:rPr>
                <w:noProof/>
              </w:rPr>
              <w:t>SETTORE DI INTERVENTO</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5D980B" w14:textId="77777777" w:rsidR="002463FA" w:rsidRPr="0018578C" w:rsidRDefault="002463FA" w:rsidP="002463FA">
            <w:pPr>
              <w:shd w:val="clear" w:color="auto" w:fill="FFFFFF"/>
              <w:spacing w:before="0" w:after="0"/>
              <w:jc w:val="center"/>
              <w:rPr>
                <w:noProof/>
              </w:rPr>
            </w:pPr>
            <w:r w:rsidRPr="0018578C">
              <w:rPr>
                <w:noProof/>
              </w:rPr>
              <w:t>Coefficiente per il calcolo del sostegno agli obiettivi riguardanti i cambiamenti climatici</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9EABDA" w14:textId="77777777" w:rsidR="002463FA" w:rsidRPr="0018578C" w:rsidRDefault="002463FA" w:rsidP="002463FA">
            <w:pPr>
              <w:shd w:val="clear" w:color="auto" w:fill="FFFFFF"/>
              <w:spacing w:before="0" w:after="0"/>
              <w:jc w:val="center"/>
              <w:rPr>
                <w:noProof/>
              </w:rPr>
            </w:pPr>
            <w:r w:rsidRPr="0018578C">
              <w:rPr>
                <w:noProof/>
              </w:rPr>
              <w:t>Coefficiente per il calcolo del sostegno agli obiettivi riguardanti l'ambiente</w:t>
            </w:r>
          </w:p>
        </w:tc>
      </w:tr>
      <w:tr w:rsidR="002463FA" w:rsidRPr="0018578C" w14:paraId="2B95E257" w14:textId="77777777" w:rsidTr="002463FA">
        <w:tc>
          <w:tcPr>
            <w:tcW w:w="928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D3B364" w14:textId="77777777" w:rsidR="002463FA" w:rsidRPr="0018578C" w:rsidRDefault="002463FA" w:rsidP="002463FA">
            <w:pPr>
              <w:shd w:val="clear" w:color="auto" w:fill="FFFFFF"/>
              <w:spacing w:before="0" w:after="0"/>
              <w:rPr>
                <w:noProof/>
              </w:rPr>
            </w:pPr>
            <w:r w:rsidRPr="0018578C">
              <w:rPr>
                <w:noProof/>
              </w:rPr>
              <w:t>Altri codici relativi alle operazioni soggette ad esecuzione scaglionata a norma dell'articolo 118 bis</w:t>
            </w:r>
          </w:p>
        </w:tc>
      </w:tr>
      <w:tr w:rsidR="002463FA" w:rsidRPr="0018578C" w14:paraId="074F525D"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8E35F" w14:textId="77777777" w:rsidR="002463FA" w:rsidRPr="0018578C" w:rsidRDefault="002463FA" w:rsidP="002463FA">
            <w:pPr>
              <w:shd w:val="clear" w:color="auto" w:fill="FFFFFF"/>
              <w:spacing w:before="0" w:after="0"/>
              <w:rPr>
                <w:noProof/>
              </w:rPr>
            </w:pPr>
            <w:r w:rsidRPr="0018578C">
              <w:rPr>
                <w:noProof/>
              </w:rPr>
              <w:t>183</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45D77D17" w14:textId="77777777" w:rsidR="002463FA" w:rsidRPr="0018578C" w:rsidRDefault="002463FA" w:rsidP="002463FA">
            <w:pPr>
              <w:shd w:val="clear" w:color="auto" w:fill="FFFFFF"/>
              <w:spacing w:before="0" w:after="0"/>
              <w:rPr>
                <w:noProof/>
              </w:rPr>
            </w:pPr>
            <w:r w:rsidRPr="0018578C">
              <w:rPr>
                <w:noProof/>
              </w:rPr>
              <w:t>Gestione dei rifiuti domestici: discarica</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76E6C36E" w14:textId="77777777" w:rsidR="002463FA" w:rsidRPr="0018578C" w:rsidRDefault="002463FA" w:rsidP="002463FA">
            <w:pPr>
              <w:shd w:val="clear" w:color="auto" w:fill="FFFFFF"/>
              <w:spacing w:before="0" w:after="0"/>
              <w:rPr>
                <w:noProof/>
              </w:rPr>
            </w:pPr>
            <w:r w:rsidRPr="0018578C">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DE43844" w14:textId="77777777" w:rsidR="002463FA" w:rsidRPr="0018578C" w:rsidRDefault="002463FA" w:rsidP="002463FA">
            <w:pPr>
              <w:shd w:val="clear" w:color="auto" w:fill="FFFFFF"/>
              <w:spacing w:before="0" w:after="0"/>
              <w:rPr>
                <w:noProof/>
              </w:rPr>
            </w:pPr>
            <w:r w:rsidRPr="0018578C">
              <w:rPr>
                <w:noProof/>
              </w:rPr>
              <w:t>100 %</w:t>
            </w:r>
          </w:p>
        </w:tc>
      </w:tr>
      <w:tr w:rsidR="002463FA" w:rsidRPr="0018578C" w14:paraId="1D69CFF9"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75C1B" w14:textId="77777777" w:rsidR="002463FA" w:rsidRPr="0018578C" w:rsidRDefault="002463FA" w:rsidP="002463FA">
            <w:pPr>
              <w:shd w:val="clear" w:color="auto" w:fill="FFFFFF"/>
              <w:spacing w:before="0" w:after="0"/>
              <w:rPr>
                <w:noProof/>
              </w:rPr>
            </w:pPr>
            <w:r w:rsidRPr="0018578C">
              <w:rPr>
                <w:noProof/>
              </w:rPr>
              <w:t>184</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603532A0" w14:textId="77777777" w:rsidR="002463FA" w:rsidRPr="0018578C" w:rsidRDefault="002463FA" w:rsidP="002463FA">
            <w:pPr>
              <w:shd w:val="clear" w:color="auto" w:fill="FFFFFF"/>
              <w:spacing w:before="0" w:after="0"/>
              <w:rPr>
                <w:noProof/>
              </w:rPr>
            </w:pPr>
            <w:r w:rsidRPr="0018578C">
              <w:rPr>
                <w:noProof/>
              </w:rPr>
              <w:t>Stoccaggio e trasmissione di energia elettrica</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E41484" w14:textId="77777777" w:rsidR="002463FA" w:rsidRPr="0018578C" w:rsidRDefault="002463FA" w:rsidP="002463FA">
            <w:pPr>
              <w:shd w:val="clear" w:color="auto" w:fill="FFFFFF"/>
              <w:spacing w:before="0" w:after="0"/>
              <w:rPr>
                <w:noProof/>
              </w:rPr>
            </w:pPr>
            <w:r w:rsidRPr="0018578C">
              <w:rPr>
                <w:noProof/>
              </w:rPr>
              <w:t>100 %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0FF3F77A" w14:textId="77777777" w:rsidR="002463FA" w:rsidRPr="0018578C" w:rsidRDefault="002463FA" w:rsidP="002463FA">
            <w:pPr>
              <w:shd w:val="clear" w:color="auto" w:fill="FFFFFF"/>
              <w:spacing w:before="0" w:after="0"/>
              <w:rPr>
                <w:noProof/>
              </w:rPr>
            </w:pPr>
            <w:r w:rsidRPr="0018578C">
              <w:rPr>
                <w:noProof/>
              </w:rPr>
              <w:t>40 %</w:t>
            </w:r>
          </w:p>
        </w:tc>
      </w:tr>
      <w:tr w:rsidR="002463FA" w:rsidRPr="0018578C" w14:paraId="399E3A52" w14:textId="77777777" w:rsidTr="002463FA">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5653" w14:textId="77777777" w:rsidR="002463FA" w:rsidRPr="0018578C" w:rsidRDefault="002463FA" w:rsidP="002463FA">
            <w:pPr>
              <w:shd w:val="clear" w:color="auto" w:fill="FFFFFF"/>
              <w:spacing w:before="0" w:after="0"/>
              <w:rPr>
                <w:noProof/>
              </w:rPr>
            </w:pPr>
            <w:r w:rsidRPr="0018578C">
              <w:rPr>
                <w:noProof/>
              </w:rPr>
              <w:t>185</w:t>
            </w:r>
          </w:p>
        </w:tc>
        <w:tc>
          <w:tcPr>
            <w:tcW w:w="5196" w:type="dxa"/>
            <w:tcBorders>
              <w:top w:val="nil"/>
              <w:left w:val="nil"/>
              <w:bottom w:val="single" w:sz="8" w:space="0" w:color="auto"/>
              <w:right w:val="single" w:sz="8" w:space="0" w:color="auto"/>
            </w:tcBorders>
            <w:tcMar>
              <w:top w:w="0" w:type="dxa"/>
              <w:left w:w="108" w:type="dxa"/>
              <w:bottom w:w="0" w:type="dxa"/>
              <w:right w:w="108" w:type="dxa"/>
            </w:tcMar>
            <w:hideMark/>
          </w:tcPr>
          <w:p w14:paraId="1468AA50" w14:textId="77777777" w:rsidR="002463FA" w:rsidRPr="0018578C" w:rsidRDefault="002463FA" w:rsidP="002463FA">
            <w:pPr>
              <w:shd w:val="clear" w:color="auto" w:fill="FFFFFF"/>
              <w:spacing w:before="0" w:after="0"/>
              <w:rPr>
                <w:noProof/>
              </w:rPr>
            </w:pPr>
            <w:r w:rsidRPr="0018578C">
              <w:rPr>
                <w:noProof/>
              </w:rPr>
              <w:t>Gas naturale: stoccaggio, trasmissione e distribuzione</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14:paraId="0E5A71CB" w14:textId="77777777" w:rsidR="002463FA" w:rsidRPr="0018578C" w:rsidRDefault="002463FA" w:rsidP="002463FA">
            <w:pPr>
              <w:shd w:val="clear" w:color="auto" w:fill="FFFFFF"/>
              <w:spacing w:before="0" w:after="0"/>
              <w:rPr>
                <w:noProof/>
              </w:rPr>
            </w:pPr>
            <w:r w:rsidRPr="0018578C">
              <w:rPr>
                <w:noProof/>
              </w:rPr>
              <w:t>0 %</w:t>
            </w:r>
          </w:p>
        </w:tc>
        <w:tc>
          <w:tcPr>
            <w:tcW w:w="1688" w:type="dxa"/>
            <w:tcBorders>
              <w:top w:val="nil"/>
              <w:left w:val="nil"/>
              <w:bottom w:val="single" w:sz="8" w:space="0" w:color="auto"/>
              <w:right w:val="single" w:sz="8" w:space="0" w:color="auto"/>
            </w:tcBorders>
            <w:tcMar>
              <w:top w:w="0" w:type="dxa"/>
              <w:left w:w="108" w:type="dxa"/>
              <w:bottom w:w="0" w:type="dxa"/>
              <w:right w:w="108" w:type="dxa"/>
            </w:tcMar>
            <w:hideMark/>
          </w:tcPr>
          <w:p w14:paraId="3ECC2B19" w14:textId="77777777" w:rsidR="002463FA" w:rsidRPr="0018578C" w:rsidRDefault="002463FA" w:rsidP="002463FA">
            <w:pPr>
              <w:shd w:val="clear" w:color="auto" w:fill="FFFFFF"/>
              <w:spacing w:before="0" w:after="0"/>
              <w:rPr>
                <w:noProof/>
              </w:rPr>
            </w:pPr>
            <w:r w:rsidRPr="0018578C">
              <w:rPr>
                <w:noProof/>
              </w:rPr>
              <w:t>0 %</w:t>
            </w:r>
          </w:p>
        </w:tc>
      </w:tr>
      <w:tr w:rsidR="002463FA" w:rsidRPr="0018578C" w14:paraId="611775E1" w14:textId="77777777" w:rsidTr="008872C1">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302646" w14:textId="77777777" w:rsidR="002463FA" w:rsidRPr="0018578C" w:rsidRDefault="002463FA" w:rsidP="002463FA">
            <w:pPr>
              <w:shd w:val="clear" w:color="auto" w:fill="FFFFFF"/>
              <w:spacing w:before="0" w:after="0"/>
              <w:rPr>
                <w:noProof/>
              </w:rPr>
            </w:pPr>
            <w:r w:rsidRPr="0018578C">
              <w:rPr>
                <w:noProof/>
              </w:rPr>
              <w:t>186</w:t>
            </w:r>
          </w:p>
        </w:tc>
        <w:tc>
          <w:tcPr>
            <w:tcW w:w="5196" w:type="dxa"/>
            <w:tcBorders>
              <w:top w:val="nil"/>
              <w:left w:val="nil"/>
              <w:bottom w:val="single" w:sz="4" w:space="0" w:color="auto"/>
              <w:right w:val="single" w:sz="8" w:space="0" w:color="auto"/>
            </w:tcBorders>
            <w:tcMar>
              <w:top w:w="0" w:type="dxa"/>
              <w:left w:w="108" w:type="dxa"/>
              <w:bottom w:w="0" w:type="dxa"/>
              <w:right w:w="108" w:type="dxa"/>
            </w:tcMar>
            <w:hideMark/>
          </w:tcPr>
          <w:p w14:paraId="0038EDAD" w14:textId="77777777" w:rsidR="002463FA" w:rsidRPr="0018578C" w:rsidRDefault="002463FA" w:rsidP="002463FA">
            <w:pPr>
              <w:shd w:val="clear" w:color="auto" w:fill="FFFFFF"/>
              <w:spacing w:before="0" w:after="0"/>
              <w:rPr>
                <w:noProof/>
              </w:rPr>
            </w:pPr>
            <w:r w:rsidRPr="0018578C">
              <w:rPr>
                <w:noProof/>
              </w:rPr>
              <w:t>Aeroporti</w:t>
            </w:r>
          </w:p>
        </w:tc>
        <w:tc>
          <w:tcPr>
            <w:tcW w:w="1829" w:type="dxa"/>
            <w:tcBorders>
              <w:top w:val="nil"/>
              <w:left w:val="nil"/>
              <w:bottom w:val="single" w:sz="4" w:space="0" w:color="auto"/>
              <w:right w:val="single" w:sz="8" w:space="0" w:color="auto"/>
            </w:tcBorders>
            <w:tcMar>
              <w:top w:w="0" w:type="dxa"/>
              <w:left w:w="108" w:type="dxa"/>
              <w:bottom w:w="0" w:type="dxa"/>
              <w:right w:w="108" w:type="dxa"/>
            </w:tcMar>
            <w:hideMark/>
          </w:tcPr>
          <w:p w14:paraId="2302B9B3" w14:textId="77777777" w:rsidR="002463FA" w:rsidRPr="0018578C" w:rsidRDefault="002463FA" w:rsidP="002463FA">
            <w:pPr>
              <w:shd w:val="clear" w:color="auto" w:fill="FFFFFF"/>
              <w:spacing w:before="0" w:after="0"/>
              <w:rPr>
                <w:noProof/>
              </w:rPr>
            </w:pPr>
            <w:r w:rsidRPr="0018578C">
              <w:rPr>
                <w:noProof/>
              </w:rPr>
              <w:t>0 %</w:t>
            </w:r>
          </w:p>
        </w:tc>
        <w:tc>
          <w:tcPr>
            <w:tcW w:w="1688" w:type="dxa"/>
            <w:tcBorders>
              <w:top w:val="nil"/>
              <w:left w:val="nil"/>
              <w:bottom w:val="single" w:sz="4" w:space="0" w:color="auto"/>
              <w:right w:val="single" w:sz="8" w:space="0" w:color="auto"/>
            </w:tcBorders>
            <w:tcMar>
              <w:top w:w="0" w:type="dxa"/>
              <w:left w:w="108" w:type="dxa"/>
              <w:bottom w:w="0" w:type="dxa"/>
              <w:right w:w="108" w:type="dxa"/>
            </w:tcMar>
            <w:hideMark/>
          </w:tcPr>
          <w:p w14:paraId="3A9AD62E" w14:textId="77777777" w:rsidR="002463FA" w:rsidRPr="0018578C" w:rsidRDefault="002463FA" w:rsidP="002463FA">
            <w:pPr>
              <w:shd w:val="clear" w:color="auto" w:fill="FFFFFF"/>
              <w:spacing w:before="0" w:after="0"/>
              <w:rPr>
                <w:noProof/>
              </w:rPr>
            </w:pPr>
            <w:r w:rsidRPr="0018578C">
              <w:rPr>
                <w:noProof/>
              </w:rPr>
              <w:t>0 %</w:t>
            </w:r>
          </w:p>
        </w:tc>
      </w:tr>
      <w:tr w:rsidR="008872C1" w:rsidRPr="0018578C" w14:paraId="48DA8CDE" w14:textId="77777777" w:rsidTr="008872C1">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122A67" w14:textId="77777777" w:rsidR="008872C1" w:rsidRPr="0018578C" w:rsidRDefault="008872C1" w:rsidP="002463FA">
            <w:pPr>
              <w:shd w:val="clear" w:color="auto" w:fill="FFFFFF"/>
              <w:spacing w:before="0" w:after="0"/>
              <w:rPr>
                <w:noProof/>
              </w:rPr>
            </w:pPr>
            <w:r w:rsidRPr="0018578C">
              <w:rPr>
                <w:noProof/>
              </w:rPr>
              <w:t>187</w:t>
            </w:r>
          </w:p>
        </w:tc>
        <w:tc>
          <w:tcPr>
            <w:tcW w:w="51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F1A050" w14:textId="77777777" w:rsidR="008872C1" w:rsidRPr="0018578C" w:rsidRDefault="008872C1" w:rsidP="002463FA">
            <w:pPr>
              <w:shd w:val="clear" w:color="auto" w:fill="FFFFFF"/>
              <w:spacing w:before="0" w:after="0"/>
              <w:rPr>
                <w:noProof/>
              </w:rPr>
            </w:pPr>
            <w:r w:rsidRPr="0018578C">
              <w:rPr>
                <w:noProof/>
              </w:rPr>
              <w:t>Investimenti produttivi nelle grandi imprese collegati a un'economia a basse emissioni di carbonio</w:t>
            </w:r>
          </w:p>
        </w:tc>
        <w:tc>
          <w:tcPr>
            <w:tcW w:w="182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9FF04F" w14:textId="77777777" w:rsidR="008872C1" w:rsidRPr="0018578C" w:rsidRDefault="00F36813" w:rsidP="002463FA">
            <w:pPr>
              <w:shd w:val="clear" w:color="auto" w:fill="FFFFFF"/>
              <w:spacing w:before="0" w:after="0"/>
              <w:rPr>
                <w:noProof/>
              </w:rPr>
            </w:pPr>
            <w:r w:rsidRPr="0018578C">
              <w:rPr>
                <w:noProof/>
              </w:rPr>
              <w:t>40 %</w:t>
            </w:r>
          </w:p>
        </w:tc>
        <w:tc>
          <w:tcPr>
            <w:tcW w:w="16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2D8F9" w14:textId="77777777" w:rsidR="008872C1" w:rsidRPr="0018578C" w:rsidRDefault="008872C1" w:rsidP="002463FA">
            <w:pPr>
              <w:shd w:val="clear" w:color="auto" w:fill="FFFFFF"/>
              <w:spacing w:before="0" w:after="0"/>
              <w:rPr>
                <w:noProof/>
              </w:rPr>
            </w:pPr>
            <w:r w:rsidRPr="0018578C">
              <w:rPr>
                <w:noProof/>
              </w:rPr>
              <w:t>0 %</w:t>
            </w:r>
          </w:p>
        </w:tc>
      </w:tr>
    </w:tbl>
    <w:p w14:paraId="035AF446" w14:textId="77777777" w:rsidR="002463FA" w:rsidRPr="0018578C" w:rsidRDefault="0011607E" w:rsidP="00F37942">
      <w:pPr>
        <w:shd w:val="clear" w:color="auto" w:fill="FFFFFF"/>
        <w:spacing w:after="0" w:line="312" w:lineRule="atLeast"/>
        <w:rPr>
          <w:noProof/>
        </w:rPr>
      </w:pPr>
      <w:r w:rsidRPr="0018578C">
        <w:rPr>
          <w:noProof/>
        </w:rPr>
        <w:t>"</w:t>
      </w:r>
    </w:p>
    <w:p w14:paraId="5359C9D1" w14:textId="77777777" w:rsidR="00F936C3" w:rsidRPr="0018578C" w:rsidRDefault="00D32C0F" w:rsidP="00F936C3">
      <w:pPr>
        <w:pStyle w:val="Titrearticle"/>
        <w:rPr>
          <w:noProof/>
        </w:rPr>
      </w:pPr>
      <w:r w:rsidRPr="0018578C">
        <w:rPr>
          <w:noProof/>
        </w:rPr>
        <w:t>Articolo 3</w:t>
      </w:r>
    </w:p>
    <w:p w14:paraId="36A02D18" w14:textId="77777777" w:rsidR="00F936C3" w:rsidRPr="0018578C" w:rsidRDefault="00F936C3" w:rsidP="00F936C3">
      <w:pPr>
        <w:rPr>
          <w:noProof/>
        </w:rPr>
      </w:pPr>
      <w:r w:rsidRPr="0018578C">
        <w:rPr>
          <w:noProof/>
        </w:rPr>
        <w:t xml:space="preserve">Il presente regolamento entra in vigore il giorno successivo alla pubblicazione nella </w:t>
      </w:r>
      <w:r w:rsidRPr="0018578C">
        <w:rPr>
          <w:i/>
          <w:noProof/>
        </w:rPr>
        <w:t>Gazzetta ufficiale dell'Unione europea</w:t>
      </w:r>
      <w:r w:rsidRPr="0018578C">
        <w:rPr>
          <w:noProof/>
        </w:rPr>
        <w:t>.</w:t>
      </w:r>
    </w:p>
    <w:p w14:paraId="39EEC736" w14:textId="77777777" w:rsidR="00C1332E" w:rsidRPr="0018578C" w:rsidRDefault="00586D7D">
      <w:pPr>
        <w:pStyle w:val="Applicationdirecte"/>
        <w:rPr>
          <w:noProof/>
        </w:rPr>
      </w:pPr>
      <w:r w:rsidRPr="0018578C">
        <w:rPr>
          <w:noProof/>
        </w:rPr>
        <w:t>Il presente regolamento è obbligatorio in tutti i suoi elementi e direttamente applicabile in ciascuno degli Stati membri.</w:t>
      </w:r>
    </w:p>
    <w:p w14:paraId="185D4620" w14:textId="40DD5052" w:rsidR="00C1332E" w:rsidRPr="0018578C" w:rsidRDefault="00B67BB0" w:rsidP="00C41C02">
      <w:pPr>
        <w:pStyle w:val="Fait"/>
        <w:rPr>
          <w:noProof/>
        </w:rPr>
      </w:pPr>
      <w:r w:rsidRPr="00B67BB0">
        <w:t>Fatto a Bruxelles, il</w:t>
      </w:r>
    </w:p>
    <w:p w14:paraId="4D57F57E" w14:textId="56D5FB26" w:rsidR="00C1332E" w:rsidRPr="0018578C" w:rsidRDefault="00586D7D" w:rsidP="00C41C02">
      <w:pPr>
        <w:pStyle w:val="Institutionquisigne"/>
        <w:rPr>
          <w:noProof/>
        </w:rPr>
      </w:pPr>
      <w:r w:rsidRPr="0018578C">
        <w:rPr>
          <w:noProof/>
        </w:rPr>
        <w:t>Per il Parlamento europeo</w:t>
      </w:r>
      <w:r w:rsidRPr="0018578C">
        <w:rPr>
          <w:noProof/>
        </w:rPr>
        <w:tab/>
      </w:r>
      <w:r w:rsidR="00475666" w:rsidRPr="0018578C">
        <w:rPr>
          <w:noProof/>
        </w:rPr>
        <w:tab/>
      </w:r>
      <w:r w:rsidR="00475666" w:rsidRPr="0018578C">
        <w:rPr>
          <w:noProof/>
        </w:rPr>
        <w:tab/>
      </w:r>
      <w:r w:rsidR="00475666" w:rsidRPr="0018578C">
        <w:rPr>
          <w:noProof/>
        </w:rPr>
        <w:tab/>
      </w:r>
      <w:r w:rsidR="00475666" w:rsidRPr="0018578C">
        <w:rPr>
          <w:noProof/>
        </w:rPr>
        <w:tab/>
      </w:r>
      <w:r w:rsidRPr="0018578C">
        <w:rPr>
          <w:noProof/>
        </w:rPr>
        <w:t>Per il Consiglio</w:t>
      </w:r>
    </w:p>
    <w:p w14:paraId="4271C1A2" w14:textId="77777777" w:rsidR="00C1332E" w:rsidRPr="0018578C" w:rsidRDefault="00DD4B5E" w:rsidP="00DD4B5E">
      <w:pPr>
        <w:pStyle w:val="Personnequisigne"/>
        <w:rPr>
          <w:noProof/>
        </w:rPr>
      </w:pPr>
      <w:r w:rsidRPr="0018578C">
        <w:rPr>
          <w:noProof/>
        </w:rPr>
        <w:t>La presidente</w:t>
      </w:r>
      <w:r w:rsidRPr="0018578C">
        <w:rPr>
          <w:noProof/>
        </w:rPr>
        <w:tab/>
      </w:r>
      <w:r w:rsidRPr="0018578C">
        <w:rPr>
          <w:noProof/>
        </w:rPr>
        <w:tab/>
      </w:r>
      <w:r w:rsidRPr="0018578C">
        <w:rPr>
          <w:noProof/>
        </w:rPr>
        <w:tab/>
      </w:r>
      <w:r w:rsidRPr="0018578C">
        <w:rPr>
          <w:noProof/>
        </w:rPr>
        <w:tab/>
      </w:r>
      <w:r w:rsidRPr="0018578C">
        <w:rPr>
          <w:noProof/>
        </w:rPr>
        <w:tab/>
        <w:t>Il presidente</w:t>
      </w:r>
    </w:p>
    <w:p w14:paraId="211E3C0B" w14:textId="77777777" w:rsidR="00C1332E" w:rsidRPr="0018578C" w:rsidRDefault="00C1332E">
      <w:pPr>
        <w:rPr>
          <w:noProof/>
        </w:rPr>
        <w:sectPr w:rsidR="00C1332E" w:rsidRPr="0018578C" w:rsidSect="0005544D">
          <w:pgSz w:w="11907" w:h="16839"/>
          <w:pgMar w:top="1134" w:right="1417" w:bottom="1134" w:left="1417" w:header="709" w:footer="709" w:gutter="0"/>
          <w:cols w:space="720"/>
          <w:docGrid w:linePitch="360"/>
        </w:sectPr>
      </w:pPr>
    </w:p>
    <w:p w14:paraId="1FF243D2" w14:textId="77777777" w:rsidR="00E41E7D" w:rsidRPr="0018578C" w:rsidRDefault="00E41E7D" w:rsidP="009B3DB9">
      <w:pPr>
        <w:pStyle w:val="Fichefinanciretitre"/>
        <w:rPr>
          <w:noProof/>
        </w:rPr>
      </w:pPr>
      <w:bookmarkStart w:id="1" w:name="_Toc514938050"/>
      <w:bookmarkStart w:id="2" w:name="_Toc520485049"/>
      <w:r w:rsidRPr="0018578C">
        <w:rPr>
          <w:noProof/>
        </w:rPr>
        <w:t>SCHEDA FINANZIARIA LEGISLATIVA</w:t>
      </w:r>
    </w:p>
    <w:p w14:paraId="2C209041" w14:textId="77777777" w:rsidR="00E41E7D" w:rsidRPr="0018578C" w:rsidRDefault="00212D2A" w:rsidP="00212D2A">
      <w:pPr>
        <w:pStyle w:val="ManualHeading1"/>
        <w:rPr>
          <w:noProof/>
        </w:rPr>
      </w:pPr>
      <w:bookmarkStart w:id="3" w:name="_Toc514938007"/>
      <w:bookmarkStart w:id="4" w:name="_Toc520485025"/>
      <w:r w:rsidRPr="0018578C">
        <w:rPr>
          <w:noProof/>
        </w:rPr>
        <w:t>1.</w:t>
      </w:r>
      <w:r w:rsidRPr="0018578C">
        <w:rPr>
          <w:noProof/>
        </w:rPr>
        <w:tab/>
        <w:t>CONTESTO DELLA PROPOSTA/INIZIATIVA</w:t>
      </w:r>
      <w:bookmarkEnd w:id="3"/>
      <w:bookmarkEnd w:id="4"/>
      <w:r w:rsidRPr="0018578C">
        <w:rPr>
          <w:noProof/>
        </w:rPr>
        <w:t xml:space="preserve"> </w:t>
      </w:r>
    </w:p>
    <w:p w14:paraId="784AD398" w14:textId="77777777" w:rsidR="00E41E7D" w:rsidRPr="0018578C" w:rsidRDefault="00212D2A" w:rsidP="00212D2A">
      <w:pPr>
        <w:pStyle w:val="ManualHeading2"/>
        <w:rPr>
          <w:noProof/>
        </w:rPr>
      </w:pPr>
      <w:bookmarkStart w:id="5" w:name="_Toc514938008"/>
      <w:bookmarkStart w:id="6" w:name="_Toc520485026"/>
      <w:r w:rsidRPr="0018578C">
        <w:rPr>
          <w:noProof/>
        </w:rPr>
        <w:t>1.1.</w:t>
      </w:r>
      <w:r w:rsidRPr="0018578C">
        <w:rPr>
          <w:noProof/>
        </w:rPr>
        <w:tab/>
        <w:t>Titolo della proposta/iniziativa</w:t>
      </w:r>
      <w:bookmarkEnd w:id="5"/>
      <w:bookmarkEnd w:id="6"/>
    </w:p>
    <w:p w14:paraId="69A46115"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Proposta di</w:t>
      </w:r>
    </w:p>
    <w:p w14:paraId="622D4E00"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REGOLAMENTO DEL PARLAMENTO EUROPEO E DEL CONSIGLIO</w:t>
      </w:r>
    </w:p>
    <w:p w14:paraId="7F163B00" w14:textId="3E06CAC7" w:rsidR="00E41E7D" w:rsidRPr="0018578C" w:rsidRDefault="00AF7BC9" w:rsidP="00E41E7D">
      <w:pPr>
        <w:pStyle w:val="Text1"/>
        <w:pBdr>
          <w:top w:val="single" w:sz="4" w:space="1" w:color="auto"/>
          <w:left w:val="single" w:sz="4" w:space="4" w:color="auto"/>
          <w:bottom w:val="single" w:sz="4" w:space="1" w:color="auto"/>
          <w:right w:val="single" w:sz="4" w:space="4" w:color="auto"/>
        </w:pBdr>
        <w:rPr>
          <w:dstrike/>
          <w:noProof/>
        </w:rPr>
      </w:pPr>
      <w:r w:rsidRPr="0018578C">
        <w:rPr>
          <w:noProof/>
        </w:rPr>
        <w:t>recante modifica del regolamento (UE) n. 1303/2013 e del regolamento (UE) 2021/1060 per quanto concerne un'ulteriore flessibilità per affrontare le conseguenze dell'aggressione militare da parte della Federazione russa</w:t>
      </w:r>
      <w:r w:rsidRPr="0018578C">
        <w:rPr>
          <w:noProof/>
        </w:rPr>
        <w:tab/>
        <w:t xml:space="preserve"> </w:t>
      </w:r>
      <w:r w:rsidRPr="0018578C">
        <w:rPr>
          <w:noProof/>
        </w:rPr>
        <w:br/>
        <w:t xml:space="preserve">FAST (assistenza </w:t>
      </w:r>
      <w:r w:rsidR="00D44E27">
        <w:rPr>
          <w:noProof/>
        </w:rPr>
        <w:t>flessibile ai territori) - CARE</w:t>
      </w:r>
    </w:p>
    <w:p w14:paraId="12E26983"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p>
    <w:p w14:paraId="12F67978" w14:textId="77777777" w:rsidR="00E41E7D" w:rsidRPr="0018578C" w:rsidRDefault="00212D2A" w:rsidP="00212D2A">
      <w:pPr>
        <w:pStyle w:val="ManualHeading2"/>
        <w:rPr>
          <w:i/>
          <w:noProof/>
        </w:rPr>
      </w:pPr>
      <w:bookmarkStart w:id="7" w:name="_Toc514938011"/>
      <w:bookmarkStart w:id="8" w:name="_Toc520485027"/>
      <w:r w:rsidRPr="0018578C">
        <w:rPr>
          <w:noProof/>
        </w:rPr>
        <w:t>1.2.</w:t>
      </w:r>
      <w:r w:rsidRPr="0018578C">
        <w:rPr>
          <w:noProof/>
        </w:rPr>
        <w:tab/>
        <w:t>Settore/settori interessati</w:t>
      </w:r>
      <w:bookmarkEnd w:id="7"/>
      <w:bookmarkEnd w:id="8"/>
      <w:r w:rsidRPr="0018578C">
        <w:rPr>
          <w:i/>
          <w:noProof/>
        </w:rPr>
        <w:t xml:space="preserve"> </w:t>
      </w:r>
    </w:p>
    <w:p w14:paraId="149EB0E3"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color w:val="000000" w:themeColor="text1"/>
        </w:rPr>
      </w:pPr>
      <w:r w:rsidRPr="0018578C">
        <w:rPr>
          <w:noProof/>
          <w:color w:val="000000" w:themeColor="text1"/>
        </w:rPr>
        <w:t>05 Sviluppo regionale e coesione</w:t>
      </w:r>
    </w:p>
    <w:p w14:paraId="26F4A219" w14:textId="77777777" w:rsidR="00E41E7D" w:rsidRPr="0018578C" w:rsidRDefault="00E41E7D" w:rsidP="00EF5081">
      <w:pPr>
        <w:pStyle w:val="Text1"/>
        <w:pBdr>
          <w:top w:val="single" w:sz="4" w:space="1" w:color="auto"/>
          <w:left w:val="single" w:sz="4" w:space="4" w:color="auto"/>
          <w:bottom w:val="single" w:sz="4" w:space="1" w:color="auto"/>
          <w:right w:val="single" w:sz="4" w:space="4" w:color="auto"/>
        </w:pBdr>
        <w:rPr>
          <w:noProof/>
          <w:color w:val="000000" w:themeColor="text1"/>
        </w:rPr>
      </w:pPr>
      <w:r w:rsidRPr="0018578C">
        <w:rPr>
          <w:noProof/>
          <w:color w:val="000000" w:themeColor="text1"/>
        </w:rPr>
        <w:t xml:space="preserve">07 Investire nelle persone, nella coesione sociale e nei valori </w:t>
      </w:r>
    </w:p>
    <w:p w14:paraId="11FB6450" w14:textId="77777777" w:rsidR="00E41E7D" w:rsidRPr="0018578C" w:rsidRDefault="00212D2A" w:rsidP="00212D2A">
      <w:pPr>
        <w:pStyle w:val="ManualHeading2"/>
        <w:rPr>
          <w:bCs/>
          <w:noProof/>
          <w:szCs w:val="24"/>
        </w:rPr>
      </w:pPr>
      <w:bookmarkStart w:id="9" w:name="_Toc514938014"/>
      <w:bookmarkStart w:id="10" w:name="_Toc520485028"/>
      <w:r w:rsidRPr="0018578C">
        <w:rPr>
          <w:noProof/>
        </w:rPr>
        <w:t>1.3.</w:t>
      </w:r>
      <w:r w:rsidRPr="0018578C">
        <w:rPr>
          <w:noProof/>
        </w:rPr>
        <w:tab/>
        <w:t>La proposta/iniziativa riguarda:</w:t>
      </w:r>
      <w:bookmarkEnd w:id="9"/>
      <w:bookmarkEnd w:id="10"/>
      <w:r w:rsidRPr="0018578C">
        <w:rPr>
          <w:noProof/>
        </w:rPr>
        <w:t xml:space="preserve"> </w:t>
      </w:r>
    </w:p>
    <w:p w14:paraId="7444129F" w14:textId="77777777" w:rsidR="00E41E7D" w:rsidRPr="0018578C" w:rsidRDefault="00E41E7D" w:rsidP="00E41E7D">
      <w:pPr>
        <w:pStyle w:val="Text1"/>
        <w:rPr>
          <w:b/>
          <w:noProof/>
          <w:sz w:val="22"/>
        </w:rPr>
      </w:pPr>
      <w:r w:rsidRPr="0018578C">
        <w:rPr>
          <w:noProof/>
          <w:sz w:val="22"/>
        </w:rPr>
        <w:sym w:font="Wingdings" w:char="F0A8"/>
      </w:r>
      <w:r w:rsidRPr="0018578C">
        <w:rPr>
          <w:b/>
          <w:i/>
          <w:noProof/>
          <w:sz w:val="22"/>
        </w:rPr>
        <w:t xml:space="preserve"> </w:t>
      </w:r>
      <w:r w:rsidRPr="0018578C">
        <w:rPr>
          <w:b/>
          <w:noProof/>
        </w:rPr>
        <w:t>una nuova azione</w:t>
      </w:r>
      <w:r w:rsidRPr="0018578C">
        <w:rPr>
          <w:b/>
          <w:noProof/>
          <w:sz w:val="22"/>
        </w:rPr>
        <w:t xml:space="preserve"> </w:t>
      </w:r>
    </w:p>
    <w:p w14:paraId="728B5B7D" w14:textId="77777777" w:rsidR="00E41E7D" w:rsidRPr="0018578C" w:rsidRDefault="00E41E7D" w:rsidP="00E41E7D">
      <w:pPr>
        <w:pStyle w:val="Text1"/>
        <w:rPr>
          <w:noProof/>
          <w:sz w:val="22"/>
        </w:rPr>
      </w:pPr>
      <w:r w:rsidRPr="0018578C">
        <w:rPr>
          <w:noProof/>
          <w:sz w:val="22"/>
        </w:rPr>
        <w:sym w:font="Wingdings" w:char="F0A8"/>
      </w:r>
      <w:r w:rsidRPr="0018578C">
        <w:rPr>
          <w:i/>
          <w:noProof/>
          <w:sz w:val="22"/>
        </w:rPr>
        <w:t xml:space="preserve"> </w:t>
      </w:r>
      <w:r w:rsidRPr="0018578C">
        <w:rPr>
          <w:b/>
          <w:noProof/>
        </w:rPr>
        <w:t>una nuova azione a seguito di un progetto pilota/un'azione preparatoria</w:t>
      </w:r>
      <w:r w:rsidRPr="0018578C">
        <w:rPr>
          <w:rStyle w:val="FootnoteReference"/>
          <w:noProof/>
        </w:rPr>
        <w:footnoteReference w:id="20"/>
      </w:r>
      <w:r w:rsidRPr="0018578C">
        <w:rPr>
          <w:noProof/>
          <w:sz w:val="22"/>
        </w:rPr>
        <w:t xml:space="preserve"> </w:t>
      </w:r>
    </w:p>
    <w:p w14:paraId="6741C2D1" w14:textId="77777777" w:rsidR="00E41E7D" w:rsidRPr="0018578C" w:rsidRDefault="00E41E7D" w:rsidP="00E41E7D">
      <w:pPr>
        <w:pStyle w:val="Text1"/>
        <w:rPr>
          <w:noProof/>
          <w:sz w:val="22"/>
        </w:rPr>
      </w:pPr>
      <w:r w:rsidRPr="0018578C">
        <w:rPr>
          <w:b/>
          <w:noProof/>
          <w:sz w:val="22"/>
        </w:rPr>
        <w:t>X</w:t>
      </w:r>
      <w:r w:rsidRPr="0018578C">
        <w:rPr>
          <w:i/>
          <w:noProof/>
          <w:sz w:val="22"/>
        </w:rPr>
        <w:t xml:space="preserve"> </w:t>
      </w:r>
      <w:r w:rsidRPr="0018578C">
        <w:rPr>
          <w:b/>
          <w:noProof/>
        </w:rPr>
        <w:t>la proroga di un'azione esistente</w:t>
      </w:r>
      <w:r w:rsidRPr="0018578C">
        <w:rPr>
          <w:noProof/>
          <w:sz w:val="22"/>
        </w:rPr>
        <w:t xml:space="preserve"> </w:t>
      </w:r>
    </w:p>
    <w:p w14:paraId="60DBC83B" w14:textId="77777777" w:rsidR="00E41E7D" w:rsidRPr="0018578C" w:rsidRDefault="00E41E7D" w:rsidP="00E41E7D">
      <w:pPr>
        <w:pStyle w:val="Text1"/>
        <w:rPr>
          <w:noProof/>
        </w:rPr>
      </w:pPr>
      <w:r w:rsidRPr="0018578C">
        <w:rPr>
          <w:noProof/>
          <w:sz w:val="22"/>
        </w:rPr>
        <w:sym w:font="Wingdings" w:char="F0A8"/>
      </w:r>
      <w:r w:rsidRPr="0018578C">
        <w:rPr>
          <w:i/>
          <w:noProof/>
          <w:sz w:val="22"/>
        </w:rPr>
        <w:t xml:space="preserve"> </w:t>
      </w:r>
      <w:r w:rsidRPr="0018578C">
        <w:rPr>
          <w:b/>
          <w:noProof/>
        </w:rPr>
        <w:t>la fusione o il riorientamento di una o più azioni verso un'altra/una nuova azione</w:t>
      </w:r>
      <w:r w:rsidRPr="0018578C">
        <w:rPr>
          <w:noProof/>
        </w:rPr>
        <w:t xml:space="preserve"> </w:t>
      </w:r>
    </w:p>
    <w:p w14:paraId="6A9D6662" w14:textId="77777777" w:rsidR="00E41E7D" w:rsidRPr="0018578C" w:rsidRDefault="00212D2A" w:rsidP="00212D2A">
      <w:pPr>
        <w:pStyle w:val="ManualHeading2"/>
        <w:rPr>
          <w:bCs/>
          <w:noProof/>
          <w:szCs w:val="24"/>
        </w:rPr>
      </w:pPr>
      <w:bookmarkStart w:id="11" w:name="_Toc514938015"/>
      <w:bookmarkStart w:id="12" w:name="_Toc520485029"/>
      <w:r w:rsidRPr="0018578C">
        <w:rPr>
          <w:noProof/>
        </w:rPr>
        <w:t>1.4.</w:t>
      </w:r>
      <w:r w:rsidRPr="0018578C">
        <w:rPr>
          <w:noProof/>
        </w:rPr>
        <w:tab/>
        <w:t>Obiettivi</w:t>
      </w:r>
      <w:bookmarkEnd w:id="11"/>
      <w:bookmarkEnd w:id="12"/>
    </w:p>
    <w:p w14:paraId="336DAD78" w14:textId="77777777" w:rsidR="00E41E7D" w:rsidRPr="0018578C" w:rsidRDefault="00212D2A" w:rsidP="00212D2A">
      <w:pPr>
        <w:pStyle w:val="ManualHeading3"/>
        <w:rPr>
          <w:noProof/>
        </w:rPr>
      </w:pPr>
      <w:bookmarkStart w:id="13" w:name="_Toc514938016"/>
      <w:bookmarkStart w:id="14" w:name="_Toc520485030"/>
      <w:r w:rsidRPr="0018578C">
        <w:rPr>
          <w:noProof/>
        </w:rPr>
        <w:t>1.4.1.</w:t>
      </w:r>
      <w:r w:rsidRPr="0018578C">
        <w:rPr>
          <w:noProof/>
        </w:rPr>
        <w:tab/>
        <w:t>Obiettivi generali</w:t>
      </w:r>
      <w:bookmarkEnd w:id="13"/>
      <w:bookmarkEnd w:id="14"/>
    </w:p>
    <w:p w14:paraId="11A4B5B4"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76DB7D73" w14:textId="77777777" w:rsidR="00E41E7D" w:rsidRPr="0018578C" w:rsidRDefault="00212D2A" w:rsidP="00212D2A">
      <w:pPr>
        <w:pStyle w:val="ManualHeading3"/>
        <w:rPr>
          <w:bCs/>
          <w:noProof/>
          <w:szCs w:val="24"/>
        </w:rPr>
      </w:pPr>
      <w:bookmarkStart w:id="15" w:name="_Toc514938018"/>
      <w:bookmarkStart w:id="16" w:name="_Toc520485031"/>
      <w:r w:rsidRPr="0018578C">
        <w:rPr>
          <w:noProof/>
        </w:rPr>
        <w:t>1.4.2.</w:t>
      </w:r>
      <w:r w:rsidRPr="0018578C">
        <w:rPr>
          <w:noProof/>
        </w:rPr>
        <w:tab/>
        <w:t>Obiettivi specifici</w:t>
      </w:r>
      <w:bookmarkEnd w:id="15"/>
      <w:bookmarkEnd w:id="16"/>
    </w:p>
    <w:p w14:paraId="5D68946B"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1012BF97" w14:textId="77777777" w:rsidR="00E41E7D" w:rsidRPr="0018578C" w:rsidRDefault="00212D2A" w:rsidP="00212D2A">
      <w:pPr>
        <w:pStyle w:val="ManualHeading3"/>
        <w:rPr>
          <w:noProof/>
        </w:rPr>
      </w:pPr>
      <w:bookmarkStart w:id="17" w:name="_Toc514938019"/>
      <w:bookmarkStart w:id="18" w:name="_Toc520485032"/>
      <w:r w:rsidRPr="0018578C">
        <w:rPr>
          <w:noProof/>
        </w:rPr>
        <w:t>1.4.3.</w:t>
      </w:r>
      <w:r w:rsidRPr="0018578C">
        <w:rPr>
          <w:noProof/>
        </w:rPr>
        <w:tab/>
        <w:t>Risultati e incidenza previsti</w:t>
      </w:r>
      <w:bookmarkEnd w:id="17"/>
      <w:bookmarkEnd w:id="18"/>
    </w:p>
    <w:p w14:paraId="3A4CBADA" w14:textId="77777777" w:rsidR="00E41E7D" w:rsidRPr="0018578C" w:rsidRDefault="00E41E7D" w:rsidP="00E41E7D">
      <w:pPr>
        <w:pStyle w:val="Text1"/>
        <w:rPr>
          <w:i/>
          <w:noProof/>
          <w:sz w:val="20"/>
        </w:rPr>
      </w:pPr>
      <w:r w:rsidRPr="0018578C">
        <w:rPr>
          <w:i/>
          <w:noProof/>
          <w:sz w:val="20"/>
        </w:rPr>
        <w:t>Precisare gli effetti che la proposta/iniziativa dovrebbe avere sui beneficiari/gruppi interessati.</w:t>
      </w:r>
    </w:p>
    <w:p w14:paraId="2CA92379"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6FC2B078" w14:textId="77777777" w:rsidR="00E41E7D" w:rsidRPr="0018578C" w:rsidRDefault="00212D2A" w:rsidP="00212D2A">
      <w:pPr>
        <w:pStyle w:val="ManualHeading3"/>
        <w:rPr>
          <w:noProof/>
          <w:szCs w:val="24"/>
        </w:rPr>
      </w:pPr>
      <w:bookmarkStart w:id="19" w:name="_Toc514938023"/>
      <w:bookmarkStart w:id="20" w:name="_Toc520485033"/>
      <w:r w:rsidRPr="0018578C">
        <w:rPr>
          <w:noProof/>
        </w:rPr>
        <w:t>1.4.4.</w:t>
      </w:r>
      <w:r w:rsidRPr="0018578C">
        <w:rPr>
          <w:noProof/>
        </w:rPr>
        <w:tab/>
        <w:t>Indicatori di prestazione</w:t>
      </w:r>
      <w:bookmarkEnd w:id="19"/>
      <w:bookmarkEnd w:id="20"/>
    </w:p>
    <w:p w14:paraId="1AF8F1CB" w14:textId="77777777" w:rsidR="00E41E7D" w:rsidRPr="0018578C" w:rsidRDefault="00E41E7D" w:rsidP="00E41E7D">
      <w:pPr>
        <w:pStyle w:val="Text1"/>
        <w:rPr>
          <w:i/>
          <w:noProof/>
          <w:sz w:val="20"/>
        </w:rPr>
      </w:pPr>
      <w:r w:rsidRPr="0018578C">
        <w:rPr>
          <w:i/>
          <w:noProof/>
          <w:sz w:val="20"/>
        </w:rPr>
        <w:t>Precisare gli indicatori con cui monitorare progressi e risultati</w:t>
      </w:r>
    </w:p>
    <w:p w14:paraId="5B60B882"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2893432C" w14:textId="77777777" w:rsidR="00E41E7D" w:rsidRPr="0018578C" w:rsidRDefault="00E41E7D">
      <w:pPr>
        <w:spacing w:before="0" w:after="200" w:line="276" w:lineRule="auto"/>
        <w:jc w:val="left"/>
        <w:rPr>
          <w:rFonts w:eastAsiaTheme="majorEastAsia"/>
          <w:b/>
          <w:bCs/>
          <w:noProof/>
          <w:szCs w:val="26"/>
        </w:rPr>
      </w:pPr>
      <w:bookmarkStart w:id="21" w:name="_Toc514938025"/>
      <w:bookmarkStart w:id="22" w:name="_Toc520485034"/>
      <w:r w:rsidRPr="0018578C">
        <w:rPr>
          <w:noProof/>
        </w:rPr>
        <w:br w:type="page"/>
      </w:r>
    </w:p>
    <w:p w14:paraId="3484B0B3" w14:textId="77777777" w:rsidR="00E41E7D" w:rsidRPr="0018578C" w:rsidRDefault="00212D2A" w:rsidP="00212D2A">
      <w:pPr>
        <w:pStyle w:val="ManualHeading2"/>
        <w:rPr>
          <w:bCs/>
          <w:noProof/>
          <w:szCs w:val="24"/>
        </w:rPr>
      </w:pPr>
      <w:r w:rsidRPr="0018578C">
        <w:rPr>
          <w:noProof/>
        </w:rPr>
        <w:t>1.5.</w:t>
      </w:r>
      <w:r w:rsidRPr="0018578C">
        <w:rPr>
          <w:noProof/>
        </w:rPr>
        <w:tab/>
        <w:t>Motivazione della proposta/iniziativa</w:t>
      </w:r>
      <w:bookmarkEnd w:id="21"/>
      <w:bookmarkEnd w:id="22"/>
      <w:r w:rsidRPr="0018578C">
        <w:rPr>
          <w:noProof/>
        </w:rPr>
        <w:t xml:space="preserve"> </w:t>
      </w:r>
    </w:p>
    <w:p w14:paraId="617B81F7" w14:textId="77777777" w:rsidR="00E41E7D" w:rsidRPr="0018578C" w:rsidRDefault="00212D2A" w:rsidP="00212D2A">
      <w:pPr>
        <w:pStyle w:val="ManualHeading3"/>
        <w:rPr>
          <w:noProof/>
        </w:rPr>
      </w:pPr>
      <w:bookmarkStart w:id="23" w:name="_Toc514938026"/>
      <w:bookmarkStart w:id="24" w:name="_Toc520485035"/>
      <w:r w:rsidRPr="0018578C">
        <w:rPr>
          <w:noProof/>
        </w:rPr>
        <w:t>1.5.1.</w:t>
      </w:r>
      <w:r w:rsidRPr="0018578C">
        <w:rPr>
          <w:noProof/>
        </w:rPr>
        <w:tab/>
        <w:t>Necessità nel breve e lungo termine, compreso un calendario dettagliato per fasi di attuazione dell'iniziativa</w:t>
      </w:r>
      <w:bookmarkEnd w:id="23"/>
      <w:bookmarkEnd w:id="24"/>
    </w:p>
    <w:p w14:paraId="5A35D0BF"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5D961E6E" w14:textId="77777777" w:rsidR="00E41E7D" w:rsidRPr="0018578C" w:rsidRDefault="00212D2A" w:rsidP="00212D2A">
      <w:pPr>
        <w:pStyle w:val="ManualHeading3"/>
        <w:rPr>
          <w:bCs/>
          <w:noProof/>
          <w:szCs w:val="24"/>
        </w:rPr>
      </w:pPr>
      <w:bookmarkStart w:id="25" w:name="_Toc514938029"/>
      <w:bookmarkStart w:id="26" w:name="_Toc520485036"/>
      <w:r w:rsidRPr="0018578C">
        <w:rPr>
          <w:noProof/>
        </w:rPr>
        <w:t>1.5.2.</w:t>
      </w:r>
      <w:r w:rsidRPr="0018578C">
        <w:rPr>
          <w:noProof/>
        </w:rPr>
        <w:tab/>
        <w:t>Valore aggiunto dell'intervento dell'Unione (che può derivare da diversi fattori, ad es. un miglior coordinamento, la certezza del diritto o un'efficacia e una complementarità maggiori). Ai fini del presente punto, per "valore aggiunto dell'intervento dell'Unione" si intende il valore derivante dall'intervento dell'Unione che va ad aggiungersi al valore che avrebbero altrimenti generato gli Stati membri se avessero agito da soli.</w:t>
      </w:r>
      <w:bookmarkEnd w:id="25"/>
      <w:bookmarkEnd w:id="26"/>
    </w:p>
    <w:p w14:paraId="631A4324"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018EAC7A" w14:textId="77777777" w:rsidR="00E41E7D" w:rsidRPr="0018578C" w:rsidRDefault="00212D2A" w:rsidP="00212D2A">
      <w:pPr>
        <w:pStyle w:val="ManualHeading3"/>
        <w:rPr>
          <w:noProof/>
        </w:rPr>
      </w:pPr>
      <w:bookmarkStart w:id="27" w:name="_Toc514938030"/>
      <w:bookmarkStart w:id="28" w:name="_Toc520485037"/>
      <w:r w:rsidRPr="0018578C">
        <w:rPr>
          <w:noProof/>
        </w:rPr>
        <w:t>1.5.3.</w:t>
      </w:r>
      <w:r w:rsidRPr="0018578C">
        <w:rPr>
          <w:noProof/>
        </w:rPr>
        <w:tab/>
        <w:t>Insegnamenti tratti da esperienze analoghe</w:t>
      </w:r>
      <w:bookmarkEnd w:id="27"/>
      <w:bookmarkEnd w:id="28"/>
    </w:p>
    <w:p w14:paraId="597B631D"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6D964279" w14:textId="77777777" w:rsidR="00E41E7D" w:rsidRPr="0018578C" w:rsidRDefault="00212D2A" w:rsidP="00212D2A">
      <w:pPr>
        <w:pStyle w:val="ManualHeading3"/>
        <w:rPr>
          <w:noProof/>
        </w:rPr>
      </w:pPr>
      <w:bookmarkStart w:id="29" w:name="_Toc514938033"/>
      <w:bookmarkStart w:id="30" w:name="_Toc520485038"/>
      <w:r w:rsidRPr="0018578C">
        <w:rPr>
          <w:noProof/>
        </w:rPr>
        <w:t>1.5.4.</w:t>
      </w:r>
      <w:r w:rsidRPr="0018578C">
        <w:rPr>
          <w:noProof/>
        </w:rPr>
        <w:tab/>
        <w:t>Compatibilità con il quadro finanziario pluriennale ed eventuali sinergie con altri strumenti pertinenti</w:t>
      </w:r>
      <w:bookmarkEnd w:id="29"/>
      <w:bookmarkEnd w:id="30"/>
    </w:p>
    <w:p w14:paraId="388119B0"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4BC346FC" w14:textId="77777777" w:rsidR="00E41E7D" w:rsidRPr="0018578C" w:rsidRDefault="00212D2A" w:rsidP="00212D2A">
      <w:pPr>
        <w:pStyle w:val="ManualHeading3"/>
        <w:rPr>
          <w:noProof/>
        </w:rPr>
      </w:pPr>
      <w:bookmarkStart w:id="31" w:name="_Toc514938036"/>
      <w:bookmarkStart w:id="32" w:name="_Toc520485039"/>
      <w:r w:rsidRPr="0018578C">
        <w:rPr>
          <w:noProof/>
        </w:rPr>
        <w:t>1.5.5.</w:t>
      </w:r>
      <w:r w:rsidRPr="0018578C">
        <w:rPr>
          <w:noProof/>
        </w:rPr>
        <w:tab/>
        <w:t>Valutazione delle varie opzioni di finanziamento disponibili, comprese le possibilità di riassegnazione</w:t>
      </w:r>
      <w:bookmarkEnd w:id="31"/>
      <w:bookmarkEnd w:id="32"/>
    </w:p>
    <w:p w14:paraId="1D87076B" w14:textId="77777777" w:rsidR="00E61475" w:rsidRPr="0018578C" w:rsidRDefault="00E41E7D" w:rsidP="00E61475">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60344D7D" w14:textId="77777777" w:rsidR="00E41E7D" w:rsidRPr="0018578C" w:rsidRDefault="00E41E7D" w:rsidP="00E61475">
      <w:pPr>
        <w:pStyle w:val="Text1"/>
        <w:pBdr>
          <w:top w:val="single" w:sz="4" w:space="1" w:color="auto"/>
          <w:left w:val="single" w:sz="4" w:space="4" w:color="auto"/>
          <w:bottom w:val="single" w:sz="4" w:space="1" w:color="auto"/>
          <w:right w:val="single" w:sz="4" w:space="4" w:color="auto"/>
        </w:pBdr>
        <w:rPr>
          <w:noProof/>
        </w:rPr>
      </w:pPr>
      <w:r w:rsidRPr="0018578C">
        <w:rPr>
          <w:noProof/>
        </w:rPr>
        <w:br w:type="page"/>
      </w:r>
    </w:p>
    <w:p w14:paraId="518DA866" w14:textId="77777777" w:rsidR="00E41E7D" w:rsidRPr="0018578C" w:rsidRDefault="00212D2A" w:rsidP="00212D2A">
      <w:pPr>
        <w:pStyle w:val="ManualHeading2"/>
        <w:rPr>
          <w:bCs/>
          <w:noProof/>
          <w:szCs w:val="24"/>
        </w:rPr>
      </w:pPr>
      <w:bookmarkStart w:id="33" w:name="_Toc514938039"/>
      <w:bookmarkStart w:id="34" w:name="_Toc520485040"/>
      <w:r w:rsidRPr="0018578C">
        <w:rPr>
          <w:noProof/>
        </w:rPr>
        <w:t>1.6.</w:t>
      </w:r>
      <w:r w:rsidRPr="0018578C">
        <w:rPr>
          <w:noProof/>
        </w:rPr>
        <w:tab/>
        <w:t>Durata e incidenza finanziaria della proposta/iniziativa</w:t>
      </w:r>
      <w:bookmarkEnd w:id="33"/>
      <w:bookmarkEnd w:id="34"/>
    </w:p>
    <w:p w14:paraId="428231CA" w14:textId="77777777" w:rsidR="00E41E7D" w:rsidRPr="0018578C" w:rsidRDefault="00E41E7D" w:rsidP="00E41E7D">
      <w:pPr>
        <w:pStyle w:val="Text1"/>
        <w:rPr>
          <w:noProof/>
        </w:rPr>
      </w:pPr>
      <w:r w:rsidRPr="0018578C">
        <w:rPr>
          <w:b/>
          <w:noProof/>
        </w:rPr>
        <w:t>X</w:t>
      </w:r>
      <w:r w:rsidRPr="0018578C">
        <w:rPr>
          <w:b/>
          <w:i/>
          <w:noProof/>
        </w:rPr>
        <w:t xml:space="preserve"> </w:t>
      </w:r>
      <w:r w:rsidRPr="0018578C">
        <w:rPr>
          <w:b/>
          <w:noProof/>
        </w:rPr>
        <w:t xml:space="preserve">durata limitata </w:t>
      </w:r>
    </w:p>
    <w:p w14:paraId="17BCD8F8" w14:textId="77777777" w:rsidR="00E41E7D" w:rsidRPr="0018578C" w:rsidRDefault="00E41E7D" w:rsidP="00E41E7D">
      <w:pPr>
        <w:pStyle w:val="ListDash2"/>
        <w:rPr>
          <w:noProof/>
        </w:rPr>
      </w:pPr>
      <w:r w:rsidRPr="0018578C">
        <w:rPr>
          <w:b/>
          <w:noProof/>
        </w:rPr>
        <w:t>X</w:t>
      </w:r>
      <w:r w:rsidRPr="0018578C">
        <w:rPr>
          <w:noProof/>
        </w:rPr>
        <w:tab/>
        <w:t>incidenza finanziaria dal 1º gennaio 2022 al 31 dicembre 2027 per gli stanziamenti di pagamento</w:t>
      </w:r>
    </w:p>
    <w:p w14:paraId="42DC599E" w14:textId="77777777" w:rsidR="00E41E7D" w:rsidRPr="0018578C" w:rsidRDefault="00E41E7D" w:rsidP="00E41E7D">
      <w:pPr>
        <w:pStyle w:val="Text1"/>
        <w:rPr>
          <w:noProof/>
        </w:rPr>
      </w:pPr>
      <w:r w:rsidRPr="0018578C">
        <w:rPr>
          <w:noProof/>
        </w:rPr>
        <w:sym w:font="Wingdings" w:char="F0A8"/>
      </w:r>
      <w:r w:rsidRPr="0018578C">
        <w:rPr>
          <w:b/>
          <w:i/>
          <w:noProof/>
        </w:rPr>
        <w:t xml:space="preserve"> </w:t>
      </w:r>
      <w:r w:rsidRPr="0018578C">
        <w:rPr>
          <w:b/>
          <w:noProof/>
        </w:rPr>
        <w:t>durata illimitata</w:t>
      </w:r>
    </w:p>
    <w:p w14:paraId="1A66CCBB" w14:textId="77777777" w:rsidR="00E41E7D" w:rsidRPr="0018578C" w:rsidRDefault="00E41E7D" w:rsidP="00E41E7D">
      <w:pPr>
        <w:pStyle w:val="ListDash1"/>
        <w:rPr>
          <w:noProof/>
        </w:rPr>
      </w:pPr>
      <w:r w:rsidRPr="0018578C">
        <w:rPr>
          <w:noProof/>
        </w:rPr>
        <w:t>Attuazione con un periodo di avviamento dal AAAA al AAAA</w:t>
      </w:r>
    </w:p>
    <w:p w14:paraId="74C8DC99" w14:textId="77777777" w:rsidR="00E41E7D" w:rsidRPr="0018578C" w:rsidRDefault="00E41E7D" w:rsidP="00E41E7D">
      <w:pPr>
        <w:pStyle w:val="ListDash1"/>
        <w:rPr>
          <w:noProof/>
        </w:rPr>
      </w:pPr>
      <w:r w:rsidRPr="0018578C">
        <w:rPr>
          <w:noProof/>
        </w:rPr>
        <w:t>e successivo funzionamento a pieno ritmo.</w:t>
      </w:r>
    </w:p>
    <w:p w14:paraId="58C3E266" w14:textId="77777777" w:rsidR="00E41E7D" w:rsidRPr="0018578C" w:rsidRDefault="00212D2A" w:rsidP="00212D2A">
      <w:pPr>
        <w:pStyle w:val="ManualHeading2"/>
        <w:rPr>
          <w:bCs/>
          <w:noProof/>
          <w:szCs w:val="24"/>
        </w:rPr>
      </w:pPr>
      <w:bookmarkStart w:id="35" w:name="_Toc514938040"/>
      <w:bookmarkStart w:id="36" w:name="_Toc520485041"/>
      <w:r w:rsidRPr="0018578C">
        <w:rPr>
          <w:noProof/>
        </w:rPr>
        <w:t>1.7.</w:t>
      </w:r>
      <w:r w:rsidRPr="0018578C">
        <w:rPr>
          <w:noProof/>
        </w:rPr>
        <w:tab/>
        <w:t>Modalità di gestione previste</w:t>
      </w:r>
      <w:r w:rsidRPr="0018578C">
        <w:rPr>
          <w:rStyle w:val="FootnoteReference"/>
          <w:noProof/>
        </w:rPr>
        <w:footnoteReference w:id="21"/>
      </w:r>
      <w:r w:rsidRPr="0018578C">
        <w:rPr>
          <w:rStyle w:val="FootnoteReference"/>
          <w:noProof/>
        </w:rPr>
        <w:t xml:space="preserve"> </w:t>
      </w:r>
      <w:bookmarkEnd w:id="35"/>
      <w:bookmarkEnd w:id="36"/>
      <w:r w:rsidRPr="0018578C">
        <w:rPr>
          <w:rStyle w:val="FootnoteReference"/>
          <w:noProof/>
        </w:rPr>
        <w:t xml:space="preserve"> </w:t>
      </w:r>
    </w:p>
    <w:p w14:paraId="6DD156F7" w14:textId="77777777" w:rsidR="00E41E7D" w:rsidRPr="0018578C" w:rsidRDefault="00E41E7D" w:rsidP="00E41E7D">
      <w:pPr>
        <w:pStyle w:val="Text1"/>
        <w:rPr>
          <w:noProof/>
        </w:rPr>
      </w:pPr>
      <w:r w:rsidRPr="0018578C">
        <w:rPr>
          <w:noProof/>
        </w:rPr>
        <w:sym w:font="Wingdings" w:char="F0A8"/>
      </w:r>
      <w:r w:rsidRPr="0018578C">
        <w:rPr>
          <w:i/>
          <w:noProof/>
        </w:rPr>
        <w:t xml:space="preserve"> </w:t>
      </w:r>
      <w:r w:rsidRPr="0018578C">
        <w:rPr>
          <w:b/>
          <w:noProof/>
        </w:rPr>
        <w:t>Gestione diretta</w:t>
      </w:r>
      <w:r w:rsidRPr="0018578C">
        <w:rPr>
          <w:noProof/>
        </w:rPr>
        <w:t xml:space="preserve"> a opera della Commissione</w:t>
      </w:r>
    </w:p>
    <w:p w14:paraId="130241DC" w14:textId="77777777" w:rsidR="00E41E7D" w:rsidRPr="0018578C" w:rsidRDefault="00E41E7D" w:rsidP="00E41E7D">
      <w:pPr>
        <w:pStyle w:val="ListDash2"/>
        <w:rPr>
          <w:rFonts w:cs="EUAlbertina"/>
          <w:noProof/>
        </w:rPr>
      </w:pPr>
      <w:r w:rsidRPr="0018578C">
        <w:rPr>
          <w:noProof/>
        </w:rPr>
        <w:sym w:font="Wingdings" w:char="F0A8"/>
      </w:r>
      <w:r w:rsidRPr="0018578C">
        <w:rPr>
          <w:noProof/>
        </w:rPr>
        <w:t xml:space="preserve"> a opera dei suoi servizi, compreso il suo personale presso le delegazioni dell'Unione </w:t>
      </w:r>
    </w:p>
    <w:p w14:paraId="58A55FC6" w14:textId="77777777" w:rsidR="00E41E7D" w:rsidRPr="0018578C" w:rsidRDefault="00E41E7D" w:rsidP="00E41E7D">
      <w:pPr>
        <w:pStyle w:val="ListDash2"/>
        <w:rPr>
          <w:noProof/>
        </w:rPr>
      </w:pPr>
      <w:r w:rsidRPr="0018578C">
        <w:rPr>
          <w:noProof/>
        </w:rPr>
        <w:sym w:font="Wingdings" w:char="F0A8"/>
      </w:r>
      <w:r w:rsidRPr="0018578C">
        <w:rPr>
          <w:noProof/>
        </w:rPr>
        <w:tab/>
        <w:t xml:space="preserve">a opera delle agenzie esecutive </w:t>
      </w:r>
    </w:p>
    <w:p w14:paraId="5B581A60" w14:textId="77777777" w:rsidR="00E41E7D" w:rsidRPr="0018578C" w:rsidRDefault="00E41E7D" w:rsidP="00E41E7D">
      <w:pPr>
        <w:pStyle w:val="Text1"/>
        <w:rPr>
          <w:noProof/>
        </w:rPr>
      </w:pPr>
      <w:r w:rsidRPr="0018578C">
        <w:rPr>
          <w:b/>
          <w:noProof/>
        </w:rPr>
        <w:t>X</w:t>
      </w:r>
      <w:r w:rsidRPr="0018578C">
        <w:rPr>
          <w:b/>
          <w:i/>
          <w:noProof/>
        </w:rPr>
        <w:t xml:space="preserve"> </w:t>
      </w:r>
      <w:r w:rsidRPr="0018578C">
        <w:rPr>
          <w:b/>
          <w:noProof/>
        </w:rPr>
        <w:t>Gestione concorrente</w:t>
      </w:r>
      <w:r w:rsidRPr="0018578C">
        <w:rPr>
          <w:noProof/>
        </w:rPr>
        <w:t xml:space="preserve"> con gli Stati membri </w:t>
      </w:r>
    </w:p>
    <w:p w14:paraId="5DF8C0D8" w14:textId="77777777" w:rsidR="00E41E7D" w:rsidRPr="0018578C" w:rsidRDefault="00E41E7D" w:rsidP="00E41E7D">
      <w:pPr>
        <w:pStyle w:val="Text1"/>
        <w:rPr>
          <w:noProof/>
        </w:rPr>
      </w:pPr>
      <w:r w:rsidRPr="0018578C">
        <w:rPr>
          <w:noProof/>
        </w:rPr>
        <w:sym w:font="Wingdings" w:char="F0A8"/>
      </w:r>
      <w:r w:rsidRPr="0018578C">
        <w:rPr>
          <w:i/>
          <w:noProof/>
        </w:rPr>
        <w:t xml:space="preserve"> </w:t>
      </w:r>
      <w:r w:rsidRPr="0018578C">
        <w:rPr>
          <w:b/>
          <w:noProof/>
        </w:rPr>
        <w:t>Gestione indiretta</w:t>
      </w:r>
      <w:r w:rsidRPr="0018578C">
        <w:rPr>
          <w:noProof/>
        </w:rPr>
        <w:t xml:space="preserve"> affidando compiti di esecuzione del bilancio:</w:t>
      </w:r>
    </w:p>
    <w:p w14:paraId="2B0B14DB" w14:textId="77777777" w:rsidR="00E41E7D" w:rsidRPr="0018578C" w:rsidRDefault="00E41E7D" w:rsidP="00E41E7D">
      <w:pPr>
        <w:pStyle w:val="ListDash2"/>
        <w:rPr>
          <w:noProof/>
        </w:rPr>
      </w:pPr>
      <w:r w:rsidRPr="0018578C">
        <w:rPr>
          <w:noProof/>
        </w:rPr>
        <w:sym w:font="Wingdings" w:char="F0A8"/>
      </w:r>
      <w:r w:rsidRPr="0018578C">
        <w:rPr>
          <w:noProof/>
        </w:rPr>
        <w:t xml:space="preserve"> a paesi terzi o organismi da questi designati;</w:t>
      </w:r>
    </w:p>
    <w:p w14:paraId="632BEF19" w14:textId="77777777" w:rsidR="00E41E7D" w:rsidRPr="0018578C" w:rsidRDefault="00E41E7D" w:rsidP="00E41E7D">
      <w:pPr>
        <w:pStyle w:val="ListDash2"/>
        <w:rPr>
          <w:noProof/>
        </w:rPr>
      </w:pPr>
      <w:r w:rsidRPr="0018578C">
        <w:rPr>
          <w:noProof/>
        </w:rPr>
        <w:sym w:font="Wingdings" w:char="F0A8"/>
      </w:r>
      <w:r w:rsidRPr="0018578C">
        <w:rPr>
          <w:noProof/>
        </w:rPr>
        <w:t xml:space="preserve"> a organizzazioni internazionali e loro agenzie (specificare);</w:t>
      </w:r>
    </w:p>
    <w:p w14:paraId="27806E3F" w14:textId="77777777" w:rsidR="00E41E7D" w:rsidRPr="0018578C" w:rsidRDefault="00E41E7D" w:rsidP="00E41E7D">
      <w:pPr>
        <w:pStyle w:val="ListDash2"/>
        <w:rPr>
          <w:noProof/>
        </w:rPr>
      </w:pPr>
      <w:r w:rsidRPr="0018578C">
        <w:rPr>
          <w:noProof/>
        </w:rPr>
        <w:sym w:font="Wingdings" w:char="F0A8"/>
      </w:r>
      <w:r w:rsidRPr="0018578C">
        <w:rPr>
          <w:noProof/>
        </w:rPr>
        <w:t xml:space="preserve"> alla BEI e al Fondo europeo per gli investimenti;</w:t>
      </w:r>
    </w:p>
    <w:p w14:paraId="05122A67" w14:textId="77777777" w:rsidR="00E41E7D" w:rsidRPr="0018578C" w:rsidRDefault="00E41E7D" w:rsidP="00E41E7D">
      <w:pPr>
        <w:pStyle w:val="ListDash2"/>
        <w:rPr>
          <w:noProof/>
        </w:rPr>
      </w:pPr>
      <w:r w:rsidRPr="0018578C">
        <w:rPr>
          <w:noProof/>
        </w:rPr>
        <w:sym w:font="Wingdings" w:char="F0A8"/>
      </w:r>
      <w:r w:rsidRPr="0018578C">
        <w:rPr>
          <w:noProof/>
        </w:rPr>
        <w:t xml:space="preserve"> agli organismi di cui agli articoli 70 e 71 del regolamento finanziario;</w:t>
      </w:r>
    </w:p>
    <w:p w14:paraId="24F157C9" w14:textId="77777777" w:rsidR="00E41E7D" w:rsidRPr="0018578C" w:rsidRDefault="00E41E7D" w:rsidP="00E41E7D">
      <w:pPr>
        <w:pStyle w:val="ListDash2"/>
        <w:rPr>
          <w:noProof/>
        </w:rPr>
      </w:pPr>
      <w:r w:rsidRPr="0018578C">
        <w:rPr>
          <w:noProof/>
        </w:rPr>
        <w:sym w:font="Wingdings" w:char="F0A8"/>
      </w:r>
      <w:r w:rsidRPr="0018578C">
        <w:rPr>
          <w:noProof/>
        </w:rPr>
        <w:t xml:space="preserve"> a organismi di diritto pubblico;</w:t>
      </w:r>
    </w:p>
    <w:p w14:paraId="59C16D7E" w14:textId="77777777" w:rsidR="00E41E7D" w:rsidRPr="0018578C" w:rsidRDefault="00E41E7D" w:rsidP="00E41E7D">
      <w:pPr>
        <w:pStyle w:val="ListDash2"/>
        <w:rPr>
          <w:noProof/>
        </w:rPr>
      </w:pPr>
      <w:r w:rsidRPr="0018578C">
        <w:rPr>
          <w:noProof/>
        </w:rPr>
        <w:sym w:font="Wingdings" w:char="F0A8"/>
      </w:r>
      <w:r w:rsidRPr="0018578C">
        <w:rPr>
          <w:noProof/>
        </w:rPr>
        <w:t xml:space="preserve"> a organismi di diritto privato investiti di attribuzioni di servizio pubblico nella misura in cui sono dotati di sufficienti garanzie finanziarie;</w:t>
      </w:r>
    </w:p>
    <w:p w14:paraId="6C9272CE" w14:textId="77777777" w:rsidR="00E41E7D" w:rsidRPr="0018578C" w:rsidRDefault="00E41E7D" w:rsidP="00E41E7D">
      <w:pPr>
        <w:pStyle w:val="ListDash2"/>
        <w:rPr>
          <w:noProof/>
        </w:rPr>
      </w:pPr>
      <w:r w:rsidRPr="0018578C">
        <w:rPr>
          <w:noProof/>
        </w:rPr>
        <w:sym w:font="Wingdings" w:char="F0A8"/>
      </w:r>
      <w:r w:rsidRPr="0018578C">
        <w:rPr>
          <w:noProof/>
        </w:rPr>
        <w:t xml:space="preserve"> a organismi di diritto privato di uno Stato membro preposti all'attuazione di un partenariato pubblico-privato e che sono dotati di sufficienti garanzie finanziarie;</w:t>
      </w:r>
    </w:p>
    <w:p w14:paraId="494B4897" w14:textId="77777777" w:rsidR="00E41E7D" w:rsidRPr="0018578C" w:rsidRDefault="00E41E7D" w:rsidP="00E41E7D">
      <w:pPr>
        <w:pStyle w:val="ListDash2"/>
        <w:rPr>
          <w:noProof/>
        </w:rPr>
      </w:pPr>
      <w:r w:rsidRPr="0018578C">
        <w:rPr>
          <w:noProof/>
        </w:rPr>
        <w:sym w:font="Wingdings" w:char="F0A8"/>
      </w:r>
      <w:r w:rsidRPr="0018578C">
        <w:rPr>
          <w:noProof/>
        </w:rPr>
        <w:t xml:space="preserve"> alle persone incaricate di attuare azioni specifiche della PESC a norma del titolo V TUE e indicate nel pertinente atto di base.</w:t>
      </w:r>
    </w:p>
    <w:p w14:paraId="682C9727" w14:textId="77777777" w:rsidR="00E41E7D" w:rsidRPr="0018578C" w:rsidRDefault="00E41E7D" w:rsidP="00E41E7D">
      <w:pPr>
        <w:pStyle w:val="ListDash2"/>
        <w:rPr>
          <w:i/>
          <w:noProof/>
          <w:sz w:val="18"/>
          <w:u w:val="single"/>
        </w:rPr>
      </w:pPr>
      <w:r w:rsidRPr="0018578C">
        <w:rPr>
          <w:i/>
          <w:noProof/>
          <w:sz w:val="18"/>
        </w:rPr>
        <w:t>Se è indicata più di una modalità, fornire ulteriori informazioni alla voce "Osservazioni".</w:t>
      </w:r>
    </w:p>
    <w:p w14:paraId="11AFAC41" w14:textId="77777777" w:rsidR="00E41E7D" w:rsidRPr="0018578C" w:rsidRDefault="00E41E7D" w:rsidP="00E41E7D">
      <w:pPr>
        <w:rPr>
          <w:noProof/>
        </w:rPr>
      </w:pPr>
      <w:r w:rsidRPr="0018578C">
        <w:rPr>
          <w:noProof/>
        </w:rPr>
        <w:t xml:space="preserve">Osservazioni </w:t>
      </w:r>
    </w:p>
    <w:p w14:paraId="1B700179" w14:textId="77777777" w:rsidR="00E41E7D" w:rsidRPr="0018578C" w:rsidRDefault="00E41E7D" w:rsidP="00E41E7D">
      <w:pPr>
        <w:rPr>
          <w:noProof/>
        </w:rPr>
      </w:pPr>
      <w:r w:rsidRPr="0018578C">
        <w:rPr>
          <w:noProof/>
        </w:rPr>
        <w:t>N.a.</w:t>
      </w:r>
    </w:p>
    <w:p w14:paraId="32F539DA" w14:textId="77777777" w:rsidR="00E41E7D" w:rsidRPr="0018578C" w:rsidRDefault="00E41E7D">
      <w:pPr>
        <w:spacing w:before="0" w:after="200" w:line="276" w:lineRule="auto"/>
        <w:jc w:val="left"/>
        <w:rPr>
          <w:noProof/>
        </w:rPr>
      </w:pPr>
      <w:r w:rsidRPr="0018578C">
        <w:rPr>
          <w:noProof/>
        </w:rPr>
        <w:br w:type="page"/>
      </w:r>
    </w:p>
    <w:p w14:paraId="04B93132" w14:textId="77777777" w:rsidR="00E41E7D" w:rsidRPr="0018578C" w:rsidRDefault="00212D2A" w:rsidP="00212D2A">
      <w:pPr>
        <w:pStyle w:val="ManualHeading1"/>
        <w:rPr>
          <w:bCs/>
          <w:noProof/>
          <w:szCs w:val="24"/>
        </w:rPr>
      </w:pPr>
      <w:bookmarkStart w:id="37" w:name="_Toc514938041"/>
      <w:bookmarkStart w:id="38" w:name="_Toc520485042"/>
      <w:r w:rsidRPr="0018578C">
        <w:rPr>
          <w:noProof/>
        </w:rPr>
        <w:t>2.</w:t>
      </w:r>
      <w:r w:rsidRPr="0018578C">
        <w:rPr>
          <w:noProof/>
        </w:rPr>
        <w:tab/>
        <w:t>MISURE DI GESTIONE</w:t>
      </w:r>
      <w:bookmarkEnd w:id="37"/>
      <w:bookmarkEnd w:id="38"/>
      <w:r w:rsidRPr="0018578C">
        <w:rPr>
          <w:noProof/>
        </w:rPr>
        <w:t xml:space="preserve"> </w:t>
      </w:r>
    </w:p>
    <w:p w14:paraId="4FA10C34" w14:textId="77777777" w:rsidR="00E41E7D" w:rsidRPr="0018578C" w:rsidRDefault="00212D2A" w:rsidP="00212D2A">
      <w:pPr>
        <w:pStyle w:val="ManualHeading2"/>
        <w:rPr>
          <w:noProof/>
        </w:rPr>
      </w:pPr>
      <w:bookmarkStart w:id="39" w:name="_Toc514938042"/>
      <w:bookmarkStart w:id="40" w:name="_Toc520485043"/>
      <w:r w:rsidRPr="0018578C">
        <w:rPr>
          <w:noProof/>
        </w:rPr>
        <w:t>2.1.</w:t>
      </w:r>
      <w:r w:rsidRPr="0018578C">
        <w:rPr>
          <w:noProof/>
        </w:rPr>
        <w:tab/>
        <w:t>Disposizioni in materia di monitoraggio e di relazioni</w:t>
      </w:r>
      <w:bookmarkEnd w:id="39"/>
      <w:bookmarkEnd w:id="40"/>
      <w:r w:rsidRPr="0018578C">
        <w:rPr>
          <w:noProof/>
        </w:rPr>
        <w:t xml:space="preserve"> </w:t>
      </w:r>
    </w:p>
    <w:p w14:paraId="705DF3D7" w14:textId="77777777" w:rsidR="00E41E7D" w:rsidRPr="0018578C" w:rsidRDefault="00E41E7D" w:rsidP="00E41E7D">
      <w:pPr>
        <w:pStyle w:val="Text1"/>
        <w:rPr>
          <w:i/>
          <w:noProof/>
          <w:sz w:val="20"/>
        </w:rPr>
      </w:pPr>
      <w:r w:rsidRPr="0018578C">
        <w:rPr>
          <w:i/>
          <w:noProof/>
          <w:sz w:val="20"/>
        </w:rPr>
        <w:t>Precisare frequenza e condizioni.</w:t>
      </w:r>
    </w:p>
    <w:p w14:paraId="5F606DD9"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116309A8" w14:textId="77777777" w:rsidR="00E41E7D" w:rsidRPr="0018578C" w:rsidRDefault="00212D2A" w:rsidP="00212D2A">
      <w:pPr>
        <w:pStyle w:val="ManualHeading2"/>
        <w:rPr>
          <w:bCs/>
          <w:noProof/>
          <w:szCs w:val="24"/>
        </w:rPr>
      </w:pPr>
      <w:bookmarkStart w:id="41" w:name="_Toc514938045"/>
      <w:bookmarkStart w:id="42" w:name="_Toc520485044"/>
      <w:r w:rsidRPr="0018578C">
        <w:rPr>
          <w:noProof/>
        </w:rPr>
        <w:t>2.2.</w:t>
      </w:r>
      <w:r w:rsidRPr="0018578C">
        <w:rPr>
          <w:noProof/>
        </w:rPr>
        <w:tab/>
        <w:t>Sistema di gestione e di controllo</w:t>
      </w:r>
      <w:bookmarkEnd w:id="41"/>
      <w:bookmarkEnd w:id="42"/>
      <w:r w:rsidRPr="0018578C">
        <w:rPr>
          <w:noProof/>
        </w:rPr>
        <w:t xml:space="preserve"> </w:t>
      </w:r>
    </w:p>
    <w:p w14:paraId="1F76341F" w14:textId="77777777" w:rsidR="00E41E7D" w:rsidRPr="0018578C" w:rsidRDefault="00212D2A" w:rsidP="00212D2A">
      <w:pPr>
        <w:pStyle w:val="ManualHeading3"/>
        <w:rPr>
          <w:noProof/>
        </w:rPr>
      </w:pPr>
      <w:bookmarkStart w:id="43" w:name="_Toc514938046"/>
      <w:bookmarkStart w:id="44" w:name="_Toc520485045"/>
      <w:r w:rsidRPr="0018578C">
        <w:rPr>
          <w:noProof/>
        </w:rPr>
        <w:t>2.2.1.</w:t>
      </w:r>
      <w:r w:rsidRPr="0018578C">
        <w:rPr>
          <w:noProof/>
        </w:rPr>
        <w:tab/>
        <w:t>Giustificazione della o delle modalità di gestione, del meccanismo o dei meccanismi di attuazione del finanziamento, delle modalità di pagamento e della strategia di controllo proposti</w:t>
      </w:r>
      <w:bookmarkEnd w:id="43"/>
      <w:bookmarkEnd w:id="44"/>
    </w:p>
    <w:p w14:paraId="14BA44AF"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48E9A2A0" w14:textId="77777777" w:rsidR="00E41E7D" w:rsidRPr="0018578C" w:rsidRDefault="00212D2A" w:rsidP="00212D2A">
      <w:pPr>
        <w:pStyle w:val="ManualHeading3"/>
        <w:rPr>
          <w:bCs/>
          <w:noProof/>
          <w:szCs w:val="24"/>
        </w:rPr>
      </w:pPr>
      <w:bookmarkStart w:id="45" w:name="_Toc514938047"/>
      <w:bookmarkStart w:id="46" w:name="_Toc520485046"/>
      <w:r w:rsidRPr="0018578C">
        <w:rPr>
          <w:noProof/>
        </w:rPr>
        <w:t>2.2.2.</w:t>
      </w:r>
      <w:r w:rsidRPr="0018578C">
        <w:rPr>
          <w:noProof/>
        </w:rPr>
        <w:tab/>
        <w:t>Informazioni concernenti i rischi individuati e il sistema o i sistemi di controllo interno per ridurli</w:t>
      </w:r>
      <w:bookmarkEnd w:id="45"/>
      <w:bookmarkEnd w:id="46"/>
    </w:p>
    <w:p w14:paraId="46109EAE"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06A448CA" w14:textId="77777777" w:rsidR="00E41E7D" w:rsidRPr="0018578C" w:rsidRDefault="00212D2A" w:rsidP="00212D2A">
      <w:pPr>
        <w:pStyle w:val="ManualHeading3"/>
        <w:rPr>
          <w:noProof/>
        </w:rPr>
      </w:pPr>
      <w:bookmarkStart w:id="47" w:name="_Toc514938048"/>
      <w:bookmarkStart w:id="48" w:name="_Toc520485047"/>
      <w:r w:rsidRPr="0018578C">
        <w:rPr>
          <w:noProof/>
        </w:rPr>
        <w:t>2.2.3.</w:t>
      </w:r>
      <w:r w:rsidRPr="0018578C">
        <w:rPr>
          <w:noProof/>
        </w:rPr>
        <w:tab/>
        <w:t>Stima e giustificazione del rapporto costo/efficacia dei controlli (rapporto "costi del controllo ÷ valore dei fondi gestiti") e valutazione dei livelli di rischio di errore previsti (al pagamento e alla chiusura)</w:t>
      </w:r>
      <w:bookmarkEnd w:id="47"/>
      <w:bookmarkEnd w:id="48"/>
      <w:r w:rsidRPr="0018578C">
        <w:rPr>
          <w:noProof/>
        </w:rPr>
        <w:t xml:space="preserve"> </w:t>
      </w:r>
    </w:p>
    <w:p w14:paraId="67891D1C"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pPr>
      <w:r w:rsidRPr="0018578C">
        <w:rPr>
          <w:noProof/>
        </w:rPr>
        <w:t>N.a.</w:t>
      </w:r>
    </w:p>
    <w:p w14:paraId="122EB010" w14:textId="77777777" w:rsidR="00E41E7D" w:rsidRPr="0018578C" w:rsidRDefault="00212D2A" w:rsidP="00212D2A">
      <w:pPr>
        <w:pStyle w:val="ManualHeading2"/>
        <w:rPr>
          <w:bCs/>
          <w:noProof/>
          <w:szCs w:val="24"/>
        </w:rPr>
      </w:pPr>
      <w:bookmarkStart w:id="49" w:name="_Toc514938049"/>
      <w:bookmarkStart w:id="50" w:name="_Toc520485048"/>
      <w:r w:rsidRPr="0018578C">
        <w:rPr>
          <w:noProof/>
        </w:rPr>
        <w:t>2.3.</w:t>
      </w:r>
      <w:r w:rsidRPr="0018578C">
        <w:rPr>
          <w:noProof/>
        </w:rPr>
        <w:tab/>
        <w:t>Misure di prevenzione delle frodi e delle irregolarità</w:t>
      </w:r>
      <w:bookmarkEnd w:id="49"/>
      <w:bookmarkEnd w:id="50"/>
      <w:r w:rsidRPr="0018578C">
        <w:rPr>
          <w:noProof/>
        </w:rPr>
        <w:t xml:space="preserve"> </w:t>
      </w:r>
    </w:p>
    <w:p w14:paraId="24251714" w14:textId="77777777" w:rsidR="00E41E7D" w:rsidRPr="0018578C" w:rsidRDefault="00E41E7D" w:rsidP="00E41E7D">
      <w:pPr>
        <w:pStyle w:val="Text1"/>
        <w:rPr>
          <w:i/>
          <w:noProof/>
          <w:sz w:val="20"/>
        </w:rPr>
      </w:pPr>
      <w:r w:rsidRPr="0018578C">
        <w:rPr>
          <w:i/>
          <w:noProof/>
          <w:sz w:val="20"/>
        </w:rPr>
        <w:t>Precisare le misure di prevenzione e tutela in vigore o previste, ad esempio strategia antifrode.</w:t>
      </w:r>
    </w:p>
    <w:p w14:paraId="3DF315C2" w14:textId="77777777" w:rsidR="00E41E7D" w:rsidRPr="0018578C" w:rsidRDefault="00E41E7D" w:rsidP="00E41E7D">
      <w:pPr>
        <w:pStyle w:val="Text1"/>
        <w:pBdr>
          <w:top w:val="single" w:sz="4" w:space="1" w:color="auto"/>
          <w:left w:val="single" w:sz="4" w:space="4" w:color="auto"/>
          <w:bottom w:val="single" w:sz="4" w:space="1" w:color="auto"/>
          <w:right w:val="single" w:sz="4" w:space="4" w:color="auto"/>
        </w:pBdr>
        <w:rPr>
          <w:noProof/>
        </w:rPr>
        <w:sectPr w:rsidR="00E41E7D" w:rsidRPr="0018578C" w:rsidSect="0005544D">
          <w:pgSz w:w="11907" w:h="16840" w:code="9"/>
          <w:pgMar w:top="1134" w:right="1418" w:bottom="1134" w:left="1418" w:header="709" w:footer="709" w:gutter="0"/>
          <w:cols w:space="708"/>
          <w:docGrid w:linePitch="360"/>
        </w:sectPr>
      </w:pPr>
      <w:r w:rsidRPr="0018578C">
        <w:rPr>
          <w:noProof/>
        </w:rPr>
        <w:t>N.a.</w:t>
      </w:r>
    </w:p>
    <w:p w14:paraId="319695DC" w14:textId="77777777" w:rsidR="00C87E1E" w:rsidRPr="0018578C" w:rsidRDefault="00C87E1E" w:rsidP="00855A8A">
      <w:pPr>
        <w:rPr>
          <w:b/>
          <w:noProof/>
          <w:szCs w:val="24"/>
          <w:u w:val="single"/>
        </w:rPr>
      </w:pPr>
      <w:r w:rsidRPr="0018578C">
        <w:rPr>
          <w:b/>
          <w:noProof/>
          <w:u w:val="single"/>
        </w:rPr>
        <w:t>INCIDENZA FINANZIARIA PREVISTA DELLA PROPOSTA/INIZIATIVA</w:t>
      </w:r>
      <w:bookmarkEnd w:id="1"/>
      <w:bookmarkEnd w:id="2"/>
      <w:r w:rsidRPr="0018578C">
        <w:rPr>
          <w:b/>
          <w:noProof/>
          <w:u w:val="single"/>
        </w:rPr>
        <w:t xml:space="preserve"> </w:t>
      </w:r>
    </w:p>
    <w:p w14:paraId="78FFDF5A" w14:textId="77777777" w:rsidR="00C87E1E" w:rsidRPr="0018578C" w:rsidRDefault="00C87E1E" w:rsidP="00FB18F4">
      <w:pPr>
        <w:keepNext/>
        <w:outlineLvl w:val="1"/>
        <w:rPr>
          <w:rFonts w:eastAsiaTheme="majorEastAsia"/>
          <w:b/>
          <w:bCs/>
          <w:noProof/>
          <w:szCs w:val="26"/>
        </w:rPr>
      </w:pPr>
      <w:bookmarkStart w:id="51" w:name="_Toc514938051"/>
      <w:bookmarkStart w:id="52" w:name="_Toc520485050"/>
      <w:r w:rsidRPr="0018578C">
        <w:rPr>
          <w:b/>
          <w:noProof/>
        </w:rPr>
        <w:t>Rubrica/rubriche del quadro finanziario pluriennale e linea/linee di bilancio di spesa interessate</w:t>
      </w:r>
      <w:bookmarkEnd w:id="51"/>
      <w:bookmarkEnd w:id="52"/>
      <w:r w:rsidRPr="0018578C">
        <w:rPr>
          <w:b/>
          <w:noProof/>
        </w:rPr>
        <w:t xml:space="preserve"> </w:t>
      </w:r>
    </w:p>
    <w:p w14:paraId="0B287603" w14:textId="77777777" w:rsidR="00C87E1E" w:rsidRPr="0018578C" w:rsidRDefault="00C87E1E" w:rsidP="00C87E1E">
      <w:pPr>
        <w:tabs>
          <w:tab w:val="num" w:pos="1134"/>
        </w:tabs>
        <w:ind w:left="1134" w:hanging="283"/>
        <w:rPr>
          <w:noProof/>
        </w:rPr>
      </w:pPr>
      <w:r w:rsidRPr="0018578C">
        <w:rPr>
          <w:noProof/>
        </w:rPr>
        <w:t xml:space="preserve">Linee di bilancio esistenti </w:t>
      </w:r>
    </w:p>
    <w:p w14:paraId="2A43FD60" w14:textId="77777777" w:rsidR="00C87E1E" w:rsidRPr="0018578C" w:rsidRDefault="00C87E1E" w:rsidP="00FB18F4">
      <w:pPr>
        <w:rPr>
          <w:i/>
          <w:noProof/>
        </w:rPr>
      </w:pPr>
      <w:r w:rsidRPr="0018578C">
        <w:rPr>
          <w:i/>
          <w:noProof/>
          <w:u w:val="single"/>
        </w:rPr>
        <w:t>Secondo l'ordine</w:t>
      </w:r>
      <w:r w:rsidRPr="0018578C">
        <w:rPr>
          <w:i/>
          <w:noProof/>
        </w:rPr>
        <w:t xml:space="preserve"> delle rubriche del quadro finanziario pluriennale e delle linee di bilancio</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87E1E" w:rsidRPr="0018578C" w14:paraId="36E3943A" w14:textId="77777777" w:rsidTr="00C87E1E">
        <w:tc>
          <w:tcPr>
            <w:tcW w:w="1080" w:type="dxa"/>
            <w:vMerge w:val="restart"/>
            <w:vAlign w:val="center"/>
          </w:tcPr>
          <w:p w14:paraId="0D5C0CC4" w14:textId="77777777" w:rsidR="00C87E1E" w:rsidRPr="0018578C" w:rsidRDefault="00C87E1E" w:rsidP="00C87E1E">
            <w:pPr>
              <w:spacing w:before="60" w:after="60"/>
              <w:jc w:val="center"/>
              <w:rPr>
                <w:noProof/>
              </w:rPr>
            </w:pPr>
            <w:r w:rsidRPr="0018578C">
              <w:rPr>
                <w:noProof/>
                <w:sz w:val="18"/>
              </w:rPr>
              <w:t>Rubrica del quadro finanziario pluriennale</w:t>
            </w:r>
          </w:p>
        </w:tc>
        <w:tc>
          <w:tcPr>
            <w:tcW w:w="3960" w:type="dxa"/>
            <w:vAlign w:val="center"/>
          </w:tcPr>
          <w:p w14:paraId="1F627A38" w14:textId="77777777" w:rsidR="00C87E1E" w:rsidRPr="0018578C" w:rsidRDefault="00C87E1E" w:rsidP="00C87E1E">
            <w:pPr>
              <w:spacing w:before="60" w:after="60"/>
              <w:jc w:val="center"/>
              <w:rPr>
                <w:noProof/>
              </w:rPr>
            </w:pPr>
            <w:r w:rsidRPr="0018578C">
              <w:rPr>
                <w:noProof/>
                <w:sz w:val="20"/>
              </w:rPr>
              <w:t>Linea di bilancio</w:t>
            </w:r>
          </w:p>
        </w:tc>
        <w:tc>
          <w:tcPr>
            <w:tcW w:w="1080" w:type="dxa"/>
            <w:vAlign w:val="center"/>
          </w:tcPr>
          <w:p w14:paraId="1FF786F8" w14:textId="77777777" w:rsidR="00C87E1E" w:rsidRPr="0018578C" w:rsidRDefault="00C87E1E" w:rsidP="00C87E1E">
            <w:pPr>
              <w:spacing w:before="60" w:after="60"/>
              <w:jc w:val="center"/>
              <w:rPr>
                <w:noProof/>
              </w:rPr>
            </w:pPr>
            <w:r w:rsidRPr="0018578C">
              <w:rPr>
                <w:noProof/>
                <w:sz w:val="18"/>
              </w:rPr>
              <w:t>Tipo di</w:t>
            </w:r>
            <w:r w:rsidRPr="0018578C">
              <w:rPr>
                <w:noProof/>
              </w:rPr>
              <w:t xml:space="preserve"> </w:t>
            </w:r>
            <w:r w:rsidRPr="0018578C">
              <w:rPr>
                <w:noProof/>
              </w:rPr>
              <w:br/>
            </w:r>
            <w:r w:rsidRPr="0018578C">
              <w:rPr>
                <w:noProof/>
                <w:sz w:val="18"/>
              </w:rPr>
              <w:t>spesa</w:t>
            </w:r>
          </w:p>
        </w:tc>
        <w:tc>
          <w:tcPr>
            <w:tcW w:w="4440" w:type="dxa"/>
            <w:gridSpan w:val="4"/>
            <w:vAlign w:val="center"/>
          </w:tcPr>
          <w:p w14:paraId="76019CA6" w14:textId="77777777" w:rsidR="00C87E1E" w:rsidRPr="0018578C" w:rsidRDefault="00C87E1E" w:rsidP="00C87E1E">
            <w:pPr>
              <w:spacing w:before="60" w:after="60"/>
              <w:jc w:val="center"/>
              <w:rPr>
                <w:noProof/>
              </w:rPr>
            </w:pPr>
            <w:r w:rsidRPr="0018578C">
              <w:rPr>
                <w:noProof/>
                <w:sz w:val="20"/>
              </w:rPr>
              <w:t xml:space="preserve">Partecipazione </w:t>
            </w:r>
          </w:p>
        </w:tc>
      </w:tr>
      <w:tr w:rsidR="00C87E1E" w:rsidRPr="0018578C" w14:paraId="4D805B38" w14:textId="77777777" w:rsidTr="00C87E1E">
        <w:tc>
          <w:tcPr>
            <w:tcW w:w="1080" w:type="dxa"/>
            <w:vMerge/>
            <w:vAlign w:val="center"/>
          </w:tcPr>
          <w:p w14:paraId="53BA3BBA" w14:textId="77777777" w:rsidR="00C87E1E" w:rsidRPr="0018578C" w:rsidRDefault="00C87E1E" w:rsidP="00C87E1E">
            <w:pPr>
              <w:jc w:val="center"/>
              <w:rPr>
                <w:noProof/>
                <w:lang w:eastAsia="en-GB"/>
              </w:rPr>
            </w:pPr>
          </w:p>
        </w:tc>
        <w:tc>
          <w:tcPr>
            <w:tcW w:w="3960" w:type="dxa"/>
            <w:vAlign w:val="center"/>
          </w:tcPr>
          <w:p w14:paraId="2A92336D" w14:textId="77777777" w:rsidR="00C87E1E" w:rsidRPr="0018578C" w:rsidRDefault="00C87E1E" w:rsidP="00C87E1E">
            <w:pPr>
              <w:rPr>
                <w:noProof/>
              </w:rPr>
            </w:pPr>
            <w:r w:rsidRPr="0018578C">
              <w:rPr>
                <w:noProof/>
                <w:sz w:val="20"/>
              </w:rPr>
              <w:t xml:space="preserve">Numero </w:t>
            </w:r>
            <w:r w:rsidRPr="0018578C">
              <w:rPr>
                <w:noProof/>
              </w:rPr>
              <w:t xml:space="preserve"> </w:t>
            </w:r>
            <w:r w:rsidRPr="0018578C">
              <w:rPr>
                <w:noProof/>
              </w:rPr>
              <w:br/>
            </w:r>
          </w:p>
        </w:tc>
        <w:tc>
          <w:tcPr>
            <w:tcW w:w="1080" w:type="dxa"/>
            <w:vAlign w:val="center"/>
          </w:tcPr>
          <w:p w14:paraId="45CBA2CE" w14:textId="77777777" w:rsidR="00C87E1E" w:rsidRPr="0018578C" w:rsidRDefault="00C87E1E" w:rsidP="00C87E1E">
            <w:pPr>
              <w:jc w:val="center"/>
              <w:rPr>
                <w:noProof/>
              </w:rPr>
            </w:pPr>
            <w:r w:rsidRPr="0018578C">
              <w:rPr>
                <w:noProof/>
                <w:sz w:val="18"/>
              </w:rPr>
              <w:t>Diss./Non diss.</w:t>
            </w:r>
            <w:r w:rsidRPr="0018578C">
              <w:rPr>
                <w:rStyle w:val="FootnoteReference"/>
                <w:noProof/>
              </w:rPr>
              <w:footnoteReference w:id="22"/>
            </w:r>
          </w:p>
        </w:tc>
        <w:tc>
          <w:tcPr>
            <w:tcW w:w="956" w:type="dxa"/>
            <w:vAlign w:val="center"/>
          </w:tcPr>
          <w:p w14:paraId="30319A3E" w14:textId="77777777" w:rsidR="00C87E1E" w:rsidRPr="0018578C" w:rsidRDefault="00C87E1E" w:rsidP="00C87E1E">
            <w:pPr>
              <w:jc w:val="center"/>
              <w:rPr>
                <w:noProof/>
              </w:rPr>
            </w:pPr>
            <w:r w:rsidRPr="0018578C">
              <w:rPr>
                <w:noProof/>
                <w:sz w:val="18"/>
              </w:rPr>
              <w:t>di paesi EFTA</w:t>
            </w:r>
            <w:r w:rsidRPr="0018578C">
              <w:rPr>
                <w:rStyle w:val="FootnoteReference"/>
                <w:noProof/>
              </w:rPr>
              <w:footnoteReference w:id="23"/>
            </w:r>
          </w:p>
          <w:p w14:paraId="79F71B74" w14:textId="77777777" w:rsidR="00C87E1E" w:rsidRPr="0018578C" w:rsidRDefault="00C87E1E" w:rsidP="00C87E1E">
            <w:pPr>
              <w:spacing w:before="0" w:after="0"/>
              <w:jc w:val="center"/>
              <w:rPr>
                <w:b/>
                <w:noProof/>
                <w:sz w:val="18"/>
                <w:lang w:eastAsia="en-GB"/>
              </w:rPr>
            </w:pPr>
          </w:p>
        </w:tc>
        <w:tc>
          <w:tcPr>
            <w:tcW w:w="1080" w:type="dxa"/>
            <w:vAlign w:val="center"/>
          </w:tcPr>
          <w:p w14:paraId="17E536AA" w14:textId="77777777" w:rsidR="00C87E1E" w:rsidRPr="0018578C" w:rsidRDefault="00C87E1E" w:rsidP="00C87E1E">
            <w:pPr>
              <w:jc w:val="center"/>
              <w:rPr>
                <w:noProof/>
              </w:rPr>
            </w:pPr>
            <w:r w:rsidRPr="0018578C">
              <w:rPr>
                <w:noProof/>
                <w:sz w:val="18"/>
              </w:rPr>
              <w:t>di paesi candidati</w:t>
            </w:r>
            <w:r w:rsidRPr="0018578C">
              <w:rPr>
                <w:rStyle w:val="FootnoteReference"/>
                <w:noProof/>
              </w:rPr>
              <w:footnoteReference w:id="24"/>
            </w:r>
          </w:p>
          <w:p w14:paraId="4F6EE59C" w14:textId="77777777" w:rsidR="00C87E1E" w:rsidRPr="0018578C" w:rsidRDefault="00C87E1E" w:rsidP="00C87E1E">
            <w:pPr>
              <w:spacing w:before="0" w:after="0"/>
              <w:jc w:val="center"/>
              <w:rPr>
                <w:noProof/>
                <w:sz w:val="18"/>
                <w:lang w:eastAsia="en-GB"/>
              </w:rPr>
            </w:pPr>
          </w:p>
        </w:tc>
        <w:tc>
          <w:tcPr>
            <w:tcW w:w="956" w:type="dxa"/>
            <w:vAlign w:val="center"/>
          </w:tcPr>
          <w:p w14:paraId="6C6B60F2" w14:textId="77777777" w:rsidR="00C87E1E" w:rsidRPr="0018578C" w:rsidRDefault="00C87E1E" w:rsidP="00C87E1E">
            <w:pPr>
              <w:jc w:val="center"/>
              <w:rPr>
                <w:noProof/>
                <w:sz w:val="18"/>
              </w:rPr>
            </w:pPr>
            <w:r w:rsidRPr="0018578C">
              <w:rPr>
                <w:noProof/>
                <w:sz w:val="18"/>
              </w:rPr>
              <w:t>di paesi terzi</w:t>
            </w:r>
          </w:p>
        </w:tc>
        <w:tc>
          <w:tcPr>
            <w:tcW w:w="1448" w:type="dxa"/>
            <w:vAlign w:val="center"/>
          </w:tcPr>
          <w:p w14:paraId="6E73047E" w14:textId="77777777" w:rsidR="00C87E1E" w:rsidRPr="0018578C" w:rsidRDefault="00C87E1E" w:rsidP="00C87E1E">
            <w:pPr>
              <w:jc w:val="center"/>
              <w:rPr>
                <w:noProof/>
              </w:rPr>
            </w:pPr>
            <w:r w:rsidRPr="0018578C">
              <w:rPr>
                <w:noProof/>
                <w:sz w:val="16"/>
              </w:rPr>
              <w:t xml:space="preserve">ai sensi dell'articolo 21, paragrafo 2, lettera b), del regolamento finanziario </w:t>
            </w:r>
          </w:p>
        </w:tc>
      </w:tr>
      <w:tr w:rsidR="00C87E1E" w:rsidRPr="0018578C" w14:paraId="1638FF49" w14:textId="77777777" w:rsidTr="00C87E1E">
        <w:tc>
          <w:tcPr>
            <w:tcW w:w="1080" w:type="dxa"/>
            <w:vAlign w:val="center"/>
          </w:tcPr>
          <w:p w14:paraId="50386083" w14:textId="77777777" w:rsidR="00C87E1E" w:rsidRPr="0018578C" w:rsidRDefault="00C87E1E" w:rsidP="00C87E1E">
            <w:pPr>
              <w:jc w:val="center"/>
              <w:rPr>
                <w:noProof/>
                <w:color w:val="0000FF"/>
                <w:sz w:val="20"/>
                <w:szCs w:val="20"/>
              </w:rPr>
            </w:pPr>
            <w:r w:rsidRPr="0018578C">
              <w:rPr>
                <w:noProof/>
                <w:sz w:val="20"/>
              </w:rPr>
              <w:t>2a Coesione economica, sociale e territoriale</w:t>
            </w:r>
          </w:p>
        </w:tc>
        <w:tc>
          <w:tcPr>
            <w:tcW w:w="3960" w:type="dxa"/>
            <w:vAlign w:val="center"/>
          </w:tcPr>
          <w:p w14:paraId="1DDB7462" w14:textId="77777777" w:rsidR="00431F4F" w:rsidRPr="0018578C" w:rsidRDefault="00431F4F" w:rsidP="00431F4F">
            <w:pPr>
              <w:spacing w:before="60"/>
              <w:rPr>
                <w:noProof/>
                <w:sz w:val="22"/>
              </w:rPr>
            </w:pPr>
            <w:r w:rsidRPr="0018578C">
              <w:rPr>
                <w:noProof/>
                <w:sz w:val="22"/>
              </w:rPr>
              <w:t>05.02.01 Fondo europeo di sviluppo regionale (FESR) – Spese operative</w:t>
            </w:r>
          </w:p>
          <w:p w14:paraId="070C9192" w14:textId="77777777" w:rsidR="00431F4F" w:rsidRPr="0018578C" w:rsidRDefault="00431F4F" w:rsidP="00431F4F">
            <w:pPr>
              <w:spacing w:before="60"/>
              <w:rPr>
                <w:noProof/>
                <w:sz w:val="22"/>
              </w:rPr>
            </w:pPr>
            <w:r w:rsidRPr="0018578C">
              <w:rPr>
                <w:noProof/>
                <w:sz w:val="22"/>
              </w:rPr>
              <w:t>05.03.01 Fondo di coesione (FC) – Spese operative</w:t>
            </w:r>
          </w:p>
          <w:p w14:paraId="083949D6" w14:textId="77777777" w:rsidR="00C87E1E" w:rsidRPr="0018578C" w:rsidRDefault="00431F4F" w:rsidP="00C87E1E">
            <w:pPr>
              <w:spacing w:after="60"/>
              <w:rPr>
                <w:noProof/>
                <w:sz w:val="22"/>
              </w:rPr>
            </w:pPr>
            <w:r w:rsidRPr="0018578C">
              <w:rPr>
                <w:noProof/>
                <w:sz w:val="22"/>
              </w:rPr>
              <w:t>07.02.01 Componente del Fondo sociale europeo Plus (FSE +) in regime di gestione concorrente – Spese operative</w:t>
            </w:r>
          </w:p>
        </w:tc>
        <w:tc>
          <w:tcPr>
            <w:tcW w:w="1080" w:type="dxa"/>
            <w:vAlign w:val="center"/>
          </w:tcPr>
          <w:p w14:paraId="18D24846" w14:textId="77777777" w:rsidR="00C87E1E" w:rsidRPr="0018578C" w:rsidRDefault="00C87E1E" w:rsidP="00C87E1E">
            <w:pPr>
              <w:jc w:val="center"/>
              <w:rPr>
                <w:noProof/>
                <w:color w:val="0000FF"/>
              </w:rPr>
            </w:pPr>
            <w:r w:rsidRPr="0018578C">
              <w:rPr>
                <w:noProof/>
                <w:sz w:val="22"/>
              </w:rPr>
              <w:t>Diss.</w:t>
            </w:r>
          </w:p>
        </w:tc>
        <w:tc>
          <w:tcPr>
            <w:tcW w:w="956" w:type="dxa"/>
            <w:vAlign w:val="center"/>
          </w:tcPr>
          <w:p w14:paraId="562B5B61" w14:textId="77777777" w:rsidR="00C87E1E" w:rsidRPr="0018578C" w:rsidRDefault="00C87E1E" w:rsidP="00C87E1E">
            <w:pPr>
              <w:jc w:val="center"/>
              <w:rPr>
                <w:noProof/>
                <w:sz w:val="20"/>
                <w:szCs w:val="20"/>
              </w:rPr>
            </w:pPr>
            <w:r w:rsidRPr="0018578C">
              <w:rPr>
                <w:noProof/>
                <w:sz w:val="20"/>
              </w:rPr>
              <w:t>NO</w:t>
            </w:r>
          </w:p>
        </w:tc>
        <w:tc>
          <w:tcPr>
            <w:tcW w:w="1080" w:type="dxa"/>
            <w:vAlign w:val="center"/>
          </w:tcPr>
          <w:p w14:paraId="585D69AF" w14:textId="77777777" w:rsidR="00C87E1E" w:rsidRPr="0018578C" w:rsidRDefault="00C87E1E" w:rsidP="00C87E1E">
            <w:pPr>
              <w:jc w:val="center"/>
              <w:rPr>
                <w:noProof/>
                <w:sz w:val="20"/>
                <w:szCs w:val="20"/>
              </w:rPr>
            </w:pPr>
            <w:r w:rsidRPr="0018578C">
              <w:rPr>
                <w:noProof/>
                <w:sz w:val="20"/>
              </w:rPr>
              <w:t>NO</w:t>
            </w:r>
          </w:p>
        </w:tc>
        <w:tc>
          <w:tcPr>
            <w:tcW w:w="956" w:type="dxa"/>
            <w:vAlign w:val="center"/>
          </w:tcPr>
          <w:p w14:paraId="12AC496D" w14:textId="77777777" w:rsidR="00C87E1E" w:rsidRPr="0018578C" w:rsidRDefault="00C87E1E" w:rsidP="00C87E1E">
            <w:pPr>
              <w:jc w:val="center"/>
              <w:rPr>
                <w:noProof/>
                <w:sz w:val="20"/>
                <w:szCs w:val="20"/>
              </w:rPr>
            </w:pPr>
            <w:r w:rsidRPr="0018578C">
              <w:rPr>
                <w:noProof/>
                <w:sz w:val="20"/>
              </w:rPr>
              <w:t>NO</w:t>
            </w:r>
          </w:p>
        </w:tc>
        <w:tc>
          <w:tcPr>
            <w:tcW w:w="1448" w:type="dxa"/>
            <w:vAlign w:val="center"/>
          </w:tcPr>
          <w:p w14:paraId="76898ED2" w14:textId="77777777" w:rsidR="00C87E1E" w:rsidRPr="0018578C" w:rsidRDefault="00C87E1E" w:rsidP="00C87E1E">
            <w:pPr>
              <w:jc w:val="center"/>
              <w:rPr>
                <w:noProof/>
                <w:sz w:val="20"/>
                <w:szCs w:val="20"/>
              </w:rPr>
            </w:pPr>
            <w:r w:rsidRPr="0018578C">
              <w:rPr>
                <w:noProof/>
                <w:sz w:val="20"/>
              </w:rPr>
              <w:t>NO</w:t>
            </w:r>
          </w:p>
        </w:tc>
      </w:tr>
    </w:tbl>
    <w:p w14:paraId="23A643B3" w14:textId="77777777" w:rsidR="00C87E1E" w:rsidRPr="0018578C" w:rsidRDefault="00C87E1E" w:rsidP="00C87E1E">
      <w:pPr>
        <w:rPr>
          <w:noProof/>
          <w:lang w:eastAsia="en-GB"/>
        </w:rPr>
        <w:sectPr w:rsidR="00C87E1E" w:rsidRPr="0018578C" w:rsidSect="0005544D">
          <w:pgSz w:w="11907" w:h="16840" w:code="1"/>
          <w:pgMar w:top="1134" w:right="1418" w:bottom="1134" w:left="1418" w:header="709" w:footer="709" w:gutter="0"/>
          <w:cols w:space="708"/>
          <w:docGrid w:linePitch="360"/>
        </w:sectPr>
      </w:pPr>
    </w:p>
    <w:p w14:paraId="3C7FFC00" w14:textId="77777777" w:rsidR="00C87E1E" w:rsidRPr="0018578C" w:rsidRDefault="00C87E1E" w:rsidP="00FB18F4">
      <w:pPr>
        <w:keepNext/>
        <w:outlineLvl w:val="1"/>
        <w:rPr>
          <w:rFonts w:eastAsiaTheme="majorEastAsia"/>
          <w:b/>
          <w:noProof/>
          <w:szCs w:val="24"/>
        </w:rPr>
      </w:pPr>
      <w:bookmarkStart w:id="53" w:name="_Toc514938052"/>
      <w:bookmarkStart w:id="54" w:name="_Toc520485051"/>
      <w:r w:rsidRPr="0018578C">
        <w:rPr>
          <w:b/>
          <w:noProof/>
        </w:rPr>
        <w:t>Incidenza finanziaria prevista della proposta sugli stanziamenti</w:t>
      </w:r>
      <w:bookmarkEnd w:id="53"/>
      <w:bookmarkEnd w:id="54"/>
      <w:r w:rsidRPr="0018578C">
        <w:rPr>
          <w:b/>
          <w:noProof/>
        </w:rPr>
        <w:t xml:space="preserve"> </w:t>
      </w:r>
    </w:p>
    <w:p w14:paraId="14F35AE7" w14:textId="77777777" w:rsidR="00C87E1E" w:rsidRPr="0018578C" w:rsidRDefault="00C87E1E" w:rsidP="00FB18F4">
      <w:pPr>
        <w:keepNext/>
        <w:outlineLvl w:val="2"/>
        <w:rPr>
          <w:rFonts w:eastAsiaTheme="majorEastAsia"/>
          <w:bCs/>
          <w:i/>
          <w:noProof/>
        </w:rPr>
      </w:pPr>
      <w:bookmarkStart w:id="55" w:name="_Toc514938053"/>
      <w:bookmarkStart w:id="56" w:name="_Toc520485052"/>
      <w:r w:rsidRPr="0018578C">
        <w:rPr>
          <w:i/>
          <w:noProof/>
        </w:rPr>
        <w:t>Sintesi dell'incidenza prevista sugli stanziamenti operativi</w:t>
      </w:r>
      <w:bookmarkEnd w:id="55"/>
      <w:bookmarkEnd w:id="56"/>
      <w:r w:rsidRPr="0018578C">
        <w:rPr>
          <w:i/>
          <w:noProof/>
        </w:rPr>
        <w:t xml:space="preserve"> </w:t>
      </w:r>
    </w:p>
    <w:p w14:paraId="56F30DA8" w14:textId="77777777" w:rsidR="00C87E1E" w:rsidRPr="0018578C" w:rsidRDefault="00C87E1E" w:rsidP="00FB18F4">
      <w:pPr>
        <w:rPr>
          <w:noProof/>
          <w:lang w:eastAsia="en-GB"/>
        </w:rPr>
      </w:pPr>
    </w:p>
    <w:p w14:paraId="455FD9A5" w14:textId="77777777" w:rsidR="00E41E7D" w:rsidRPr="0018578C" w:rsidRDefault="00E41E7D" w:rsidP="00E41E7D">
      <w:pPr>
        <w:pStyle w:val="Text1"/>
        <w:ind w:left="0"/>
        <w:rPr>
          <w:noProof/>
        </w:rPr>
      </w:pPr>
      <w:r w:rsidRPr="0018578C">
        <w:rPr>
          <w:noProof/>
        </w:rPr>
        <w:t xml:space="preserve">La modifica proposta non comporta alcuna variazione dei massimali annui per gli impegni e i pagamenti previsti nel quadro finanziario pluriennale di cui all'allegato I del regolamento (UE) n. 1311/2013 né modifiche del fabbisogno complessivo di pagamenti per il periodo 2021-2027. </w:t>
      </w:r>
    </w:p>
    <w:p w14:paraId="092D7333" w14:textId="77777777" w:rsidR="00E41E7D" w:rsidRPr="0018578C" w:rsidRDefault="00E41E7D" w:rsidP="00E41E7D">
      <w:pPr>
        <w:pStyle w:val="Text1"/>
        <w:ind w:left="0"/>
        <w:rPr>
          <w:noProof/>
        </w:rPr>
      </w:pPr>
      <w:r w:rsidRPr="0018578C">
        <w:rPr>
          <w:noProof/>
        </w:rPr>
        <w:t xml:space="preserve">La ripartizione annuale totale degli stanziamenti d'impegno per il Fondo europeo di sviluppo regionale, il Fondo sociale europeo Plus e il Fondo di coesione rimane invariata. </w:t>
      </w:r>
    </w:p>
    <w:p w14:paraId="2FA9205A" w14:textId="77777777" w:rsidR="00E33098" w:rsidRPr="0018578C" w:rsidRDefault="00E33098" w:rsidP="00E33098">
      <w:pPr>
        <w:rPr>
          <w:noProof/>
        </w:rPr>
      </w:pPr>
      <w:r w:rsidRPr="0018578C">
        <w:rPr>
          <w:noProof/>
        </w:rPr>
        <w:t>La proposta dovrebbe comportare un'anticipazione degli stanziamenti di pagamento per gli anni civili 2022 e 2023, come stimato di seguito.</w:t>
      </w:r>
    </w:p>
    <w:p w14:paraId="064AF8B6" w14:textId="77777777" w:rsidR="00E33098" w:rsidRPr="0018578C" w:rsidRDefault="00E33098" w:rsidP="00E33098">
      <w:pPr>
        <w:rPr>
          <w:rFonts w:eastAsia="Times New Roman"/>
          <w:noProof/>
        </w:rPr>
      </w:pPr>
      <w:r w:rsidRPr="0018578C">
        <w:rPr>
          <w:noProof/>
        </w:rPr>
        <w:t>La proposta/iniziativa non comporta l'utilizzo di stanziamenti amministrativi.</w:t>
      </w:r>
    </w:p>
    <w:p w14:paraId="053413B2" w14:textId="77777777" w:rsidR="007909C9" w:rsidRPr="0018578C" w:rsidRDefault="007909C9">
      <w:pPr>
        <w:spacing w:before="0" w:after="200" w:line="276" w:lineRule="auto"/>
        <w:jc w:val="left"/>
        <w:rPr>
          <w:noProof/>
          <w:sz w:val="18"/>
          <w:szCs w:val="18"/>
        </w:rPr>
      </w:pPr>
      <w:r w:rsidRPr="0018578C">
        <w:rPr>
          <w:noProof/>
        </w:rPr>
        <w:br w:type="page"/>
      </w:r>
    </w:p>
    <w:p w14:paraId="39E44245" w14:textId="77777777" w:rsidR="00C87E1E" w:rsidRPr="0018578C" w:rsidRDefault="00C87E1E" w:rsidP="00C87E1E">
      <w:pPr>
        <w:jc w:val="right"/>
        <w:rPr>
          <w:noProof/>
          <w:sz w:val="18"/>
          <w:szCs w:val="18"/>
        </w:rPr>
      </w:pPr>
      <w:r w:rsidRPr="0018578C">
        <w:rPr>
          <w:noProof/>
          <w:sz w:val="18"/>
        </w:rPr>
        <w:t>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18578C" w14:paraId="63FB301A" w14:textId="77777777" w:rsidTr="00C87E1E">
        <w:trPr>
          <w:jc w:val="center"/>
        </w:trPr>
        <w:tc>
          <w:tcPr>
            <w:tcW w:w="4744" w:type="dxa"/>
            <w:shd w:val="thinDiagStripe" w:color="C0C0C0" w:fill="auto"/>
            <w:vAlign w:val="center"/>
          </w:tcPr>
          <w:p w14:paraId="04CF2A29" w14:textId="77777777" w:rsidR="00C87E1E" w:rsidRPr="0018578C" w:rsidRDefault="00C87E1E" w:rsidP="00C87E1E">
            <w:pPr>
              <w:spacing w:before="60" w:after="60"/>
              <w:jc w:val="center"/>
              <w:rPr>
                <w:b/>
                <w:noProof/>
              </w:rPr>
            </w:pPr>
            <w:r w:rsidRPr="0018578C">
              <w:rPr>
                <w:b/>
                <w:noProof/>
                <w:sz w:val="22"/>
              </w:rPr>
              <w:t xml:space="preserve">Rubrica del quadro finanziario pluriennale </w:t>
            </w:r>
          </w:p>
        </w:tc>
        <w:tc>
          <w:tcPr>
            <w:tcW w:w="1080" w:type="dxa"/>
            <w:vAlign w:val="center"/>
          </w:tcPr>
          <w:p w14:paraId="1A911940" w14:textId="77777777" w:rsidR="00C87E1E" w:rsidRPr="0018578C" w:rsidRDefault="00C87E1E" w:rsidP="00C87E1E">
            <w:pPr>
              <w:spacing w:before="60" w:after="60"/>
              <w:jc w:val="center"/>
              <w:rPr>
                <w:noProof/>
              </w:rPr>
            </w:pPr>
            <w:r w:rsidRPr="0018578C">
              <w:rPr>
                <w:noProof/>
                <w:sz w:val="22"/>
              </w:rPr>
              <w:t>Numero</w:t>
            </w:r>
          </w:p>
        </w:tc>
        <w:tc>
          <w:tcPr>
            <w:tcW w:w="7817" w:type="dxa"/>
            <w:vAlign w:val="center"/>
          </w:tcPr>
          <w:p w14:paraId="4B826220" w14:textId="77777777" w:rsidR="00C87E1E" w:rsidRPr="0018578C" w:rsidRDefault="00C87E1E" w:rsidP="00C87E1E">
            <w:pPr>
              <w:spacing w:before="60" w:after="60"/>
              <w:rPr>
                <w:noProof/>
              </w:rPr>
            </w:pPr>
            <w:r w:rsidRPr="0018578C">
              <w:rPr>
                <w:noProof/>
              </w:rPr>
              <w:t>2a</w:t>
            </w:r>
          </w:p>
        </w:tc>
      </w:tr>
    </w:tbl>
    <w:p w14:paraId="3671446A" w14:textId="77777777" w:rsidR="00C87E1E" w:rsidRPr="0018578C" w:rsidRDefault="00C87E1E" w:rsidP="00C87E1E">
      <w:pPr>
        <w:rPr>
          <w:noProof/>
          <w:sz w:val="16"/>
          <w:lang w:eastAsia="en-GB"/>
        </w:rPr>
      </w:pP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276"/>
        <w:gridCol w:w="576"/>
        <w:gridCol w:w="703"/>
        <w:gridCol w:w="1134"/>
        <w:gridCol w:w="1131"/>
        <w:gridCol w:w="992"/>
        <w:gridCol w:w="709"/>
        <w:gridCol w:w="708"/>
        <w:gridCol w:w="1276"/>
        <w:gridCol w:w="1843"/>
      </w:tblGrid>
      <w:tr w:rsidR="00431F4F" w:rsidRPr="0018578C" w14:paraId="3A13F1CD" w14:textId="77777777" w:rsidTr="00A27D48">
        <w:tc>
          <w:tcPr>
            <w:tcW w:w="3904" w:type="dxa"/>
            <w:vAlign w:val="center"/>
          </w:tcPr>
          <w:p w14:paraId="325A70B9" w14:textId="77777777" w:rsidR="00431F4F" w:rsidRPr="0018578C" w:rsidRDefault="00431F4F" w:rsidP="00431F4F">
            <w:pPr>
              <w:jc w:val="center"/>
              <w:rPr>
                <w:noProof/>
              </w:rPr>
            </w:pPr>
            <w:r w:rsidRPr="0018578C">
              <w:rPr>
                <w:noProof/>
                <w:sz w:val="22"/>
              </w:rPr>
              <w:t>DG Politica regionale e urbana e DG Occupazione, affari sociali e inclusione</w:t>
            </w:r>
          </w:p>
        </w:tc>
        <w:tc>
          <w:tcPr>
            <w:tcW w:w="1276" w:type="dxa"/>
          </w:tcPr>
          <w:p w14:paraId="52A3375B" w14:textId="77777777" w:rsidR="00431F4F" w:rsidRPr="0018578C" w:rsidRDefault="00431F4F" w:rsidP="00431F4F">
            <w:pPr>
              <w:rPr>
                <w:noProof/>
                <w:sz w:val="20"/>
                <w:lang w:eastAsia="en-GB"/>
              </w:rPr>
            </w:pPr>
          </w:p>
        </w:tc>
        <w:tc>
          <w:tcPr>
            <w:tcW w:w="576" w:type="dxa"/>
          </w:tcPr>
          <w:p w14:paraId="5A8F8934" w14:textId="77777777" w:rsidR="00431F4F" w:rsidRPr="0018578C" w:rsidRDefault="00431F4F" w:rsidP="00431F4F">
            <w:pPr>
              <w:jc w:val="center"/>
              <w:rPr>
                <w:noProof/>
                <w:sz w:val="20"/>
                <w:lang w:eastAsia="en-GB"/>
              </w:rPr>
            </w:pPr>
          </w:p>
        </w:tc>
        <w:tc>
          <w:tcPr>
            <w:tcW w:w="703" w:type="dxa"/>
            <w:vAlign w:val="center"/>
          </w:tcPr>
          <w:p w14:paraId="4F8F865A" w14:textId="77777777" w:rsidR="00431F4F" w:rsidRPr="0018578C" w:rsidRDefault="00431F4F" w:rsidP="00431F4F">
            <w:pPr>
              <w:jc w:val="center"/>
              <w:rPr>
                <w:noProof/>
                <w:sz w:val="20"/>
              </w:rPr>
            </w:pPr>
            <w:r w:rsidRPr="0018578C">
              <w:rPr>
                <w:b/>
                <w:noProof/>
                <w:sz w:val="20"/>
              </w:rPr>
              <w:t>2021</w:t>
            </w:r>
          </w:p>
        </w:tc>
        <w:tc>
          <w:tcPr>
            <w:tcW w:w="1134" w:type="dxa"/>
            <w:vAlign w:val="center"/>
          </w:tcPr>
          <w:p w14:paraId="50220B34" w14:textId="77777777" w:rsidR="00431F4F" w:rsidRPr="0018578C" w:rsidRDefault="00431F4F" w:rsidP="00431F4F">
            <w:pPr>
              <w:jc w:val="center"/>
              <w:rPr>
                <w:noProof/>
                <w:sz w:val="20"/>
              </w:rPr>
            </w:pPr>
            <w:r w:rsidRPr="0018578C">
              <w:rPr>
                <w:b/>
                <w:noProof/>
                <w:sz w:val="20"/>
              </w:rPr>
              <w:t>2022</w:t>
            </w:r>
          </w:p>
        </w:tc>
        <w:tc>
          <w:tcPr>
            <w:tcW w:w="1131" w:type="dxa"/>
            <w:vAlign w:val="center"/>
          </w:tcPr>
          <w:p w14:paraId="4514A1EE" w14:textId="77777777" w:rsidR="00431F4F" w:rsidRPr="0018578C" w:rsidRDefault="00431F4F" w:rsidP="00431F4F">
            <w:pPr>
              <w:jc w:val="center"/>
              <w:rPr>
                <w:noProof/>
                <w:sz w:val="20"/>
              </w:rPr>
            </w:pPr>
            <w:r w:rsidRPr="0018578C">
              <w:rPr>
                <w:b/>
                <w:noProof/>
                <w:sz w:val="20"/>
              </w:rPr>
              <w:t>2023</w:t>
            </w:r>
          </w:p>
        </w:tc>
        <w:tc>
          <w:tcPr>
            <w:tcW w:w="992" w:type="dxa"/>
            <w:vAlign w:val="center"/>
          </w:tcPr>
          <w:p w14:paraId="439511B6" w14:textId="77777777" w:rsidR="00431F4F" w:rsidRPr="0018578C" w:rsidRDefault="00431F4F" w:rsidP="00431F4F">
            <w:pPr>
              <w:jc w:val="center"/>
              <w:rPr>
                <w:noProof/>
                <w:sz w:val="20"/>
              </w:rPr>
            </w:pPr>
            <w:r w:rsidRPr="0018578C">
              <w:rPr>
                <w:b/>
                <w:noProof/>
                <w:sz w:val="20"/>
              </w:rPr>
              <w:t>2024</w:t>
            </w:r>
          </w:p>
        </w:tc>
        <w:tc>
          <w:tcPr>
            <w:tcW w:w="709" w:type="dxa"/>
            <w:vAlign w:val="center"/>
          </w:tcPr>
          <w:p w14:paraId="48D53C52" w14:textId="77777777" w:rsidR="00431F4F" w:rsidRPr="0018578C" w:rsidRDefault="00431F4F" w:rsidP="00431F4F">
            <w:pPr>
              <w:jc w:val="center"/>
              <w:rPr>
                <w:b/>
                <w:noProof/>
                <w:sz w:val="20"/>
              </w:rPr>
            </w:pPr>
            <w:r w:rsidRPr="0018578C">
              <w:rPr>
                <w:b/>
                <w:noProof/>
                <w:sz w:val="20"/>
              </w:rPr>
              <w:t>2025</w:t>
            </w:r>
          </w:p>
        </w:tc>
        <w:tc>
          <w:tcPr>
            <w:tcW w:w="708" w:type="dxa"/>
            <w:vAlign w:val="center"/>
          </w:tcPr>
          <w:p w14:paraId="37780163" w14:textId="77777777" w:rsidR="00431F4F" w:rsidRPr="0018578C" w:rsidRDefault="00431F4F" w:rsidP="00431F4F">
            <w:pPr>
              <w:jc w:val="center"/>
              <w:rPr>
                <w:b/>
                <w:noProof/>
                <w:sz w:val="20"/>
              </w:rPr>
            </w:pPr>
            <w:r w:rsidRPr="0018578C">
              <w:rPr>
                <w:b/>
                <w:noProof/>
                <w:sz w:val="20"/>
              </w:rPr>
              <w:t>2026</w:t>
            </w:r>
          </w:p>
        </w:tc>
        <w:tc>
          <w:tcPr>
            <w:tcW w:w="1276" w:type="dxa"/>
            <w:vAlign w:val="center"/>
          </w:tcPr>
          <w:p w14:paraId="11DA0683" w14:textId="77777777" w:rsidR="00431F4F" w:rsidRPr="0018578C" w:rsidRDefault="00431F4F" w:rsidP="00431F4F">
            <w:pPr>
              <w:jc w:val="center"/>
              <w:rPr>
                <w:b/>
                <w:noProof/>
                <w:sz w:val="20"/>
              </w:rPr>
            </w:pPr>
            <w:r w:rsidRPr="0018578C">
              <w:rPr>
                <w:b/>
                <w:noProof/>
                <w:sz w:val="20"/>
              </w:rPr>
              <w:t>2027</w:t>
            </w:r>
          </w:p>
        </w:tc>
        <w:tc>
          <w:tcPr>
            <w:tcW w:w="1843" w:type="dxa"/>
            <w:vAlign w:val="center"/>
          </w:tcPr>
          <w:p w14:paraId="7438975E" w14:textId="77777777" w:rsidR="00431F4F" w:rsidRPr="0018578C" w:rsidRDefault="00431F4F" w:rsidP="00431F4F">
            <w:pPr>
              <w:jc w:val="center"/>
              <w:rPr>
                <w:b/>
                <w:noProof/>
                <w:sz w:val="20"/>
              </w:rPr>
            </w:pPr>
            <w:r w:rsidRPr="0018578C">
              <w:rPr>
                <w:b/>
                <w:noProof/>
                <w:sz w:val="20"/>
              </w:rPr>
              <w:t>TOTALE</w:t>
            </w:r>
          </w:p>
        </w:tc>
      </w:tr>
      <w:tr w:rsidR="00431F4F" w:rsidRPr="0018578C" w14:paraId="4F699956" w14:textId="77777777" w:rsidTr="00A27D48">
        <w:trPr>
          <w:trHeight w:val="213"/>
        </w:trPr>
        <w:tc>
          <w:tcPr>
            <w:tcW w:w="5756" w:type="dxa"/>
            <w:gridSpan w:val="3"/>
            <w:vAlign w:val="center"/>
          </w:tcPr>
          <w:p w14:paraId="2A301AAB" w14:textId="77777777" w:rsidR="00431F4F" w:rsidRPr="0018578C" w:rsidRDefault="00431F4F" w:rsidP="00431F4F">
            <w:pPr>
              <w:spacing w:before="20" w:after="20"/>
              <w:rPr>
                <w:noProof/>
                <w:sz w:val="21"/>
              </w:rPr>
            </w:pPr>
            <w:r w:rsidRPr="0018578C">
              <w:rPr>
                <w:noProof/>
                <w:sz w:val="21"/>
              </w:rPr>
              <w:sym w:font="Wingdings" w:char="F09F"/>
            </w:r>
            <w:r w:rsidRPr="0018578C">
              <w:rPr>
                <w:noProof/>
                <w:sz w:val="21"/>
              </w:rPr>
              <w:t xml:space="preserve"> Stanziamenti operativi </w:t>
            </w:r>
          </w:p>
        </w:tc>
        <w:tc>
          <w:tcPr>
            <w:tcW w:w="703" w:type="dxa"/>
            <w:vAlign w:val="center"/>
          </w:tcPr>
          <w:p w14:paraId="127BD9C1" w14:textId="77777777" w:rsidR="00431F4F" w:rsidRPr="0018578C" w:rsidRDefault="00431F4F" w:rsidP="00431F4F">
            <w:pPr>
              <w:rPr>
                <w:noProof/>
                <w:sz w:val="20"/>
                <w:lang w:eastAsia="en-GB"/>
              </w:rPr>
            </w:pPr>
          </w:p>
        </w:tc>
        <w:tc>
          <w:tcPr>
            <w:tcW w:w="1134" w:type="dxa"/>
            <w:vAlign w:val="center"/>
          </w:tcPr>
          <w:p w14:paraId="345D8D77" w14:textId="77777777" w:rsidR="00431F4F" w:rsidRPr="0018578C" w:rsidRDefault="00431F4F" w:rsidP="00431F4F">
            <w:pPr>
              <w:rPr>
                <w:noProof/>
                <w:sz w:val="20"/>
                <w:lang w:eastAsia="en-GB"/>
              </w:rPr>
            </w:pPr>
          </w:p>
        </w:tc>
        <w:tc>
          <w:tcPr>
            <w:tcW w:w="1131" w:type="dxa"/>
            <w:vAlign w:val="center"/>
          </w:tcPr>
          <w:p w14:paraId="0408EB98" w14:textId="77777777" w:rsidR="00431F4F" w:rsidRPr="0018578C" w:rsidRDefault="00431F4F" w:rsidP="00431F4F">
            <w:pPr>
              <w:rPr>
                <w:noProof/>
                <w:sz w:val="20"/>
                <w:lang w:eastAsia="en-GB"/>
              </w:rPr>
            </w:pPr>
          </w:p>
        </w:tc>
        <w:tc>
          <w:tcPr>
            <w:tcW w:w="992" w:type="dxa"/>
            <w:vAlign w:val="center"/>
          </w:tcPr>
          <w:p w14:paraId="6542E621" w14:textId="77777777" w:rsidR="00431F4F" w:rsidRPr="0018578C" w:rsidRDefault="00431F4F" w:rsidP="00431F4F">
            <w:pPr>
              <w:rPr>
                <w:noProof/>
                <w:sz w:val="20"/>
                <w:lang w:eastAsia="en-GB"/>
              </w:rPr>
            </w:pPr>
          </w:p>
        </w:tc>
        <w:tc>
          <w:tcPr>
            <w:tcW w:w="709" w:type="dxa"/>
          </w:tcPr>
          <w:p w14:paraId="52837DDE" w14:textId="77777777" w:rsidR="00431F4F" w:rsidRPr="0018578C" w:rsidRDefault="00431F4F" w:rsidP="00431F4F">
            <w:pPr>
              <w:rPr>
                <w:noProof/>
                <w:sz w:val="20"/>
                <w:lang w:eastAsia="en-GB"/>
              </w:rPr>
            </w:pPr>
          </w:p>
        </w:tc>
        <w:tc>
          <w:tcPr>
            <w:tcW w:w="708" w:type="dxa"/>
            <w:vAlign w:val="center"/>
          </w:tcPr>
          <w:p w14:paraId="19808D7C" w14:textId="77777777" w:rsidR="00431F4F" w:rsidRPr="0018578C" w:rsidRDefault="00431F4F" w:rsidP="00431F4F">
            <w:pPr>
              <w:rPr>
                <w:b/>
                <w:noProof/>
                <w:sz w:val="20"/>
                <w:lang w:eastAsia="en-GB"/>
              </w:rPr>
            </w:pPr>
          </w:p>
        </w:tc>
        <w:tc>
          <w:tcPr>
            <w:tcW w:w="1276" w:type="dxa"/>
            <w:vAlign w:val="center"/>
          </w:tcPr>
          <w:p w14:paraId="73C08DBC" w14:textId="77777777" w:rsidR="00431F4F" w:rsidRPr="0018578C" w:rsidRDefault="00431F4F" w:rsidP="00431F4F">
            <w:pPr>
              <w:rPr>
                <w:b/>
                <w:noProof/>
                <w:sz w:val="20"/>
                <w:lang w:eastAsia="en-GB"/>
              </w:rPr>
            </w:pPr>
          </w:p>
        </w:tc>
        <w:tc>
          <w:tcPr>
            <w:tcW w:w="1843" w:type="dxa"/>
          </w:tcPr>
          <w:p w14:paraId="3D0A4E46" w14:textId="77777777" w:rsidR="00431F4F" w:rsidRPr="0018578C" w:rsidRDefault="00431F4F" w:rsidP="00431F4F">
            <w:pPr>
              <w:rPr>
                <w:b/>
                <w:noProof/>
                <w:sz w:val="20"/>
                <w:lang w:eastAsia="en-GB"/>
              </w:rPr>
            </w:pPr>
          </w:p>
        </w:tc>
      </w:tr>
      <w:tr w:rsidR="00431F4F" w:rsidRPr="0018578C" w14:paraId="227EAE00" w14:textId="77777777" w:rsidTr="00A27D48">
        <w:trPr>
          <w:trHeight w:val="1092"/>
        </w:trPr>
        <w:tc>
          <w:tcPr>
            <w:tcW w:w="3904" w:type="dxa"/>
            <w:vMerge w:val="restart"/>
            <w:vAlign w:val="center"/>
          </w:tcPr>
          <w:p w14:paraId="212C6424" w14:textId="77777777" w:rsidR="00431F4F" w:rsidRPr="0018578C" w:rsidRDefault="00431F4F" w:rsidP="00431F4F">
            <w:pPr>
              <w:spacing w:before="0" w:after="200" w:line="276" w:lineRule="auto"/>
              <w:jc w:val="left"/>
              <w:rPr>
                <w:noProof/>
                <w:sz w:val="20"/>
              </w:rPr>
            </w:pPr>
            <w:r w:rsidRPr="0018578C">
              <w:rPr>
                <w:noProof/>
                <w:sz w:val="20"/>
              </w:rPr>
              <w:t>05.02.01 Fondo europeo di sviluppo regionale (FESR) – Spese operative</w:t>
            </w:r>
          </w:p>
          <w:p w14:paraId="3F0A8222" w14:textId="77777777" w:rsidR="00431F4F" w:rsidRPr="0018578C" w:rsidRDefault="00431F4F" w:rsidP="00431F4F">
            <w:pPr>
              <w:spacing w:before="0" w:after="200" w:line="276" w:lineRule="auto"/>
              <w:jc w:val="left"/>
              <w:rPr>
                <w:noProof/>
                <w:sz w:val="20"/>
              </w:rPr>
            </w:pPr>
            <w:r w:rsidRPr="0018578C">
              <w:rPr>
                <w:noProof/>
                <w:sz w:val="20"/>
              </w:rPr>
              <w:t>05.03.01 Fondo di coesione (FC) – Spese operative</w:t>
            </w:r>
          </w:p>
          <w:p w14:paraId="112F3004" w14:textId="77777777" w:rsidR="00431F4F" w:rsidRPr="0018578C" w:rsidRDefault="00431F4F" w:rsidP="00431F4F">
            <w:pPr>
              <w:rPr>
                <w:noProof/>
                <w:sz w:val="20"/>
              </w:rPr>
            </w:pPr>
            <w:r w:rsidRPr="0018578C">
              <w:rPr>
                <w:noProof/>
                <w:sz w:val="20"/>
              </w:rPr>
              <w:t xml:space="preserve">07.02.01 Componente del Fondo sociale europeo Plus (FSE +) in regime di gestione concorrente – Spese operative  </w:t>
            </w:r>
          </w:p>
          <w:p w14:paraId="5A51BEE0" w14:textId="77777777" w:rsidR="00431F4F" w:rsidRPr="0018578C" w:rsidRDefault="00431F4F" w:rsidP="00431F4F">
            <w:pPr>
              <w:rPr>
                <w:noProof/>
                <w:lang w:eastAsia="en-GB"/>
              </w:rPr>
            </w:pPr>
          </w:p>
        </w:tc>
        <w:tc>
          <w:tcPr>
            <w:tcW w:w="1276" w:type="dxa"/>
            <w:vAlign w:val="center"/>
          </w:tcPr>
          <w:p w14:paraId="0D1484C6" w14:textId="77777777" w:rsidR="00431F4F" w:rsidRPr="0018578C" w:rsidRDefault="00431F4F" w:rsidP="00431F4F">
            <w:pPr>
              <w:spacing w:before="20" w:after="20"/>
              <w:rPr>
                <w:noProof/>
                <w:sz w:val="18"/>
              </w:rPr>
            </w:pPr>
            <w:r w:rsidRPr="0018578C">
              <w:rPr>
                <w:noProof/>
                <w:sz w:val="18"/>
              </w:rPr>
              <w:t>Impegni</w:t>
            </w:r>
          </w:p>
        </w:tc>
        <w:tc>
          <w:tcPr>
            <w:tcW w:w="576" w:type="dxa"/>
            <w:vAlign w:val="center"/>
          </w:tcPr>
          <w:p w14:paraId="67365AE5" w14:textId="77777777" w:rsidR="00431F4F" w:rsidRPr="0018578C" w:rsidRDefault="00431F4F" w:rsidP="00431F4F">
            <w:pPr>
              <w:spacing w:before="20" w:after="20"/>
              <w:jc w:val="center"/>
              <w:rPr>
                <w:noProof/>
                <w:sz w:val="14"/>
              </w:rPr>
            </w:pPr>
            <w:r w:rsidRPr="0018578C">
              <w:rPr>
                <w:noProof/>
                <w:sz w:val="14"/>
              </w:rPr>
              <w:t>(1a)</w:t>
            </w:r>
          </w:p>
        </w:tc>
        <w:tc>
          <w:tcPr>
            <w:tcW w:w="703" w:type="dxa"/>
            <w:vAlign w:val="center"/>
          </w:tcPr>
          <w:p w14:paraId="2B4A0186" w14:textId="77777777" w:rsidR="00431F4F" w:rsidRPr="0018578C" w:rsidRDefault="00431F4F" w:rsidP="00431F4F">
            <w:pPr>
              <w:spacing w:before="20" w:after="20"/>
              <w:rPr>
                <w:noProof/>
                <w:sz w:val="22"/>
                <w:lang w:eastAsia="en-GB"/>
              </w:rPr>
            </w:pPr>
          </w:p>
        </w:tc>
        <w:tc>
          <w:tcPr>
            <w:tcW w:w="1134" w:type="dxa"/>
            <w:vAlign w:val="center"/>
          </w:tcPr>
          <w:p w14:paraId="51292E98" w14:textId="77777777" w:rsidR="00431F4F" w:rsidRPr="0018578C" w:rsidRDefault="00431F4F" w:rsidP="00431F4F">
            <w:pPr>
              <w:spacing w:before="20" w:after="20"/>
              <w:jc w:val="right"/>
              <w:rPr>
                <w:noProof/>
                <w:sz w:val="22"/>
                <w:lang w:eastAsia="en-GB"/>
              </w:rPr>
            </w:pPr>
          </w:p>
        </w:tc>
        <w:tc>
          <w:tcPr>
            <w:tcW w:w="1131" w:type="dxa"/>
            <w:vAlign w:val="center"/>
          </w:tcPr>
          <w:p w14:paraId="33ED70E9" w14:textId="77777777" w:rsidR="00431F4F" w:rsidRPr="0018578C" w:rsidRDefault="00431F4F" w:rsidP="00431F4F">
            <w:pPr>
              <w:spacing w:before="20" w:after="20"/>
              <w:jc w:val="right"/>
              <w:rPr>
                <w:noProof/>
                <w:sz w:val="22"/>
                <w:lang w:eastAsia="en-GB"/>
              </w:rPr>
            </w:pPr>
          </w:p>
        </w:tc>
        <w:tc>
          <w:tcPr>
            <w:tcW w:w="992" w:type="dxa"/>
            <w:vAlign w:val="center"/>
          </w:tcPr>
          <w:p w14:paraId="37115F81" w14:textId="77777777" w:rsidR="00431F4F" w:rsidRPr="0018578C" w:rsidRDefault="00431F4F" w:rsidP="00431F4F">
            <w:pPr>
              <w:spacing w:before="20" w:after="20"/>
              <w:rPr>
                <w:noProof/>
                <w:sz w:val="22"/>
                <w:lang w:eastAsia="en-GB"/>
              </w:rPr>
            </w:pPr>
          </w:p>
        </w:tc>
        <w:tc>
          <w:tcPr>
            <w:tcW w:w="709" w:type="dxa"/>
            <w:vAlign w:val="center"/>
          </w:tcPr>
          <w:p w14:paraId="3089AEEE" w14:textId="77777777" w:rsidR="00431F4F" w:rsidRPr="0018578C" w:rsidRDefault="00431F4F" w:rsidP="00431F4F">
            <w:pPr>
              <w:spacing w:before="20" w:after="20"/>
              <w:jc w:val="right"/>
              <w:rPr>
                <w:noProof/>
                <w:sz w:val="22"/>
                <w:lang w:eastAsia="en-GB"/>
              </w:rPr>
            </w:pPr>
          </w:p>
        </w:tc>
        <w:tc>
          <w:tcPr>
            <w:tcW w:w="708" w:type="dxa"/>
            <w:vAlign w:val="center"/>
          </w:tcPr>
          <w:p w14:paraId="2D08BCD9" w14:textId="77777777" w:rsidR="00431F4F" w:rsidRPr="0018578C" w:rsidRDefault="00431F4F" w:rsidP="00431F4F">
            <w:pPr>
              <w:spacing w:before="20" w:after="20"/>
              <w:jc w:val="center"/>
              <w:rPr>
                <w:b/>
                <w:noProof/>
                <w:sz w:val="22"/>
                <w:lang w:eastAsia="en-GB"/>
              </w:rPr>
            </w:pPr>
          </w:p>
        </w:tc>
        <w:tc>
          <w:tcPr>
            <w:tcW w:w="1276" w:type="dxa"/>
            <w:vAlign w:val="center"/>
          </w:tcPr>
          <w:p w14:paraId="4341A93F" w14:textId="77777777" w:rsidR="00431F4F" w:rsidRPr="0018578C" w:rsidRDefault="00431F4F" w:rsidP="00431F4F">
            <w:pPr>
              <w:spacing w:before="20" w:after="20"/>
              <w:jc w:val="center"/>
              <w:rPr>
                <w:b/>
                <w:noProof/>
                <w:sz w:val="22"/>
                <w:lang w:eastAsia="en-GB"/>
              </w:rPr>
            </w:pPr>
          </w:p>
        </w:tc>
        <w:tc>
          <w:tcPr>
            <w:tcW w:w="1843" w:type="dxa"/>
            <w:vAlign w:val="center"/>
          </w:tcPr>
          <w:p w14:paraId="4906BC9D" w14:textId="77777777" w:rsidR="00431F4F" w:rsidRPr="0018578C" w:rsidRDefault="00431F4F" w:rsidP="00431F4F">
            <w:pPr>
              <w:spacing w:before="20" w:after="20"/>
              <w:jc w:val="center"/>
              <w:rPr>
                <w:b/>
                <w:noProof/>
                <w:sz w:val="22"/>
              </w:rPr>
            </w:pPr>
            <w:r w:rsidRPr="0018578C">
              <w:rPr>
                <w:b/>
                <w:noProof/>
                <w:sz w:val="22"/>
              </w:rPr>
              <w:t>0,000</w:t>
            </w:r>
          </w:p>
        </w:tc>
      </w:tr>
      <w:tr w:rsidR="00431F4F" w:rsidRPr="0018578C" w14:paraId="09F5E0AF" w14:textId="77777777" w:rsidTr="00A27D48">
        <w:tc>
          <w:tcPr>
            <w:tcW w:w="3904" w:type="dxa"/>
            <w:vMerge/>
          </w:tcPr>
          <w:p w14:paraId="70E5FD1B" w14:textId="77777777" w:rsidR="00431F4F" w:rsidRPr="0018578C" w:rsidRDefault="00431F4F" w:rsidP="00431F4F">
            <w:pPr>
              <w:jc w:val="center"/>
              <w:rPr>
                <w:noProof/>
                <w:sz w:val="20"/>
                <w:lang w:eastAsia="en-GB"/>
              </w:rPr>
            </w:pPr>
          </w:p>
        </w:tc>
        <w:tc>
          <w:tcPr>
            <w:tcW w:w="1276" w:type="dxa"/>
            <w:vAlign w:val="center"/>
          </w:tcPr>
          <w:p w14:paraId="422BDD1C" w14:textId="77777777" w:rsidR="00431F4F" w:rsidRPr="0018578C" w:rsidRDefault="00431F4F" w:rsidP="00431F4F">
            <w:pPr>
              <w:spacing w:before="20" w:after="20"/>
              <w:rPr>
                <w:noProof/>
                <w:sz w:val="18"/>
              </w:rPr>
            </w:pPr>
            <w:r w:rsidRPr="0018578C">
              <w:rPr>
                <w:noProof/>
                <w:sz w:val="18"/>
              </w:rPr>
              <w:t>Pagamenti</w:t>
            </w:r>
          </w:p>
        </w:tc>
        <w:tc>
          <w:tcPr>
            <w:tcW w:w="576" w:type="dxa"/>
            <w:vAlign w:val="center"/>
          </w:tcPr>
          <w:p w14:paraId="27CE4F05" w14:textId="77777777" w:rsidR="00431F4F" w:rsidRPr="0018578C" w:rsidRDefault="00431F4F" w:rsidP="00431F4F">
            <w:pPr>
              <w:spacing w:before="20" w:after="20"/>
              <w:jc w:val="center"/>
              <w:rPr>
                <w:noProof/>
                <w:sz w:val="14"/>
              </w:rPr>
            </w:pPr>
            <w:r w:rsidRPr="0018578C">
              <w:rPr>
                <w:noProof/>
                <w:sz w:val="14"/>
              </w:rPr>
              <w:t>(2a)</w:t>
            </w:r>
          </w:p>
        </w:tc>
        <w:tc>
          <w:tcPr>
            <w:tcW w:w="703" w:type="dxa"/>
            <w:vAlign w:val="center"/>
          </w:tcPr>
          <w:p w14:paraId="30BA301C" w14:textId="77777777" w:rsidR="00431F4F" w:rsidRPr="0018578C" w:rsidRDefault="00431F4F" w:rsidP="00431F4F">
            <w:pPr>
              <w:spacing w:before="20" w:after="20"/>
              <w:jc w:val="right"/>
              <w:rPr>
                <w:noProof/>
                <w:sz w:val="22"/>
                <w:lang w:eastAsia="en-GB"/>
              </w:rPr>
            </w:pPr>
          </w:p>
        </w:tc>
        <w:tc>
          <w:tcPr>
            <w:tcW w:w="1134" w:type="dxa"/>
            <w:vAlign w:val="center"/>
          </w:tcPr>
          <w:p w14:paraId="71D46BF9" w14:textId="77777777" w:rsidR="00431F4F" w:rsidRPr="0018578C" w:rsidRDefault="00431F4F" w:rsidP="00431F4F">
            <w:pPr>
              <w:spacing w:before="20" w:after="20"/>
              <w:jc w:val="right"/>
              <w:rPr>
                <w:noProof/>
                <w:sz w:val="22"/>
              </w:rPr>
            </w:pPr>
            <w:r w:rsidRPr="0018578C">
              <w:rPr>
                <w:noProof/>
                <w:sz w:val="22"/>
              </w:rPr>
              <w:t>1 743,000</w:t>
            </w:r>
          </w:p>
        </w:tc>
        <w:tc>
          <w:tcPr>
            <w:tcW w:w="1131" w:type="dxa"/>
            <w:vAlign w:val="center"/>
          </w:tcPr>
          <w:p w14:paraId="7D3F2C6F" w14:textId="77777777" w:rsidR="00431F4F" w:rsidRPr="0018578C" w:rsidRDefault="00431F4F" w:rsidP="00431F4F">
            <w:pPr>
              <w:spacing w:before="20" w:after="20"/>
              <w:jc w:val="right"/>
              <w:rPr>
                <w:noProof/>
                <w:sz w:val="22"/>
              </w:rPr>
            </w:pPr>
            <w:r w:rsidRPr="0018578C">
              <w:rPr>
                <w:noProof/>
                <w:sz w:val="22"/>
              </w:rPr>
              <w:t>1 743,000</w:t>
            </w:r>
          </w:p>
        </w:tc>
        <w:tc>
          <w:tcPr>
            <w:tcW w:w="992" w:type="dxa"/>
            <w:vAlign w:val="center"/>
          </w:tcPr>
          <w:p w14:paraId="7B989DA0" w14:textId="77777777" w:rsidR="00431F4F" w:rsidRPr="0018578C" w:rsidRDefault="00431F4F" w:rsidP="00431F4F">
            <w:pPr>
              <w:spacing w:before="20" w:after="20"/>
              <w:jc w:val="right"/>
              <w:rPr>
                <w:noProof/>
                <w:sz w:val="22"/>
              </w:rPr>
            </w:pPr>
            <w:r w:rsidRPr="0018578C">
              <w:rPr>
                <w:noProof/>
                <w:sz w:val="22"/>
              </w:rPr>
              <w:t>-</w:t>
            </w:r>
          </w:p>
        </w:tc>
        <w:tc>
          <w:tcPr>
            <w:tcW w:w="709" w:type="dxa"/>
            <w:vAlign w:val="center"/>
          </w:tcPr>
          <w:p w14:paraId="28E3F458" w14:textId="77777777" w:rsidR="00431F4F" w:rsidRPr="0018578C" w:rsidRDefault="00431F4F" w:rsidP="00431F4F">
            <w:pPr>
              <w:spacing w:before="20" w:after="20"/>
              <w:jc w:val="right"/>
              <w:rPr>
                <w:noProof/>
                <w:sz w:val="22"/>
              </w:rPr>
            </w:pPr>
          </w:p>
        </w:tc>
        <w:tc>
          <w:tcPr>
            <w:tcW w:w="708" w:type="dxa"/>
            <w:vAlign w:val="center"/>
          </w:tcPr>
          <w:p w14:paraId="4C219921" w14:textId="77777777" w:rsidR="00431F4F" w:rsidRPr="0018578C" w:rsidRDefault="00431F4F" w:rsidP="00431F4F">
            <w:pPr>
              <w:spacing w:before="20" w:after="20"/>
              <w:jc w:val="center"/>
              <w:rPr>
                <w:b/>
                <w:noProof/>
                <w:sz w:val="22"/>
                <w:lang w:eastAsia="en-GB"/>
              </w:rPr>
            </w:pPr>
          </w:p>
        </w:tc>
        <w:tc>
          <w:tcPr>
            <w:tcW w:w="1276" w:type="dxa"/>
            <w:vAlign w:val="center"/>
          </w:tcPr>
          <w:p w14:paraId="3FFC5391" w14:textId="77777777" w:rsidR="00431F4F" w:rsidRPr="0018578C" w:rsidRDefault="00841AC1" w:rsidP="00431F4F">
            <w:pPr>
              <w:spacing w:before="20" w:after="20"/>
              <w:jc w:val="center"/>
              <w:rPr>
                <w:b/>
                <w:noProof/>
                <w:sz w:val="22"/>
              </w:rPr>
            </w:pPr>
            <w:r w:rsidRPr="0018578C">
              <w:rPr>
                <w:noProof/>
                <w:sz w:val="22"/>
              </w:rPr>
              <w:t>-3 486,000</w:t>
            </w:r>
          </w:p>
        </w:tc>
        <w:tc>
          <w:tcPr>
            <w:tcW w:w="1843" w:type="dxa"/>
            <w:vAlign w:val="center"/>
          </w:tcPr>
          <w:p w14:paraId="4E1EAD94" w14:textId="77777777" w:rsidR="00431F4F" w:rsidRPr="0018578C" w:rsidRDefault="00431F4F" w:rsidP="00431F4F">
            <w:pPr>
              <w:spacing w:before="20" w:after="20"/>
              <w:jc w:val="center"/>
              <w:rPr>
                <w:b/>
                <w:noProof/>
                <w:sz w:val="22"/>
              </w:rPr>
            </w:pPr>
            <w:r w:rsidRPr="0018578C">
              <w:rPr>
                <w:b/>
                <w:noProof/>
                <w:sz w:val="22"/>
              </w:rPr>
              <w:t>0,000</w:t>
            </w:r>
          </w:p>
        </w:tc>
      </w:tr>
      <w:tr w:rsidR="00431F4F" w:rsidRPr="0018578C" w14:paraId="68C02E5F" w14:textId="77777777" w:rsidTr="00A27D48">
        <w:tc>
          <w:tcPr>
            <w:tcW w:w="3904" w:type="dxa"/>
            <w:vMerge w:val="restart"/>
            <w:vAlign w:val="center"/>
          </w:tcPr>
          <w:p w14:paraId="38B94BDA" w14:textId="77777777" w:rsidR="00431F4F" w:rsidRPr="0018578C" w:rsidRDefault="00431F4F" w:rsidP="00431F4F">
            <w:pPr>
              <w:rPr>
                <w:noProof/>
              </w:rPr>
            </w:pPr>
            <w:r w:rsidRPr="0018578C">
              <w:rPr>
                <w:noProof/>
                <w:sz w:val="20"/>
              </w:rPr>
              <w:t>Linea di bilancio</w:t>
            </w:r>
          </w:p>
        </w:tc>
        <w:tc>
          <w:tcPr>
            <w:tcW w:w="1276" w:type="dxa"/>
            <w:vAlign w:val="center"/>
          </w:tcPr>
          <w:p w14:paraId="379FBF77" w14:textId="77777777" w:rsidR="00431F4F" w:rsidRPr="0018578C" w:rsidRDefault="00431F4F" w:rsidP="00431F4F">
            <w:pPr>
              <w:spacing w:before="20" w:after="20"/>
              <w:rPr>
                <w:noProof/>
                <w:sz w:val="18"/>
              </w:rPr>
            </w:pPr>
            <w:r w:rsidRPr="0018578C">
              <w:rPr>
                <w:noProof/>
                <w:sz w:val="18"/>
              </w:rPr>
              <w:t>Impegni</w:t>
            </w:r>
          </w:p>
        </w:tc>
        <w:tc>
          <w:tcPr>
            <w:tcW w:w="576" w:type="dxa"/>
            <w:vAlign w:val="center"/>
          </w:tcPr>
          <w:p w14:paraId="068106D6" w14:textId="77777777" w:rsidR="00431F4F" w:rsidRPr="0018578C" w:rsidRDefault="00431F4F" w:rsidP="00431F4F">
            <w:pPr>
              <w:spacing w:before="20" w:after="20"/>
              <w:jc w:val="center"/>
              <w:rPr>
                <w:noProof/>
                <w:sz w:val="14"/>
              </w:rPr>
            </w:pPr>
            <w:r w:rsidRPr="0018578C">
              <w:rPr>
                <w:noProof/>
                <w:sz w:val="14"/>
              </w:rPr>
              <w:t>(1b)</w:t>
            </w:r>
          </w:p>
        </w:tc>
        <w:tc>
          <w:tcPr>
            <w:tcW w:w="703" w:type="dxa"/>
            <w:vAlign w:val="center"/>
          </w:tcPr>
          <w:p w14:paraId="1EEFE19D" w14:textId="77777777" w:rsidR="00431F4F" w:rsidRPr="0018578C" w:rsidRDefault="00431F4F" w:rsidP="00431F4F">
            <w:pPr>
              <w:spacing w:before="20" w:after="20"/>
              <w:jc w:val="right"/>
              <w:rPr>
                <w:noProof/>
                <w:sz w:val="20"/>
                <w:lang w:eastAsia="en-GB"/>
              </w:rPr>
            </w:pPr>
          </w:p>
        </w:tc>
        <w:tc>
          <w:tcPr>
            <w:tcW w:w="1134" w:type="dxa"/>
            <w:vAlign w:val="center"/>
          </w:tcPr>
          <w:p w14:paraId="73AEFB68" w14:textId="77777777" w:rsidR="00431F4F" w:rsidRPr="0018578C" w:rsidRDefault="00431F4F" w:rsidP="00431F4F">
            <w:pPr>
              <w:spacing w:before="20" w:after="20"/>
              <w:jc w:val="right"/>
              <w:rPr>
                <w:noProof/>
                <w:sz w:val="20"/>
                <w:lang w:eastAsia="en-GB"/>
              </w:rPr>
            </w:pPr>
          </w:p>
        </w:tc>
        <w:tc>
          <w:tcPr>
            <w:tcW w:w="1131" w:type="dxa"/>
            <w:vAlign w:val="center"/>
          </w:tcPr>
          <w:p w14:paraId="1AEFA78A" w14:textId="77777777" w:rsidR="00431F4F" w:rsidRPr="0018578C" w:rsidRDefault="00431F4F" w:rsidP="00431F4F">
            <w:pPr>
              <w:spacing w:before="20" w:after="20"/>
              <w:jc w:val="right"/>
              <w:rPr>
                <w:noProof/>
                <w:sz w:val="20"/>
                <w:lang w:eastAsia="en-GB"/>
              </w:rPr>
            </w:pPr>
          </w:p>
        </w:tc>
        <w:tc>
          <w:tcPr>
            <w:tcW w:w="992" w:type="dxa"/>
            <w:vAlign w:val="center"/>
          </w:tcPr>
          <w:p w14:paraId="76FB1C31" w14:textId="77777777" w:rsidR="00431F4F" w:rsidRPr="0018578C" w:rsidRDefault="00431F4F" w:rsidP="00431F4F">
            <w:pPr>
              <w:spacing w:before="20" w:after="20"/>
              <w:jc w:val="right"/>
              <w:rPr>
                <w:noProof/>
                <w:sz w:val="20"/>
                <w:lang w:eastAsia="en-GB"/>
              </w:rPr>
            </w:pPr>
          </w:p>
        </w:tc>
        <w:tc>
          <w:tcPr>
            <w:tcW w:w="709" w:type="dxa"/>
          </w:tcPr>
          <w:p w14:paraId="1A757372" w14:textId="77777777" w:rsidR="00431F4F" w:rsidRPr="0018578C" w:rsidRDefault="00431F4F" w:rsidP="00431F4F">
            <w:pPr>
              <w:spacing w:before="20" w:after="20"/>
              <w:jc w:val="right"/>
              <w:rPr>
                <w:noProof/>
                <w:sz w:val="20"/>
                <w:lang w:eastAsia="en-GB"/>
              </w:rPr>
            </w:pPr>
          </w:p>
        </w:tc>
        <w:tc>
          <w:tcPr>
            <w:tcW w:w="708" w:type="dxa"/>
          </w:tcPr>
          <w:p w14:paraId="26DAA8C5" w14:textId="77777777" w:rsidR="00431F4F" w:rsidRPr="0018578C" w:rsidRDefault="00431F4F" w:rsidP="00431F4F">
            <w:pPr>
              <w:spacing w:before="20" w:after="20"/>
              <w:jc w:val="right"/>
              <w:rPr>
                <w:b/>
                <w:noProof/>
                <w:sz w:val="20"/>
                <w:lang w:eastAsia="en-GB"/>
              </w:rPr>
            </w:pPr>
          </w:p>
        </w:tc>
        <w:tc>
          <w:tcPr>
            <w:tcW w:w="1276" w:type="dxa"/>
          </w:tcPr>
          <w:p w14:paraId="2D894491" w14:textId="77777777" w:rsidR="00431F4F" w:rsidRPr="0018578C" w:rsidRDefault="00431F4F" w:rsidP="00431F4F">
            <w:pPr>
              <w:spacing w:before="20" w:after="20"/>
              <w:jc w:val="right"/>
              <w:rPr>
                <w:b/>
                <w:noProof/>
                <w:sz w:val="20"/>
                <w:lang w:eastAsia="en-GB"/>
              </w:rPr>
            </w:pPr>
          </w:p>
        </w:tc>
        <w:tc>
          <w:tcPr>
            <w:tcW w:w="1843" w:type="dxa"/>
            <w:vAlign w:val="center"/>
          </w:tcPr>
          <w:p w14:paraId="06182E98" w14:textId="77777777" w:rsidR="00431F4F" w:rsidRPr="0018578C" w:rsidRDefault="00431F4F" w:rsidP="00431F4F">
            <w:pPr>
              <w:spacing w:before="20" w:after="20"/>
              <w:jc w:val="right"/>
              <w:rPr>
                <w:b/>
                <w:noProof/>
                <w:sz w:val="20"/>
                <w:lang w:eastAsia="en-GB"/>
              </w:rPr>
            </w:pPr>
          </w:p>
        </w:tc>
      </w:tr>
      <w:tr w:rsidR="00431F4F" w:rsidRPr="0018578C" w14:paraId="2BE770FF" w14:textId="77777777" w:rsidTr="00A27D48">
        <w:tc>
          <w:tcPr>
            <w:tcW w:w="3904" w:type="dxa"/>
            <w:vMerge/>
          </w:tcPr>
          <w:p w14:paraId="2FBFD259" w14:textId="77777777" w:rsidR="00431F4F" w:rsidRPr="0018578C" w:rsidRDefault="00431F4F" w:rsidP="00431F4F">
            <w:pPr>
              <w:jc w:val="center"/>
              <w:rPr>
                <w:noProof/>
                <w:sz w:val="20"/>
                <w:lang w:eastAsia="en-GB"/>
              </w:rPr>
            </w:pPr>
          </w:p>
        </w:tc>
        <w:tc>
          <w:tcPr>
            <w:tcW w:w="1276" w:type="dxa"/>
            <w:vAlign w:val="center"/>
          </w:tcPr>
          <w:p w14:paraId="6CF56005" w14:textId="77777777" w:rsidR="00431F4F" w:rsidRPr="0018578C" w:rsidRDefault="00431F4F" w:rsidP="00431F4F">
            <w:pPr>
              <w:spacing w:before="20" w:after="20"/>
              <w:rPr>
                <w:noProof/>
                <w:sz w:val="18"/>
              </w:rPr>
            </w:pPr>
            <w:r w:rsidRPr="0018578C">
              <w:rPr>
                <w:noProof/>
                <w:sz w:val="18"/>
              </w:rPr>
              <w:t>Pagamenti</w:t>
            </w:r>
          </w:p>
        </w:tc>
        <w:tc>
          <w:tcPr>
            <w:tcW w:w="576" w:type="dxa"/>
            <w:vAlign w:val="center"/>
          </w:tcPr>
          <w:p w14:paraId="1C7188CB" w14:textId="77777777" w:rsidR="00431F4F" w:rsidRPr="0018578C" w:rsidRDefault="00431F4F" w:rsidP="00431F4F">
            <w:pPr>
              <w:spacing w:before="20" w:after="20"/>
              <w:jc w:val="center"/>
              <w:rPr>
                <w:noProof/>
                <w:sz w:val="14"/>
              </w:rPr>
            </w:pPr>
            <w:r w:rsidRPr="0018578C">
              <w:rPr>
                <w:noProof/>
                <w:sz w:val="14"/>
              </w:rPr>
              <w:t>(2b)</w:t>
            </w:r>
          </w:p>
        </w:tc>
        <w:tc>
          <w:tcPr>
            <w:tcW w:w="703" w:type="dxa"/>
            <w:vAlign w:val="center"/>
          </w:tcPr>
          <w:p w14:paraId="4A9999A7" w14:textId="77777777" w:rsidR="00431F4F" w:rsidRPr="0018578C" w:rsidRDefault="00431F4F" w:rsidP="00431F4F">
            <w:pPr>
              <w:spacing w:before="20" w:after="20"/>
              <w:jc w:val="right"/>
              <w:rPr>
                <w:noProof/>
                <w:sz w:val="20"/>
                <w:lang w:eastAsia="en-GB"/>
              </w:rPr>
            </w:pPr>
          </w:p>
        </w:tc>
        <w:tc>
          <w:tcPr>
            <w:tcW w:w="1134" w:type="dxa"/>
            <w:vAlign w:val="center"/>
          </w:tcPr>
          <w:p w14:paraId="01A88792" w14:textId="77777777" w:rsidR="00431F4F" w:rsidRPr="0018578C" w:rsidRDefault="00431F4F" w:rsidP="00431F4F">
            <w:pPr>
              <w:spacing w:before="20" w:after="20"/>
              <w:jc w:val="right"/>
              <w:rPr>
                <w:noProof/>
                <w:sz w:val="20"/>
                <w:lang w:eastAsia="en-GB"/>
              </w:rPr>
            </w:pPr>
          </w:p>
        </w:tc>
        <w:tc>
          <w:tcPr>
            <w:tcW w:w="1131" w:type="dxa"/>
            <w:vAlign w:val="center"/>
          </w:tcPr>
          <w:p w14:paraId="39658EBB" w14:textId="77777777" w:rsidR="00431F4F" w:rsidRPr="0018578C" w:rsidRDefault="00431F4F" w:rsidP="00431F4F">
            <w:pPr>
              <w:spacing w:before="20" w:after="20"/>
              <w:jc w:val="right"/>
              <w:rPr>
                <w:noProof/>
                <w:sz w:val="20"/>
                <w:lang w:eastAsia="en-GB"/>
              </w:rPr>
            </w:pPr>
          </w:p>
        </w:tc>
        <w:tc>
          <w:tcPr>
            <w:tcW w:w="992" w:type="dxa"/>
            <w:vAlign w:val="center"/>
          </w:tcPr>
          <w:p w14:paraId="08217999" w14:textId="77777777" w:rsidR="00431F4F" w:rsidRPr="0018578C" w:rsidRDefault="00431F4F" w:rsidP="00431F4F">
            <w:pPr>
              <w:spacing w:before="20" w:after="20"/>
              <w:jc w:val="right"/>
              <w:rPr>
                <w:noProof/>
                <w:sz w:val="20"/>
                <w:lang w:eastAsia="en-GB"/>
              </w:rPr>
            </w:pPr>
          </w:p>
        </w:tc>
        <w:tc>
          <w:tcPr>
            <w:tcW w:w="709" w:type="dxa"/>
          </w:tcPr>
          <w:p w14:paraId="0742A379" w14:textId="77777777" w:rsidR="00431F4F" w:rsidRPr="0018578C" w:rsidRDefault="00431F4F" w:rsidP="00431F4F">
            <w:pPr>
              <w:spacing w:before="20" w:after="20"/>
              <w:jc w:val="right"/>
              <w:rPr>
                <w:noProof/>
                <w:sz w:val="20"/>
                <w:lang w:eastAsia="en-GB"/>
              </w:rPr>
            </w:pPr>
          </w:p>
        </w:tc>
        <w:tc>
          <w:tcPr>
            <w:tcW w:w="708" w:type="dxa"/>
          </w:tcPr>
          <w:p w14:paraId="228617F9" w14:textId="77777777" w:rsidR="00431F4F" w:rsidRPr="0018578C" w:rsidRDefault="00431F4F" w:rsidP="00431F4F">
            <w:pPr>
              <w:spacing w:before="20" w:after="20"/>
              <w:jc w:val="right"/>
              <w:rPr>
                <w:b/>
                <w:noProof/>
                <w:sz w:val="20"/>
                <w:lang w:eastAsia="en-GB"/>
              </w:rPr>
            </w:pPr>
          </w:p>
        </w:tc>
        <w:tc>
          <w:tcPr>
            <w:tcW w:w="1276" w:type="dxa"/>
          </w:tcPr>
          <w:p w14:paraId="0D527C15" w14:textId="77777777" w:rsidR="00431F4F" w:rsidRPr="0018578C" w:rsidRDefault="00431F4F" w:rsidP="00431F4F">
            <w:pPr>
              <w:spacing w:before="20" w:after="20"/>
              <w:jc w:val="right"/>
              <w:rPr>
                <w:b/>
                <w:noProof/>
                <w:sz w:val="20"/>
                <w:lang w:eastAsia="en-GB"/>
              </w:rPr>
            </w:pPr>
          </w:p>
        </w:tc>
        <w:tc>
          <w:tcPr>
            <w:tcW w:w="1843" w:type="dxa"/>
            <w:vAlign w:val="center"/>
          </w:tcPr>
          <w:p w14:paraId="306EF631" w14:textId="77777777" w:rsidR="00431F4F" w:rsidRPr="0018578C" w:rsidRDefault="00431F4F" w:rsidP="00431F4F">
            <w:pPr>
              <w:spacing w:before="20" w:after="20"/>
              <w:jc w:val="right"/>
              <w:rPr>
                <w:b/>
                <w:noProof/>
                <w:sz w:val="20"/>
                <w:lang w:eastAsia="en-GB"/>
              </w:rPr>
            </w:pPr>
          </w:p>
        </w:tc>
      </w:tr>
      <w:tr w:rsidR="00841AC1" w:rsidRPr="0018578C" w14:paraId="33BC0437" w14:textId="77777777" w:rsidTr="00841AC1">
        <w:trPr>
          <w:trHeight w:val="231"/>
        </w:trPr>
        <w:tc>
          <w:tcPr>
            <w:tcW w:w="5756" w:type="dxa"/>
            <w:gridSpan w:val="3"/>
            <w:vAlign w:val="center"/>
          </w:tcPr>
          <w:p w14:paraId="68E6AD24" w14:textId="77777777" w:rsidR="00841AC1" w:rsidRPr="0018578C" w:rsidRDefault="00841AC1" w:rsidP="00431F4F">
            <w:pPr>
              <w:spacing w:before="20" w:after="20"/>
              <w:rPr>
                <w:noProof/>
              </w:rPr>
            </w:pPr>
            <w:r w:rsidRPr="0018578C">
              <w:rPr>
                <w:noProof/>
                <w:sz w:val="21"/>
              </w:rPr>
              <w:t>Stanziamenti amministrativi finanziati dalla dotazione di programmi specifici</w:t>
            </w:r>
            <w:r w:rsidRPr="0018578C">
              <w:rPr>
                <w:rStyle w:val="FootnoteReference"/>
                <w:noProof/>
              </w:rPr>
              <w:footnoteReference w:id="25"/>
            </w:r>
            <w:r w:rsidRPr="0018578C">
              <w:rPr>
                <w:noProof/>
                <w:sz w:val="21"/>
              </w:rPr>
              <w:t xml:space="preserve"> </w:t>
            </w:r>
          </w:p>
          <w:p w14:paraId="748D3B5B" w14:textId="77777777" w:rsidR="00841AC1" w:rsidRPr="0018578C" w:rsidRDefault="00841AC1" w:rsidP="00431F4F">
            <w:pPr>
              <w:spacing w:before="0" w:after="0"/>
              <w:rPr>
                <w:noProof/>
                <w:lang w:eastAsia="en-GB"/>
              </w:rPr>
            </w:pPr>
          </w:p>
        </w:tc>
        <w:tc>
          <w:tcPr>
            <w:tcW w:w="703" w:type="dxa"/>
            <w:vAlign w:val="center"/>
          </w:tcPr>
          <w:p w14:paraId="692B06DF" w14:textId="77777777" w:rsidR="00841AC1" w:rsidRPr="0018578C" w:rsidRDefault="00841AC1" w:rsidP="00431F4F">
            <w:pPr>
              <w:rPr>
                <w:b/>
                <w:noProof/>
                <w:sz w:val="20"/>
                <w:lang w:eastAsia="en-GB"/>
              </w:rPr>
            </w:pPr>
          </w:p>
        </w:tc>
        <w:tc>
          <w:tcPr>
            <w:tcW w:w="1134" w:type="dxa"/>
            <w:vAlign w:val="center"/>
          </w:tcPr>
          <w:p w14:paraId="32B379BF" w14:textId="77777777" w:rsidR="00841AC1" w:rsidRPr="0018578C" w:rsidRDefault="00841AC1" w:rsidP="00431F4F">
            <w:pPr>
              <w:rPr>
                <w:b/>
                <w:noProof/>
                <w:sz w:val="20"/>
                <w:lang w:eastAsia="en-GB"/>
              </w:rPr>
            </w:pPr>
          </w:p>
        </w:tc>
        <w:tc>
          <w:tcPr>
            <w:tcW w:w="1131" w:type="dxa"/>
            <w:vAlign w:val="center"/>
          </w:tcPr>
          <w:p w14:paraId="2A525AF9" w14:textId="77777777" w:rsidR="00841AC1" w:rsidRPr="0018578C" w:rsidRDefault="00841AC1" w:rsidP="00431F4F">
            <w:pPr>
              <w:rPr>
                <w:b/>
                <w:noProof/>
                <w:sz w:val="20"/>
                <w:lang w:eastAsia="en-GB"/>
              </w:rPr>
            </w:pPr>
          </w:p>
        </w:tc>
        <w:tc>
          <w:tcPr>
            <w:tcW w:w="992" w:type="dxa"/>
            <w:vAlign w:val="center"/>
          </w:tcPr>
          <w:p w14:paraId="3478B9FB" w14:textId="77777777" w:rsidR="00841AC1" w:rsidRPr="0018578C" w:rsidRDefault="00841AC1" w:rsidP="00431F4F">
            <w:pPr>
              <w:rPr>
                <w:b/>
                <w:noProof/>
                <w:sz w:val="20"/>
                <w:lang w:eastAsia="en-GB"/>
              </w:rPr>
            </w:pPr>
          </w:p>
        </w:tc>
        <w:tc>
          <w:tcPr>
            <w:tcW w:w="709" w:type="dxa"/>
          </w:tcPr>
          <w:p w14:paraId="16839C84" w14:textId="77777777" w:rsidR="00841AC1" w:rsidRPr="0018578C" w:rsidRDefault="00841AC1" w:rsidP="00431F4F">
            <w:pPr>
              <w:rPr>
                <w:b/>
                <w:noProof/>
                <w:sz w:val="20"/>
                <w:lang w:eastAsia="en-GB"/>
              </w:rPr>
            </w:pPr>
          </w:p>
        </w:tc>
        <w:tc>
          <w:tcPr>
            <w:tcW w:w="708" w:type="dxa"/>
            <w:vAlign w:val="center"/>
          </w:tcPr>
          <w:p w14:paraId="52182E9F" w14:textId="77777777" w:rsidR="00841AC1" w:rsidRPr="0018578C" w:rsidRDefault="00841AC1" w:rsidP="00431F4F">
            <w:pPr>
              <w:rPr>
                <w:b/>
                <w:noProof/>
                <w:sz w:val="20"/>
                <w:lang w:eastAsia="en-GB"/>
              </w:rPr>
            </w:pPr>
          </w:p>
        </w:tc>
        <w:tc>
          <w:tcPr>
            <w:tcW w:w="1276" w:type="dxa"/>
          </w:tcPr>
          <w:p w14:paraId="04C16C39" w14:textId="77777777" w:rsidR="00841AC1" w:rsidRPr="0018578C" w:rsidRDefault="00841AC1" w:rsidP="00431F4F">
            <w:pPr>
              <w:rPr>
                <w:b/>
                <w:noProof/>
                <w:sz w:val="20"/>
                <w:lang w:eastAsia="en-GB"/>
              </w:rPr>
            </w:pPr>
          </w:p>
        </w:tc>
        <w:tc>
          <w:tcPr>
            <w:tcW w:w="1843" w:type="dxa"/>
            <w:vAlign w:val="center"/>
          </w:tcPr>
          <w:p w14:paraId="0B616DC0" w14:textId="77777777" w:rsidR="00841AC1" w:rsidRPr="0018578C" w:rsidRDefault="00841AC1" w:rsidP="00431F4F">
            <w:pPr>
              <w:rPr>
                <w:b/>
                <w:noProof/>
                <w:sz w:val="20"/>
                <w:lang w:eastAsia="en-GB"/>
              </w:rPr>
            </w:pPr>
          </w:p>
        </w:tc>
      </w:tr>
      <w:tr w:rsidR="00431F4F" w:rsidRPr="0018578C" w14:paraId="76152B4F" w14:textId="77777777" w:rsidTr="00A27D48">
        <w:trPr>
          <w:trHeight w:val="319"/>
        </w:trPr>
        <w:tc>
          <w:tcPr>
            <w:tcW w:w="3904" w:type="dxa"/>
            <w:vAlign w:val="center"/>
          </w:tcPr>
          <w:p w14:paraId="4EFA84ED" w14:textId="77777777" w:rsidR="00431F4F" w:rsidRPr="0018578C" w:rsidRDefault="00431F4F" w:rsidP="00431F4F">
            <w:pPr>
              <w:spacing w:before="60" w:after="60"/>
              <w:rPr>
                <w:noProof/>
              </w:rPr>
            </w:pPr>
            <w:r w:rsidRPr="0018578C">
              <w:rPr>
                <w:noProof/>
                <w:sz w:val="20"/>
              </w:rPr>
              <w:t>Linea di bilancio</w:t>
            </w:r>
          </w:p>
        </w:tc>
        <w:tc>
          <w:tcPr>
            <w:tcW w:w="1276" w:type="dxa"/>
            <w:vAlign w:val="center"/>
          </w:tcPr>
          <w:p w14:paraId="7BCA54DB" w14:textId="77777777" w:rsidR="00431F4F" w:rsidRPr="0018578C" w:rsidRDefault="00431F4F" w:rsidP="00431F4F">
            <w:pPr>
              <w:spacing w:before="40" w:after="40"/>
              <w:jc w:val="right"/>
              <w:rPr>
                <w:noProof/>
                <w:sz w:val="18"/>
                <w:lang w:eastAsia="en-GB"/>
              </w:rPr>
            </w:pPr>
          </w:p>
        </w:tc>
        <w:tc>
          <w:tcPr>
            <w:tcW w:w="576" w:type="dxa"/>
            <w:vAlign w:val="center"/>
          </w:tcPr>
          <w:p w14:paraId="1C2650D1" w14:textId="77777777" w:rsidR="00431F4F" w:rsidRPr="0018578C" w:rsidRDefault="00431F4F" w:rsidP="00431F4F">
            <w:pPr>
              <w:spacing w:before="40" w:after="40"/>
              <w:jc w:val="center"/>
              <w:rPr>
                <w:noProof/>
                <w:sz w:val="14"/>
              </w:rPr>
            </w:pPr>
            <w:r w:rsidRPr="0018578C">
              <w:rPr>
                <w:noProof/>
                <w:sz w:val="14"/>
              </w:rPr>
              <w:t>3)</w:t>
            </w:r>
          </w:p>
        </w:tc>
        <w:tc>
          <w:tcPr>
            <w:tcW w:w="703" w:type="dxa"/>
            <w:vAlign w:val="center"/>
          </w:tcPr>
          <w:p w14:paraId="04F73420" w14:textId="77777777" w:rsidR="00431F4F" w:rsidRPr="0018578C" w:rsidRDefault="00431F4F" w:rsidP="00431F4F">
            <w:pPr>
              <w:spacing w:before="40" w:after="40"/>
              <w:jc w:val="right"/>
              <w:rPr>
                <w:b/>
                <w:noProof/>
                <w:sz w:val="20"/>
                <w:lang w:eastAsia="en-GB"/>
              </w:rPr>
            </w:pPr>
          </w:p>
        </w:tc>
        <w:tc>
          <w:tcPr>
            <w:tcW w:w="1134" w:type="dxa"/>
            <w:vAlign w:val="center"/>
          </w:tcPr>
          <w:p w14:paraId="1A976D12" w14:textId="77777777" w:rsidR="00431F4F" w:rsidRPr="0018578C" w:rsidRDefault="00431F4F" w:rsidP="00431F4F">
            <w:pPr>
              <w:spacing w:before="40" w:after="40"/>
              <w:jc w:val="right"/>
              <w:rPr>
                <w:b/>
                <w:noProof/>
                <w:sz w:val="20"/>
                <w:lang w:eastAsia="en-GB"/>
              </w:rPr>
            </w:pPr>
          </w:p>
        </w:tc>
        <w:tc>
          <w:tcPr>
            <w:tcW w:w="1131" w:type="dxa"/>
            <w:vAlign w:val="center"/>
          </w:tcPr>
          <w:p w14:paraId="3E3FFCEB" w14:textId="77777777" w:rsidR="00431F4F" w:rsidRPr="0018578C" w:rsidRDefault="00431F4F" w:rsidP="00431F4F">
            <w:pPr>
              <w:spacing w:before="40" w:after="40"/>
              <w:jc w:val="right"/>
              <w:rPr>
                <w:b/>
                <w:noProof/>
                <w:sz w:val="20"/>
                <w:lang w:eastAsia="en-GB"/>
              </w:rPr>
            </w:pPr>
          </w:p>
        </w:tc>
        <w:tc>
          <w:tcPr>
            <w:tcW w:w="992" w:type="dxa"/>
            <w:vAlign w:val="center"/>
          </w:tcPr>
          <w:p w14:paraId="37D691BF" w14:textId="77777777" w:rsidR="00431F4F" w:rsidRPr="0018578C" w:rsidRDefault="00431F4F" w:rsidP="00431F4F">
            <w:pPr>
              <w:spacing w:before="40" w:after="40"/>
              <w:jc w:val="right"/>
              <w:rPr>
                <w:b/>
                <w:noProof/>
                <w:sz w:val="20"/>
                <w:lang w:eastAsia="en-GB"/>
              </w:rPr>
            </w:pPr>
          </w:p>
        </w:tc>
        <w:tc>
          <w:tcPr>
            <w:tcW w:w="709" w:type="dxa"/>
          </w:tcPr>
          <w:p w14:paraId="3DA22614" w14:textId="77777777" w:rsidR="00431F4F" w:rsidRPr="0018578C" w:rsidRDefault="00431F4F" w:rsidP="00431F4F">
            <w:pPr>
              <w:spacing w:before="40" w:after="40"/>
              <w:jc w:val="right"/>
              <w:rPr>
                <w:b/>
                <w:noProof/>
                <w:sz w:val="20"/>
                <w:lang w:eastAsia="en-GB"/>
              </w:rPr>
            </w:pPr>
          </w:p>
        </w:tc>
        <w:tc>
          <w:tcPr>
            <w:tcW w:w="708" w:type="dxa"/>
          </w:tcPr>
          <w:p w14:paraId="109B9101" w14:textId="77777777" w:rsidR="00431F4F" w:rsidRPr="0018578C" w:rsidRDefault="00431F4F" w:rsidP="00431F4F">
            <w:pPr>
              <w:spacing w:before="40" w:after="40"/>
              <w:jc w:val="right"/>
              <w:rPr>
                <w:b/>
                <w:noProof/>
                <w:sz w:val="20"/>
                <w:lang w:eastAsia="en-GB"/>
              </w:rPr>
            </w:pPr>
          </w:p>
        </w:tc>
        <w:tc>
          <w:tcPr>
            <w:tcW w:w="1276" w:type="dxa"/>
          </w:tcPr>
          <w:p w14:paraId="3B168EA2" w14:textId="77777777" w:rsidR="00431F4F" w:rsidRPr="0018578C" w:rsidRDefault="00431F4F" w:rsidP="00431F4F">
            <w:pPr>
              <w:spacing w:before="40" w:after="40"/>
              <w:jc w:val="right"/>
              <w:rPr>
                <w:b/>
                <w:noProof/>
                <w:sz w:val="20"/>
                <w:lang w:eastAsia="en-GB"/>
              </w:rPr>
            </w:pPr>
          </w:p>
        </w:tc>
        <w:tc>
          <w:tcPr>
            <w:tcW w:w="1843" w:type="dxa"/>
            <w:vAlign w:val="center"/>
          </w:tcPr>
          <w:p w14:paraId="6B6AAA53" w14:textId="77777777" w:rsidR="00431F4F" w:rsidRPr="0018578C" w:rsidRDefault="00431F4F" w:rsidP="00431F4F">
            <w:pPr>
              <w:spacing w:before="40" w:after="40"/>
              <w:jc w:val="right"/>
              <w:rPr>
                <w:b/>
                <w:noProof/>
                <w:sz w:val="20"/>
                <w:lang w:eastAsia="en-GB"/>
              </w:rPr>
            </w:pPr>
          </w:p>
        </w:tc>
      </w:tr>
      <w:tr w:rsidR="00431F4F" w:rsidRPr="0018578C" w14:paraId="7325DF33" w14:textId="77777777" w:rsidTr="00A27D48">
        <w:tc>
          <w:tcPr>
            <w:tcW w:w="3904" w:type="dxa"/>
            <w:vMerge w:val="restart"/>
            <w:vAlign w:val="center"/>
          </w:tcPr>
          <w:p w14:paraId="252B6AF7" w14:textId="77777777" w:rsidR="00431F4F" w:rsidRPr="0018578C" w:rsidRDefault="00431F4F" w:rsidP="00431F4F">
            <w:pPr>
              <w:jc w:val="center"/>
              <w:rPr>
                <w:b/>
                <w:noProof/>
              </w:rPr>
            </w:pPr>
            <w:r w:rsidRPr="0018578C">
              <w:rPr>
                <w:b/>
                <w:noProof/>
                <w:sz w:val="22"/>
              </w:rPr>
              <w:t>TOTALE stanziamenti</w:t>
            </w:r>
            <w:r w:rsidRPr="0018578C">
              <w:rPr>
                <w:noProof/>
              </w:rPr>
              <w:t xml:space="preserve"> </w:t>
            </w:r>
            <w:r w:rsidRPr="0018578C">
              <w:rPr>
                <w:noProof/>
              </w:rPr>
              <w:br/>
            </w:r>
            <w:r w:rsidRPr="0018578C">
              <w:rPr>
                <w:noProof/>
                <w:sz w:val="22"/>
              </w:rPr>
              <w:t>per la DG Politica regionale e urbana e la DG Occupazione, affari sociali e inclusione</w:t>
            </w:r>
          </w:p>
        </w:tc>
        <w:tc>
          <w:tcPr>
            <w:tcW w:w="1276" w:type="dxa"/>
            <w:vAlign w:val="center"/>
          </w:tcPr>
          <w:p w14:paraId="0DB3438D" w14:textId="77777777" w:rsidR="00431F4F" w:rsidRPr="0018578C" w:rsidRDefault="00431F4F" w:rsidP="00431F4F">
            <w:pPr>
              <w:rPr>
                <w:noProof/>
                <w:sz w:val="18"/>
              </w:rPr>
            </w:pPr>
            <w:r w:rsidRPr="0018578C">
              <w:rPr>
                <w:noProof/>
                <w:sz w:val="18"/>
              </w:rPr>
              <w:t>Impegni</w:t>
            </w:r>
          </w:p>
        </w:tc>
        <w:tc>
          <w:tcPr>
            <w:tcW w:w="576" w:type="dxa"/>
            <w:vAlign w:val="center"/>
          </w:tcPr>
          <w:p w14:paraId="31332614" w14:textId="77777777" w:rsidR="00431F4F" w:rsidRPr="0018578C" w:rsidRDefault="00431F4F" w:rsidP="00431F4F">
            <w:pPr>
              <w:jc w:val="center"/>
              <w:rPr>
                <w:noProof/>
                <w:sz w:val="14"/>
              </w:rPr>
            </w:pPr>
            <w:r w:rsidRPr="0018578C">
              <w:rPr>
                <w:noProof/>
                <w:sz w:val="14"/>
              </w:rPr>
              <w:t>=1a+1b+3</w:t>
            </w:r>
          </w:p>
        </w:tc>
        <w:tc>
          <w:tcPr>
            <w:tcW w:w="703" w:type="dxa"/>
            <w:vAlign w:val="center"/>
          </w:tcPr>
          <w:p w14:paraId="1248AD67" w14:textId="77777777" w:rsidR="00431F4F" w:rsidRPr="0018578C" w:rsidRDefault="00431F4F" w:rsidP="00431F4F">
            <w:pPr>
              <w:spacing w:before="20" w:after="20"/>
              <w:jc w:val="right"/>
              <w:rPr>
                <w:noProof/>
                <w:sz w:val="22"/>
                <w:lang w:eastAsia="en-GB"/>
              </w:rPr>
            </w:pPr>
          </w:p>
        </w:tc>
        <w:tc>
          <w:tcPr>
            <w:tcW w:w="1134" w:type="dxa"/>
            <w:vAlign w:val="center"/>
          </w:tcPr>
          <w:p w14:paraId="0930FD9F" w14:textId="77777777" w:rsidR="00431F4F" w:rsidRPr="0018578C" w:rsidRDefault="00431F4F" w:rsidP="00431F4F">
            <w:pPr>
              <w:spacing w:before="20" w:after="20"/>
              <w:jc w:val="right"/>
              <w:rPr>
                <w:noProof/>
                <w:sz w:val="22"/>
                <w:lang w:eastAsia="en-GB"/>
              </w:rPr>
            </w:pPr>
          </w:p>
        </w:tc>
        <w:tc>
          <w:tcPr>
            <w:tcW w:w="1131" w:type="dxa"/>
            <w:vAlign w:val="center"/>
          </w:tcPr>
          <w:p w14:paraId="377E6EE4" w14:textId="77777777" w:rsidR="00431F4F" w:rsidRPr="0018578C" w:rsidRDefault="00431F4F" w:rsidP="00431F4F">
            <w:pPr>
              <w:spacing w:before="20" w:after="20"/>
              <w:jc w:val="right"/>
              <w:rPr>
                <w:noProof/>
                <w:sz w:val="22"/>
                <w:lang w:eastAsia="en-GB"/>
              </w:rPr>
            </w:pPr>
          </w:p>
        </w:tc>
        <w:tc>
          <w:tcPr>
            <w:tcW w:w="992" w:type="dxa"/>
            <w:vAlign w:val="center"/>
          </w:tcPr>
          <w:p w14:paraId="0870E82A" w14:textId="77777777" w:rsidR="00431F4F" w:rsidRPr="0018578C" w:rsidRDefault="00431F4F" w:rsidP="00431F4F">
            <w:pPr>
              <w:spacing w:before="20" w:after="20"/>
              <w:jc w:val="right"/>
              <w:rPr>
                <w:noProof/>
                <w:sz w:val="22"/>
                <w:lang w:eastAsia="en-GB"/>
              </w:rPr>
            </w:pPr>
          </w:p>
        </w:tc>
        <w:tc>
          <w:tcPr>
            <w:tcW w:w="709" w:type="dxa"/>
            <w:vAlign w:val="center"/>
          </w:tcPr>
          <w:p w14:paraId="6E8743BC" w14:textId="77777777" w:rsidR="00431F4F" w:rsidRPr="0018578C" w:rsidRDefault="00431F4F" w:rsidP="00431F4F">
            <w:pPr>
              <w:spacing w:before="20" w:after="20"/>
              <w:jc w:val="right"/>
              <w:rPr>
                <w:noProof/>
                <w:sz w:val="22"/>
                <w:lang w:eastAsia="en-GB"/>
              </w:rPr>
            </w:pPr>
          </w:p>
        </w:tc>
        <w:tc>
          <w:tcPr>
            <w:tcW w:w="708" w:type="dxa"/>
            <w:vAlign w:val="center"/>
          </w:tcPr>
          <w:p w14:paraId="563E7124" w14:textId="77777777" w:rsidR="00431F4F" w:rsidRPr="0018578C" w:rsidRDefault="00431F4F" w:rsidP="00431F4F">
            <w:pPr>
              <w:spacing w:before="20" w:after="20"/>
              <w:jc w:val="center"/>
              <w:rPr>
                <w:b/>
                <w:noProof/>
                <w:sz w:val="22"/>
                <w:lang w:eastAsia="en-GB"/>
              </w:rPr>
            </w:pPr>
          </w:p>
        </w:tc>
        <w:tc>
          <w:tcPr>
            <w:tcW w:w="1276" w:type="dxa"/>
            <w:vAlign w:val="center"/>
          </w:tcPr>
          <w:p w14:paraId="34875702" w14:textId="77777777" w:rsidR="00431F4F" w:rsidRPr="0018578C" w:rsidRDefault="00431F4F" w:rsidP="00431F4F">
            <w:pPr>
              <w:spacing w:before="20" w:after="20"/>
              <w:jc w:val="center"/>
              <w:rPr>
                <w:b/>
                <w:noProof/>
                <w:sz w:val="22"/>
                <w:lang w:eastAsia="en-GB"/>
              </w:rPr>
            </w:pPr>
          </w:p>
        </w:tc>
        <w:tc>
          <w:tcPr>
            <w:tcW w:w="1843" w:type="dxa"/>
            <w:vAlign w:val="center"/>
          </w:tcPr>
          <w:p w14:paraId="4721B4E7" w14:textId="77777777" w:rsidR="00431F4F" w:rsidRPr="0018578C" w:rsidRDefault="00431F4F" w:rsidP="00431F4F">
            <w:pPr>
              <w:spacing w:before="20" w:after="20"/>
              <w:jc w:val="center"/>
              <w:rPr>
                <w:b/>
                <w:noProof/>
                <w:sz w:val="22"/>
              </w:rPr>
            </w:pPr>
            <w:r w:rsidRPr="0018578C">
              <w:rPr>
                <w:b/>
                <w:noProof/>
                <w:sz w:val="22"/>
              </w:rPr>
              <w:t>0,000</w:t>
            </w:r>
          </w:p>
        </w:tc>
      </w:tr>
      <w:tr w:rsidR="00431F4F" w:rsidRPr="0018578C" w14:paraId="2521135A" w14:textId="77777777" w:rsidTr="00A27D48">
        <w:tc>
          <w:tcPr>
            <w:tcW w:w="3904" w:type="dxa"/>
            <w:vMerge/>
          </w:tcPr>
          <w:p w14:paraId="0EF0AD34" w14:textId="77777777" w:rsidR="00431F4F" w:rsidRPr="0018578C" w:rsidRDefault="00431F4F" w:rsidP="00431F4F">
            <w:pPr>
              <w:rPr>
                <w:noProof/>
                <w:sz w:val="20"/>
                <w:lang w:eastAsia="en-GB"/>
              </w:rPr>
            </w:pPr>
          </w:p>
        </w:tc>
        <w:tc>
          <w:tcPr>
            <w:tcW w:w="1276" w:type="dxa"/>
            <w:vAlign w:val="center"/>
          </w:tcPr>
          <w:p w14:paraId="4231592A" w14:textId="77777777" w:rsidR="00431F4F" w:rsidRPr="0018578C" w:rsidRDefault="00431F4F" w:rsidP="00431F4F">
            <w:pPr>
              <w:rPr>
                <w:noProof/>
                <w:sz w:val="18"/>
              </w:rPr>
            </w:pPr>
            <w:r w:rsidRPr="0018578C">
              <w:rPr>
                <w:noProof/>
                <w:sz w:val="18"/>
              </w:rPr>
              <w:t>Pagamenti</w:t>
            </w:r>
          </w:p>
        </w:tc>
        <w:tc>
          <w:tcPr>
            <w:tcW w:w="576" w:type="dxa"/>
            <w:vAlign w:val="center"/>
          </w:tcPr>
          <w:p w14:paraId="7A367FB7" w14:textId="77777777" w:rsidR="00431F4F" w:rsidRPr="0018578C" w:rsidRDefault="00431F4F" w:rsidP="00431F4F">
            <w:pPr>
              <w:jc w:val="center"/>
              <w:rPr>
                <w:noProof/>
                <w:sz w:val="14"/>
              </w:rPr>
            </w:pPr>
            <w:r w:rsidRPr="0018578C">
              <w:rPr>
                <w:noProof/>
                <w:sz w:val="14"/>
              </w:rPr>
              <w:t>=2a+2b</w:t>
            </w:r>
          </w:p>
          <w:p w14:paraId="17CE790F" w14:textId="77777777" w:rsidR="00431F4F" w:rsidRPr="0018578C" w:rsidRDefault="00431F4F" w:rsidP="00431F4F">
            <w:pPr>
              <w:jc w:val="center"/>
              <w:rPr>
                <w:noProof/>
                <w:sz w:val="14"/>
              </w:rPr>
            </w:pPr>
            <w:r w:rsidRPr="0018578C">
              <w:rPr>
                <w:noProof/>
                <w:sz w:val="14"/>
              </w:rPr>
              <w:t>+3</w:t>
            </w:r>
          </w:p>
        </w:tc>
        <w:tc>
          <w:tcPr>
            <w:tcW w:w="703" w:type="dxa"/>
            <w:vAlign w:val="center"/>
          </w:tcPr>
          <w:p w14:paraId="6706E560" w14:textId="77777777" w:rsidR="00431F4F" w:rsidRPr="0018578C" w:rsidRDefault="00431F4F" w:rsidP="00431F4F">
            <w:pPr>
              <w:spacing w:before="20" w:after="20"/>
              <w:jc w:val="right"/>
              <w:rPr>
                <w:noProof/>
                <w:sz w:val="22"/>
                <w:lang w:eastAsia="en-GB"/>
              </w:rPr>
            </w:pPr>
          </w:p>
        </w:tc>
        <w:tc>
          <w:tcPr>
            <w:tcW w:w="1134" w:type="dxa"/>
            <w:vAlign w:val="center"/>
          </w:tcPr>
          <w:p w14:paraId="0E9A852B" w14:textId="77777777" w:rsidR="00431F4F" w:rsidRPr="0018578C" w:rsidRDefault="00431F4F" w:rsidP="00431F4F">
            <w:pPr>
              <w:spacing w:before="20" w:after="20"/>
              <w:jc w:val="right"/>
              <w:rPr>
                <w:noProof/>
                <w:sz w:val="22"/>
              </w:rPr>
            </w:pPr>
            <w:r w:rsidRPr="0018578C">
              <w:rPr>
                <w:noProof/>
                <w:sz w:val="22"/>
              </w:rPr>
              <w:t>1 743,000</w:t>
            </w:r>
          </w:p>
        </w:tc>
        <w:tc>
          <w:tcPr>
            <w:tcW w:w="1131" w:type="dxa"/>
            <w:vAlign w:val="center"/>
          </w:tcPr>
          <w:p w14:paraId="58F38EAC" w14:textId="77777777" w:rsidR="00431F4F" w:rsidRPr="0018578C" w:rsidRDefault="00431F4F" w:rsidP="00431F4F">
            <w:pPr>
              <w:spacing w:before="20" w:after="20"/>
              <w:jc w:val="right"/>
              <w:rPr>
                <w:noProof/>
                <w:sz w:val="22"/>
              </w:rPr>
            </w:pPr>
            <w:r w:rsidRPr="0018578C">
              <w:rPr>
                <w:noProof/>
                <w:sz w:val="22"/>
              </w:rPr>
              <w:t>1 743,000</w:t>
            </w:r>
          </w:p>
        </w:tc>
        <w:tc>
          <w:tcPr>
            <w:tcW w:w="992" w:type="dxa"/>
            <w:vAlign w:val="center"/>
          </w:tcPr>
          <w:p w14:paraId="12B54457" w14:textId="77777777" w:rsidR="00431F4F" w:rsidRPr="0018578C" w:rsidRDefault="00431F4F" w:rsidP="00841AC1">
            <w:pPr>
              <w:spacing w:before="20" w:after="20"/>
              <w:jc w:val="right"/>
              <w:rPr>
                <w:noProof/>
                <w:sz w:val="22"/>
              </w:rPr>
            </w:pPr>
            <w:r w:rsidRPr="0018578C">
              <w:rPr>
                <w:noProof/>
                <w:sz w:val="22"/>
              </w:rPr>
              <w:t>-</w:t>
            </w:r>
          </w:p>
        </w:tc>
        <w:tc>
          <w:tcPr>
            <w:tcW w:w="709" w:type="dxa"/>
            <w:vAlign w:val="center"/>
          </w:tcPr>
          <w:p w14:paraId="4F0B67A4" w14:textId="77777777" w:rsidR="00431F4F" w:rsidRPr="0018578C" w:rsidRDefault="00431F4F" w:rsidP="00431F4F">
            <w:pPr>
              <w:spacing w:before="20" w:after="20"/>
              <w:jc w:val="right"/>
              <w:rPr>
                <w:noProof/>
                <w:sz w:val="22"/>
              </w:rPr>
            </w:pPr>
          </w:p>
        </w:tc>
        <w:tc>
          <w:tcPr>
            <w:tcW w:w="708" w:type="dxa"/>
            <w:vAlign w:val="center"/>
          </w:tcPr>
          <w:p w14:paraId="0393D49A" w14:textId="77777777" w:rsidR="00431F4F" w:rsidRPr="0018578C" w:rsidRDefault="00431F4F" w:rsidP="00431F4F">
            <w:pPr>
              <w:spacing w:before="20" w:after="20"/>
              <w:jc w:val="center"/>
              <w:rPr>
                <w:b/>
                <w:noProof/>
                <w:sz w:val="22"/>
                <w:lang w:eastAsia="en-GB"/>
              </w:rPr>
            </w:pPr>
          </w:p>
        </w:tc>
        <w:tc>
          <w:tcPr>
            <w:tcW w:w="1276" w:type="dxa"/>
            <w:vAlign w:val="center"/>
          </w:tcPr>
          <w:p w14:paraId="594FB923" w14:textId="77777777" w:rsidR="00431F4F" w:rsidRPr="0018578C" w:rsidRDefault="00431F4F" w:rsidP="00431F4F">
            <w:pPr>
              <w:spacing w:before="20" w:after="20"/>
              <w:jc w:val="center"/>
              <w:rPr>
                <w:b/>
                <w:noProof/>
                <w:sz w:val="22"/>
              </w:rPr>
            </w:pPr>
            <w:r w:rsidRPr="0018578C">
              <w:rPr>
                <w:noProof/>
                <w:sz w:val="22"/>
              </w:rPr>
              <w:t>-3 486,000</w:t>
            </w:r>
          </w:p>
        </w:tc>
        <w:tc>
          <w:tcPr>
            <w:tcW w:w="1843" w:type="dxa"/>
            <w:vAlign w:val="center"/>
          </w:tcPr>
          <w:p w14:paraId="627E5F76" w14:textId="77777777" w:rsidR="00431F4F" w:rsidRPr="0018578C" w:rsidRDefault="00431F4F" w:rsidP="00431F4F">
            <w:pPr>
              <w:spacing w:before="20" w:after="20"/>
              <w:jc w:val="center"/>
              <w:rPr>
                <w:b/>
                <w:noProof/>
                <w:sz w:val="22"/>
              </w:rPr>
            </w:pPr>
            <w:r w:rsidRPr="0018578C">
              <w:rPr>
                <w:b/>
                <w:noProof/>
                <w:sz w:val="22"/>
              </w:rPr>
              <w:t>0,000</w:t>
            </w:r>
          </w:p>
        </w:tc>
      </w:tr>
    </w:tbl>
    <w:p w14:paraId="00F0233D" w14:textId="77777777" w:rsidR="00C87E1E" w:rsidRPr="0018578C" w:rsidRDefault="00C87E1E" w:rsidP="00C87E1E">
      <w:pPr>
        <w:rPr>
          <w:noProof/>
        </w:rPr>
      </w:pPr>
      <w:r w:rsidRPr="0018578C">
        <w:rPr>
          <w:noProof/>
        </w:rPr>
        <w:t xml:space="preserve"> </w:t>
      </w:r>
      <w:r w:rsidRPr="0018578C">
        <w:rPr>
          <w:noProof/>
        </w:rPr>
        <w:br/>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20"/>
        <w:gridCol w:w="567"/>
        <w:gridCol w:w="709"/>
        <w:gridCol w:w="1134"/>
        <w:gridCol w:w="1134"/>
        <w:gridCol w:w="992"/>
        <w:gridCol w:w="709"/>
        <w:gridCol w:w="708"/>
        <w:gridCol w:w="1276"/>
        <w:gridCol w:w="1843"/>
      </w:tblGrid>
      <w:tr w:rsidR="00841AC1" w:rsidRPr="0018578C" w14:paraId="2CF7FCDD" w14:textId="77777777" w:rsidTr="00A27D48">
        <w:trPr>
          <w:trHeight w:val="277"/>
        </w:trPr>
        <w:tc>
          <w:tcPr>
            <w:tcW w:w="3960" w:type="dxa"/>
            <w:vMerge w:val="restart"/>
            <w:vAlign w:val="center"/>
          </w:tcPr>
          <w:p w14:paraId="17848FD6" w14:textId="77777777" w:rsidR="00841AC1" w:rsidRPr="0018578C" w:rsidRDefault="00841AC1" w:rsidP="00841AC1">
            <w:pPr>
              <w:spacing w:before="20" w:after="20"/>
              <w:rPr>
                <w:noProof/>
              </w:rPr>
            </w:pPr>
            <w:r w:rsidRPr="0018578C">
              <w:rPr>
                <w:noProof/>
              </w:rPr>
              <w:br w:type="page"/>
            </w:r>
            <w:r w:rsidRPr="0018578C">
              <w:rPr>
                <w:noProof/>
                <w:sz w:val="21"/>
              </w:rPr>
              <w:sym w:font="Wingdings" w:char="F09F"/>
            </w:r>
            <w:r w:rsidRPr="0018578C">
              <w:rPr>
                <w:noProof/>
                <w:sz w:val="21"/>
              </w:rPr>
              <w:t xml:space="preserve"> TOTALE stanziamenti operativi </w:t>
            </w:r>
          </w:p>
        </w:tc>
        <w:tc>
          <w:tcPr>
            <w:tcW w:w="1220" w:type="dxa"/>
            <w:vAlign w:val="center"/>
          </w:tcPr>
          <w:p w14:paraId="538ED2D1" w14:textId="77777777" w:rsidR="00841AC1" w:rsidRPr="0018578C" w:rsidRDefault="00841AC1" w:rsidP="00841AC1">
            <w:pPr>
              <w:spacing w:beforeLines="20" w:before="48" w:afterLines="20" w:after="48"/>
              <w:rPr>
                <w:noProof/>
                <w:sz w:val="18"/>
              </w:rPr>
            </w:pPr>
            <w:r w:rsidRPr="0018578C">
              <w:rPr>
                <w:noProof/>
                <w:sz w:val="18"/>
              </w:rPr>
              <w:t>Impegni</w:t>
            </w:r>
          </w:p>
        </w:tc>
        <w:tc>
          <w:tcPr>
            <w:tcW w:w="567" w:type="dxa"/>
            <w:vAlign w:val="center"/>
          </w:tcPr>
          <w:p w14:paraId="293A8B9C" w14:textId="77777777" w:rsidR="00841AC1" w:rsidRPr="0018578C" w:rsidRDefault="00841AC1" w:rsidP="00841AC1">
            <w:pPr>
              <w:spacing w:beforeLines="20" w:before="48" w:afterLines="20" w:after="48"/>
              <w:jc w:val="center"/>
              <w:rPr>
                <w:noProof/>
                <w:sz w:val="14"/>
              </w:rPr>
            </w:pPr>
            <w:r w:rsidRPr="0018578C">
              <w:rPr>
                <w:noProof/>
                <w:sz w:val="14"/>
              </w:rPr>
              <w:t>4)</w:t>
            </w:r>
          </w:p>
        </w:tc>
        <w:tc>
          <w:tcPr>
            <w:tcW w:w="709" w:type="dxa"/>
            <w:vAlign w:val="center"/>
          </w:tcPr>
          <w:p w14:paraId="460A9C37" w14:textId="77777777" w:rsidR="00841AC1" w:rsidRPr="0018578C" w:rsidRDefault="00841AC1" w:rsidP="00841AC1">
            <w:pPr>
              <w:spacing w:before="20" w:after="20"/>
              <w:jc w:val="right"/>
              <w:rPr>
                <w:noProof/>
                <w:sz w:val="20"/>
                <w:lang w:eastAsia="en-GB"/>
              </w:rPr>
            </w:pPr>
          </w:p>
        </w:tc>
        <w:tc>
          <w:tcPr>
            <w:tcW w:w="1134" w:type="dxa"/>
            <w:vAlign w:val="center"/>
          </w:tcPr>
          <w:p w14:paraId="2017BAD5" w14:textId="77777777" w:rsidR="00841AC1" w:rsidRPr="0018578C" w:rsidRDefault="00841AC1" w:rsidP="00841AC1">
            <w:pPr>
              <w:spacing w:before="20" w:after="20"/>
              <w:jc w:val="right"/>
              <w:rPr>
                <w:noProof/>
                <w:sz w:val="20"/>
                <w:lang w:eastAsia="en-GB"/>
              </w:rPr>
            </w:pPr>
          </w:p>
        </w:tc>
        <w:tc>
          <w:tcPr>
            <w:tcW w:w="1134" w:type="dxa"/>
            <w:vAlign w:val="center"/>
          </w:tcPr>
          <w:p w14:paraId="4967307B" w14:textId="77777777" w:rsidR="00841AC1" w:rsidRPr="0018578C" w:rsidRDefault="00841AC1" w:rsidP="00841AC1">
            <w:pPr>
              <w:spacing w:before="20" w:after="20"/>
              <w:jc w:val="right"/>
              <w:rPr>
                <w:noProof/>
                <w:sz w:val="20"/>
                <w:lang w:eastAsia="en-GB"/>
              </w:rPr>
            </w:pPr>
          </w:p>
        </w:tc>
        <w:tc>
          <w:tcPr>
            <w:tcW w:w="992" w:type="dxa"/>
            <w:vAlign w:val="center"/>
          </w:tcPr>
          <w:p w14:paraId="16BBB3E1" w14:textId="77777777" w:rsidR="00841AC1" w:rsidRPr="0018578C" w:rsidRDefault="00841AC1" w:rsidP="00841AC1">
            <w:pPr>
              <w:spacing w:before="20" w:after="20"/>
              <w:jc w:val="right"/>
              <w:rPr>
                <w:noProof/>
                <w:sz w:val="20"/>
                <w:lang w:eastAsia="en-GB"/>
              </w:rPr>
            </w:pPr>
          </w:p>
        </w:tc>
        <w:tc>
          <w:tcPr>
            <w:tcW w:w="709" w:type="dxa"/>
            <w:vAlign w:val="center"/>
          </w:tcPr>
          <w:p w14:paraId="39F0865F" w14:textId="77777777" w:rsidR="00841AC1" w:rsidRPr="0018578C" w:rsidRDefault="00841AC1" w:rsidP="00841AC1">
            <w:pPr>
              <w:spacing w:before="20" w:after="20"/>
              <w:jc w:val="right"/>
              <w:rPr>
                <w:noProof/>
                <w:sz w:val="20"/>
                <w:lang w:eastAsia="en-GB"/>
              </w:rPr>
            </w:pPr>
          </w:p>
        </w:tc>
        <w:tc>
          <w:tcPr>
            <w:tcW w:w="708" w:type="dxa"/>
            <w:vAlign w:val="center"/>
          </w:tcPr>
          <w:p w14:paraId="5B5FB6DD" w14:textId="77777777" w:rsidR="00841AC1" w:rsidRPr="0018578C" w:rsidRDefault="00841AC1" w:rsidP="00841AC1">
            <w:pPr>
              <w:spacing w:before="20" w:after="20"/>
              <w:jc w:val="right"/>
              <w:rPr>
                <w:b/>
                <w:noProof/>
                <w:sz w:val="20"/>
                <w:lang w:eastAsia="en-GB"/>
              </w:rPr>
            </w:pPr>
          </w:p>
        </w:tc>
        <w:tc>
          <w:tcPr>
            <w:tcW w:w="1276" w:type="dxa"/>
            <w:vAlign w:val="center"/>
          </w:tcPr>
          <w:p w14:paraId="01F719A6" w14:textId="77777777" w:rsidR="00841AC1" w:rsidRPr="0018578C" w:rsidRDefault="00841AC1" w:rsidP="00841AC1">
            <w:pPr>
              <w:spacing w:before="20" w:after="20"/>
              <w:jc w:val="right"/>
              <w:rPr>
                <w:b/>
                <w:noProof/>
                <w:sz w:val="20"/>
                <w:lang w:eastAsia="en-GB"/>
              </w:rPr>
            </w:pPr>
          </w:p>
        </w:tc>
        <w:tc>
          <w:tcPr>
            <w:tcW w:w="1843" w:type="dxa"/>
            <w:vAlign w:val="center"/>
          </w:tcPr>
          <w:p w14:paraId="7F9FB537" w14:textId="77777777" w:rsidR="00841AC1" w:rsidRPr="0018578C" w:rsidRDefault="00841AC1" w:rsidP="00841AC1">
            <w:pPr>
              <w:spacing w:before="20" w:after="20"/>
              <w:jc w:val="right"/>
              <w:rPr>
                <w:b/>
                <w:noProof/>
                <w:sz w:val="20"/>
                <w:lang w:eastAsia="en-GB"/>
              </w:rPr>
            </w:pPr>
          </w:p>
        </w:tc>
      </w:tr>
      <w:tr w:rsidR="00841AC1" w:rsidRPr="0018578C" w14:paraId="00E3E8A3" w14:textId="77777777" w:rsidTr="00A27D48">
        <w:tc>
          <w:tcPr>
            <w:tcW w:w="3960" w:type="dxa"/>
            <w:vMerge/>
          </w:tcPr>
          <w:p w14:paraId="40AC7AD5" w14:textId="77777777" w:rsidR="00841AC1" w:rsidRPr="0018578C" w:rsidRDefault="00841AC1" w:rsidP="00841AC1">
            <w:pPr>
              <w:jc w:val="center"/>
              <w:rPr>
                <w:noProof/>
                <w:sz w:val="20"/>
                <w:lang w:eastAsia="en-GB"/>
              </w:rPr>
            </w:pPr>
          </w:p>
        </w:tc>
        <w:tc>
          <w:tcPr>
            <w:tcW w:w="1220" w:type="dxa"/>
            <w:vAlign w:val="center"/>
          </w:tcPr>
          <w:p w14:paraId="33F12156" w14:textId="77777777" w:rsidR="00841AC1" w:rsidRPr="0018578C" w:rsidRDefault="00841AC1" w:rsidP="00841AC1">
            <w:pPr>
              <w:spacing w:beforeLines="20" w:before="48" w:afterLines="20" w:after="48"/>
              <w:rPr>
                <w:noProof/>
                <w:sz w:val="18"/>
              </w:rPr>
            </w:pPr>
            <w:r w:rsidRPr="0018578C">
              <w:rPr>
                <w:noProof/>
                <w:sz w:val="18"/>
              </w:rPr>
              <w:t>Pagamenti</w:t>
            </w:r>
          </w:p>
        </w:tc>
        <w:tc>
          <w:tcPr>
            <w:tcW w:w="567" w:type="dxa"/>
            <w:vAlign w:val="center"/>
          </w:tcPr>
          <w:p w14:paraId="44989F8F" w14:textId="77777777" w:rsidR="00841AC1" w:rsidRPr="0018578C" w:rsidRDefault="00841AC1" w:rsidP="00841AC1">
            <w:pPr>
              <w:spacing w:beforeLines="20" w:before="48" w:afterLines="20" w:after="48"/>
              <w:jc w:val="center"/>
              <w:rPr>
                <w:noProof/>
                <w:sz w:val="14"/>
              </w:rPr>
            </w:pPr>
            <w:r w:rsidRPr="0018578C">
              <w:rPr>
                <w:noProof/>
                <w:sz w:val="14"/>
              </w:rPr>
              <w:t>5)</w:t>
            </w:r>
          </w:p>
        </w:tc>
        <w:tc>
          <w:tcPr>
            <w:tcW w:w="709" w:type="dxa"/>
            <w:vAlign w:val="center"/>
          </w:tcPr>
          <w:p w14:paraId="2E2DF715" w14:textId="77777777" w:rsidR="00841AC1" w:rsidRPr="0018578C" w:rsidRDefault="00841AC1" w:rsidP="00841AC1">
            <w:pPr>
              <w:spacing w:before="20" w:after="20"/>
              <w:jc w:val="right"/>
              <w:rPr>
                <w:noProof/>
                <w:sz w:val="20"/>
                <w:lang w:eastAsia="en-GB"/>
              </w:rPr>
            </w:pPr>
          </w:p>
        </w:tc>
        <w:tc>
          <w:tcPr>
            <w:tcW w:w="1134" w:type="dxa"/>
            <w:vAlign w:val="center"/>
          </w:tcPr>
          <w:p w14:paraId="346CBB12" w14:textId="77777777" w:rsidR="00841AC1" w:rsidRPr="0018578C" w:rsidRDefault="00841AC1" w:rsidP="00841AC1">
            <w:pPr>
              <w:spacing w:before="20" w:after="20"/>
              <w:jc w:val="right"/>
              <w:rPr>
                <w:noProof/>
                <w:sz w:val="20"/>
                <w:lang w:eastAsia="en-GB"/>
              </w:rPr>
            </w:pPr>
          </w:p>
        </w:tc>
        <w:tc>
          <w:tcPr>
            <w:tcW w:w="1134" w:type="dxa"/>
            <w:vAlign w:val="center"/>
          </w:tcPr>
          <w:p w14:paraId="4A515E3B" w14:textId="77777777" w:rsidR="00841AC1" w:rsidRPr="0018578C" w:rsidRDefault="00841AC1" w:rsidP="00841AC1">
            <w:pPr>
              <w:spacing w:before="20" w:after="20"/>
              <w:jc w:val="right"/>
              <w:rPr>
                <w:noProof/>
                <w:sz w:val="20"/>
                <w:lang w:eastAsia="en-GB"/>
              </w:rPr>
            </w:pPr>
          </w:p>
        </w:tc>
        <w:tc>
          <w:tcPr>
            <w:tcW w:w="992" w:type="dxa"/>
            <w:vAlign w:val="center"/>
          </w:tcPr>
          <w:p w14:paraId="2E98DC38" w14:textId="77777777" w:rsidR="00841AC1" w:rsidRPr="0018578C" w:rsidRDefault="00841AC1" w:rsidP="00841AC1">
            <w:pPr>
              <w:spacing w:before="20" w:after="20"/>
              <w:jc w:val="right"/>
              <w:rPr>
                <w:noProof/>
                <w:sz w:val="20"/>
                <w:lang w:eastAsia="en-GB"/>
              </w:rPr>
            </w:pPr>
          </w:p>
        </w:tc>
        <w:tc>
          <w:tcPr>
            <w:tcW w:w="709" w:type="dxa"/>
            <w:vAlign w:val="center"/>
          </w:tcPr>
          <w:p w14:paraId="39452191" w14:textId="77777777" w:rsidR="00841AC1" w:rsidRPr="0018578C" w:rsidRDefault="00841AC1" w:rsidP="00841AC1">
            <w:pPr>
              <w:spacing w:before="20" w:after="20"/>
              <w:jc w:val="right"/>
              <w:rPr>
                <w:noProof/>
                <w:sz w:val="20"/>
                <w:lang w:eastAsia="en-GB"/>
              </w:rPr>
            </w:pPr>
          </w:p>
        </w:tc>
        <w:tc>
          <w:tcPr>
            <w:tcW w:w="708" w:type="dxa"/>
            <w:vAlign w:val="center"/>
          </w:tcPr>
          <w:p w14:paraId="2C258D9F" w14:textId="77777777" w:rsidR="00841AC1" w:rsidRPr="0018578C" w:rsidRDefault="00841AC1" w:rsidP="00841AC1">
            <w:pPr>
              <w:spacing w:before="20" w:after="20"/>
              <w:jc w:val="right"/>
              <w:rPr>
                <w:b/>
                <w:noProof/>
                <w:sz w:val="20"/>
                <w:lang w:eastAsia="en-GB"/>
              </w:rPr>
            </w:pPr>
          </w:p>
        </w:tc>
        <w:tc>
          <w:tcPr>
            <w:tcW w:w="1276" w:type="dxa"/>
            <w:vAlign w:val="center"/>
          </w:tcPr>
          <w:p w14:paraId="37B6CD5A" w14:textId="77777777" w:rsidR="00841AC1" w:rsidRPr="0018578C" w:rsidRDefault="00841AC1" w:rsidP="00841AC1">
            <w:pPr>
              <w:spacing w:before="20" w:after="20"/>
              <w:jc w:val="right"/>
              <w:rPr>
                <w:b/>
                <w:noProof/>
                <w:sz w:val="20"/>
                <w:lang w:eastAsia="en-GB"/>
              </w:rPr>
            </w:pPr>
          </w:p>
        </w:tc>
        <w:tc>
          <w:tcPr>
            <w:tcW w:w="1843" w:type="dxa"/>
            <w:vAlign w:val="center"/>
          </w:tcPr>
          <w:p w14:paraId="7AF0BF32" w14:textId="77777777" w:rsidR="00841AC1" w:rsidRPr="0018578C" w:rsidRDefault="00841AC1" w:rsidP="00841AC1">
            <w:pPr>
              <w:spacing w:before="20" w:after="20"/>
              <w:jc w:val="right"/>
              <w:rPr>
                <w:b/>
                <w:noProof/>
                <w:sz w:val="20"/>
                <w:lang w:eastAsia="en-GB"/>
              </w:rPr>
            </w:pPr>
          </w:p>
        </w:tc>
      </w:tr>
      <w:tr w:rsidR="00841AC1" w:rsidRPr="0018578C" w14:paraId="77F5BA94" w14:textId="77777777" w:rsidTr="00A27D48">
        <w:trPr>
          <w:trHeight w:val="533"/>
        </w:trPr>
        <w:tc>
          <w:tcPr>
            <w:tcW w:w="5180" w:type="dxa"/>
            <w:gridSpan w:val="2"/>
            <w:vAlign w:val="center"/>
          </w:tcPr>
          <w:p w14:paraId="42607847" w14:textId="77777777" w:rsidR="00841AC1" w:rsidRPr="0018578C" w:rsidRDefault="00841AC1" w:rsidP="00841AC1">
            <w:pPr>
              <w:spacing w:beforeLines="20" w:before="48" w:afterLines="20" w:after="48"/>
              <w:rPr>
                <w:noProof/>
              </w:rPr>
            </w:pPr>
            <w:r w:rsidRPr="0018578C">
              <w:rPr>
                <w:noProof/>
                <w:sz w:val="21"/>
              </w:rPr>
              <w:sym w:font="Wingdings" w:char="F09F"/>
            </w:r>
            <w:r w:rsidRPr="0018578C">
              <w:rPr>
                <w:noProof/>
                <w:sz w:val="21"/>
              </w:rPr>
              <w:t xml:space="preserve"> TOTALE stanziamenti amministrativi finanziati dalla dotazione di programmi specifici </w:t>
            </w:r>
          </w:p>
        </w:tc>
        <w:tc>
          <w:tcPr>
            <w:tcW w:w="567" w:type="dxa"/>
            <w:vAlign w:val="center"/>
          </w:tcPr>
          <w:p w14:paraId="09F30514" w14:textId="77777777" w:rsidR="00841AC1" w:rsidRPr="0018578C" w:rsidRDefault="00841AC1" w:rsidP="00841AC1">
            <w:pPr>
              <w:spacing w:beforeLines="20" w:before="48" w:afterLines="20" w:after="48"/>
              <w:jc w:val="center"/>
              <w:rPr>
                <w:noProof/>
                <w:sz w:val="14"/>
              </w:rPr>
            </w:pPr>
            <w:r w:rsidRPr="0018578C">
              <w:rPr>
                <w:noProof/>
                <w:sz w:val="14"/>
              </w:rPr>
              <w:t>6)</w:t>
            </w:r>
          </w:p>
        </w:tc>
        <w:tc>
          <w:tcPr>
            <w:tcW w:w="709" w:type="dxa"/>
            <w:vAlign w:val="center"/>
          </w:tcPr>
          <w:p w14:paraId="4B168191" w14:textId="77777777" w:rsidR="00841AC1" w:rsidRPr="0018578C" w:rsidRDefault="00841AC1" w:rsidP="00841AC1">
            <w:pPr>
              <w:spacing w:before="20" w:after="20"/>
              <w:jc w:val="right"/>
              <w:rPr>
                <w:b/>
                <w:noProof/>
                <w:sz w:val="20"/>
                <w:lang w:eastAsia="en-GB"/>
              </w:rPr>
            </w:pPr>
          </w:p>
        </w:tc>
        <w:tc>
          <w:tcPr>
            <w:tcW w:w="1134" w:type="dxa"/>
            <w:vAlign w:val="center"/>
          </w:tcPr>
          <w:p w14:paraId="39758572" w14:textId="77777777" w:rsidR="00841AC1" w:rsidRPr="0018578C" w:rsidRDefault="00841AC1" w:rsidP="00841AC1">
            <w:pPr>
              <w:spacing w:before="20" w:after="20"/>
              <w:jc w:val="right"/>
              <w:rPr>
                <w:b/>
                <w:noProof/>
                <w:sz w:val="20"/>
                <w:lang w:eastAsia="en-GB"/>
              </w:rPr>
            </w:pPr>
          </w:p>
        </w:tc>
        <w:tc>
          <w:tcPr>
            <w:tcW w:w="1134" w:type="dxa"/>
            <w:vAlign w:val="center"/>
          </w:tcPr>
          <w:p w14:paraId="6C8D4439" w14:textId="77777777" w:rsidR="00841AC1" w:rsidRPr="0018578C" w:rsidRDefault="00841AC1" w:rsidP="00841AC1">
            <w:pPr>
              <w:spacing w:before="20" w:after="20"/>
              <w:jc w:val="right"/>
              <w:rPr>
                <w:b/>
                <w:noProof/>
                <w:sz w:val="20"/>
                <w:lang w:eastAsia="en-GB"/>
              </w:rPr>
            </w:pPr>
          </w:p>
        </w:tc>
        <w:tc>
          <w:tcPr>
            <w:tcW w:w="992" w:type="dxa"/>
            <w:vAlign w:val="center"/>
          </w:tcPr>
          <w:p w14:paraId="027F286F" w14:textId="77777777" w:rsidR="00841AC1" w:rsidRPr="0018578C" w:rsidRDefault="00841AC1" w:rsidP="00841AC1">
            <w:pPr>
              <w:spacing w:before="20" w:after="20"/>
              <w:jc w:val="right"/>
              <w:rPr>
                <w:b/>
                <w:noProof/>
                <w:sz w:val="20"/>
                <w:lang w:eastAsia="en-GB"/>
              </w:rPr>
            </w:pPr>
          </w:p>
        </w:tc>
        <w:tc>
          <w:tcPr>
            <w:tcW w:w="709" w:type="dxa"/>
            <w:vAlign w:val="center"/>
          </w:tcPr>
          <w:p w14:paraId="633EE930" w14:textId="77777777" w:rsidR="00841AC1" w:rsidRPr="0018578C" w:rsidRDefault="00841AC1" w:rsidP="00841AC1">
            <w:pPr>
              <w:spacing w:before="20" w:after="20"/>
              <w:jc w:val="right"/>
              <w:rPr>
                <w:b/>
                <w:noProof/>
                <w:sz w:val="20"/>
                <w:lang w:eastAsia="en-GB"/>
              </w:rPr>
            </w:pPr>
          </w:p>
        </w:tc>
        <w:tc>
          <w:tcPr>
            <w:tcW w:w="708" w:type="dxa"/>
            <w:vAlign w:val="center"/>
          </w:tcPr>
          <w:p w14:paraId="7F84BF7C" w14:textId="77777777" w:rsidR="00841AC1" w:rsidRPr="0018578C" w:rsidRDefault="00841AC1" w:rsidP="00841AC1">
            <w:pPr>
              <w:spacing w:before="20" w:after="20"/>
              <w:jc w:val="right"/>
              <w:rPr>
                <w:b/>
                <w:noProof/>
                <w:sz w:val="20"/>
                <w:lang w:eastAsia="en-GB"/>
              </w:rPr>
            </w:pPr>
          </w:p>
        </w:tc>
        <w:tc>
          <w:tcPr>
            <w:tcW w:w="1276" w:type="dxa"/>
            <w:vAlign w:val="center"/>
          </w:tcPr>
          <w:p w14:paraId="22B30237" w14:textId="77777777" w:rsidR="00841AC1" w:rsidRPr="0018578C" w:rsidRDefault="00841AC1" w:rsidP="00841AC1">
            <w:pPr>
              <w:spacing w:before="20" w:after="20"/>
              <w:jc w:val="right"/>
              <w:rPr>
                <w:b/>
                <w:noProof/>
                <w:sz w:val="20"/>
                <w:lang w:eastAsia="en-GB"/>
              </w:rPr>
            </w:pPr>
          </w:p>
        </w:tc>
        <w:tc>
          <w:tcPr>
            <w:tcW w:w="1843" w:type="dxa"/>
            <w:vAlign w:val="center"/>
          </w:tcPr>
          <w:p w14:paraId="4868CFB9" w14:textId="77777777" w:rsidR="00841AC1" w:rsidRPr="0018578C" w:rsidRDefault="00841AC1" w:rsidP="00841AC1">
            <w:pPr>
              <w:spacing w:before="20" w:after="20"/>
              <w:jc w:val="right"/>
              <w:rPr>
                <w:b/>
                <w:noProof/>
                <w:sz w:val="20"/>
                <w:lang w:eastAsia="en-GB"/>
              </w:rPr>
            </w:pPr>
          </w:p>
        </w:tc>
      </w:tr>
      <w:tr w:rsidR="00841AC1" w:rsidRPr="0018578C" w14:paraId="0CBA845A" w14:textId="77777777" w:rsidTr="00A27D48">
        <w:tc>
          <w:tcPr>
            <w:tcW w:w="3960" w:type="dxa"/>
            <w:vMerge w:val="restart"/>
            <w:shd w:val="thinDiagStripe" w:color="C0C0C0" w:fill="auto"/>
            <w:vAlign w:val="center"/>
          </w:tcPr>
          <w:p w14:paraId="2903BFD2" w14:textId="77777777" w:rsidR="00841AC1" w:rsidRPr="0018578C" w:rsidRDefault="00841AC1" w:rsidP="00841AC1">
            <w:pPr>
              <w:jc w:val="center"/>
              <w:rPr>
                <w:b/>
                <w:noProof/>
              </w:rPr>
            </w:pPr>
            <w:r w:rsidRPr="0018578C">
              <w:rPr>
                <w:b/>
                <w:noProof/>
                <w:sz w:val="22"/>
              </w:rPr>
              <w:t>TOTALE degli stanziamenti</w:t>
            </w:r>
            <w:r w:rsidRPr="0018578C">
              <w:rPr>
                <w:noProof/>
              </w:rPr>
              <w:t xml:space="preserve"> </w:t>
            </w:r>
            <w:r w:rsidRPr="0018578C">
              <w:rPr>
                <w:noProof/>
              </w:rPr>
              <w:br/>
            </w:r>
            <w:r w:rsidRPr="0018578C">
              <w:rPr>
                <w:b/>
                <w:noProof/>
                <w:sz w:val="22"/>
              </w:rPr>
              <w:t>per la RUBRICA 2a</w:t>
            </w:r>
            <w:r w:rsidRPr="0018578C">
              <w:rPr>
                <w:noProof/>
              </w:rPr>
              <w:t xml:space="preserve"> </w:t>
            </w:r>
            <w:r w:rsidRPr="0018578C">
              <w:rPr>
                <w:noProof/>
              </w:rPr>
              <w:br/>
            </w:r>
            <w:r w:rsidRPr="0018578C">
              <w:rPr>
                <w:noProof/>
                <w:sz w:val="22"/>
              </w:rPr>
              <w:t>del quadro finanziario pluriennale</w:t>
            </w:r>
          </w:p>
        </w:tc>
        <w:tc>
          <w:tcPr>
            <w:tcW w:w="1220" w:type="dxa"/>
            <w:vAlign w:val="center"/>
          </w:tcPr>
          <w:p w14:paraId="0FE29F1A" w14:textId="77777777" w:rsidR="00841AC1" w:rsidRPr="0018578C" w:rsidRDefault="00841AC1" w:rsidP="00841AC1">
            <w:pPr>
              <w:rPr>
                <w:noProof/>
                <w:sz w:val="18"/>
              </w:rPr>
            </w:pPr>
            <w:r w:rsidRPr="0018578C">
              <w:rPr>
                <w:noProof/>
                <w:sz w:val="18"/>
              </w:rPr>
              <w:t>Impegni</w:t>
            </w:r>
          </w:p>
        </w:tc>
        <w:tc>
          <w:tcPr>
            <w:tcW w:w="567" w:type="dxa"/>
            <w:vAlign w:val="center"/>
          </w:tcPr>
          <w:p w14:paraId="03FE6AB0" w14:textId="77777777" w:rsidR="00841AC1" w:rsidRPr="0018578C" w:rsidRDefault="00841AC1" w:rsidP="00841AC1">
            <w:pPr>
              <w:jc w:val="center"/>
              <w:rPr>
                <w:noProof/>
                <w:sz w:val="14"/>
              </w:rPr>
            </w:pPr>
            <w:r w:rsidRPr="0018578C">
              <w:rPr>
                <w:noProof/>
                <w:sz w:val="14"/>
              </w:rPr>
              <w:t>=4+6</w:t>
            </w:r>
          </w:p>
        </w:tc>
        <w:tc>
          <w:tcPr>
            <w:tcW w:w="709" w:type="dxa"/>
            <w:vAlign w:val="center"/>
          </w:tcPr>
          <w:p w14:paraId="524F84EE" w14:textId="77777777" w:rsidR="00841AC1" w:rsidRPr="0018578C" w:rsidRDefault="00841AC1" w:rsidP="00841AC1">
            <w:pPr>
              <w:spacing w:before="20" w:after="20"/>
              <w:jc w:val="right"/>
              <w:rPr>
                <w:noProof/>
                <w:sz w:val="22"/>
                <w:lang w:eastAsia="en-GB"/>
              </w:rPr>
            </w:pPr>
          </w:p>
        </w:tc>
        <w:tc>
          <w:tcPr>
            <w:tcW w:w="1134" w:type="dxa"/>
            <w:vAlign w:val="center"/>
          </w:tcPr>
          <w:p w14:paraId="4FAB71A1" w14:textId="77777777" w:rsidR="00841AC1" w:rsidRPr="0018578C" w:rsidRDefault="00841AC1" w:rsidP="00841AC1">
            <w:pPr>
              <w:spacing w:before="20" w:after="20"/>
              <w:jc w:val="right"/>
              <w:rPr>
                <w:noProof/>
                <w:sz w:val="22"/>
                <w:lang w:eastAsia="en-GB"/>
              </w:rPr>
            </w:pPr>
          </w:p>
        </w:tc>
        <w:tc>
          <w:tcPr>
            <w:tcW w:w="1134" w:type="dxa"/>
            <w:vAlign w:val="center"/>
          </w:tcPr>
          <w:p w14:paraId="7F331F27" w14:textId="77777777" w:rsidR="00841AC1" w:rsidRPr="0018578C" w:rsidRDefault="00841AC1" w:rsidP="00841AC1">
            <w:pPr>
              <w:spacing w:before="20" w:after="20"/>
              <w:jc w:val="right"/>
              <w:rPr>
                <w:noProof/>
                <w:sz w:val="22"/>
                <w:lang w:eastAsia="en-GB"/>
              </w:rPr>
            </w:pPr>
          </w:p>
        </w:tc>
        <w:tc>
          <w:tcPr>
            <w:tcW w:w="992" w:type="dxa"/>
            <w:vAlign w:val="center"/>
          </w:tcPr>
          <w:p w14:paraId="673F0A0F" w14:textId="77777777" w:rsidR="00841AC1" w:rsidRPr="0018578C" w:rsidRDefault="00841AC1" w:rsidP="00841AC1">
            <w:pPr>
              <w:spacing w:before="20" w:after="20"/>
              <w:jc w:val="right"/>
              <w:rPr>
                <w:noProof/>
                <w:sz w:val="22"/>
                <w:lang w:eastAsia="en-GB"/>
              </w:rPr>
            </w:pPr>
          </w:p>
        </w:tc>
        <w:tc>
          <w:tcPr>
            <w:tcW w:w="709" w:type="dxa"/>
            <w:vAlign w:val="center"/>
          </w:tcPr>
          <w:p w14:paraId="7871DB0E" w14:textId="77777777" w:rsidR="00841AC1" w:rsidRPr="0018578C" w:rsidRDefault="00841AC1" w:rsidP="00841AC1">
            <w:pPr>
              <w:spacing w:before="20" w:after="20"/>
              <w:jc w:val="right"/>
              <w:rPr>
                <w:noProof/>
                <w:sz w:val="22"/>
                <w:lang w:eastAsia="en-GB"/>
              </w:rPr>
            </w:pPr>
          </w:p>
        </w:tc>
        <w:tc>
          <w:tcPr>
            <w:tcW w:w="708" w:type="dxa"/>
            <w:vAlign w:val="center"/>
          </w:tcPr>
          <w:p w14:paraId="42EDA0B8" w14:textId="77777777" w:rsidR="00841AC1" w:rsidRPr="0018578C" w:rsidRDefault="00841AC1" w:rsidP="00841AC1">
            <w:pPr>
              <w:spacing w:before="20" w:after="20"/>
              <w:jc w:val="center"/>
              <w:rPr>
                <w:b/>
                <w:noProof/>
                <w:sz w:val="22"/>
                <w:lang w:eastAsia="en-GB"/>
              </w:rPr>
            </w:pPr>
          </w:p>
        </w:tc>
        <w:tc>
          <w:tcPr>
            <w:tcW w:w="1276" w:type="dxa"/>
            <w:vAlign w:val="center"/>
          </w:tcPr>
          <w:p w14:paraId="313B9DC5" w14:textId="77777777" w:rsidR="00841AC1" w:rsidRPr="0018578C" w:rsidRDefault="00841AC1" w:rsidP="00841AC1">
            <w:pPr>
              <w:spacing w:before="20" w:after="20"/>
              <w:jc w:val="center"/>
              <w:rPr>
                <w:b/>
                <w:noProof/>
                <w:sz w:val="22"/>
                <w:lang w:eastAsia="en-GB"/>
              </w:rPr>
            </w:pPr>
          </w:p>
        </w:tc>
        <w:tc>
          <w:tcPr>
            <w:tcW w:w="1843" w:type="dxa"/>
            <w:vAlign w:val="center"/>
          </w:tcPr>
          <w:p w14:paraId="572049C2" w14:textId="77777777" w:rsidR="00841AC1" w:rsidRPr="0018578C" w:rsidRDefault="00841AC1" w:rsidP="00841AC1">
            <w:pPr>
              <w:spacing w:before="20" w:after="20"/>
              <w:jc w:val="center"/>
              <w:rPr>
                <w:b/>
                <w:noProof/>
                <w:sz w:val="22"/>
              </w:rPr>
            </w:pPr>
            <w:r w:rsidRPr="0018578C">
              <w:rPr>
                <w:b/>
                <w:noProof/>
                <w:sz w:val="22"/>
              </w:rPr>
              <w:t>0,000</w:t>
            </w:r>
          </w:p>
        </w:tc>
      </w:tr>
      <w:tr w:rsidR="00841AC1" w:rsidRPr="0018578C" w14:paraId="1691687C" w14:textId="77777777" w:rsidTr="00A27D48">
        <w:tc>
          <w:tcPr>
            <w:tcW w:w="3960" w:type="dxa"/>
            <w:vMerge/>
            <w:shd w:val="thinDiagStripe" w:color="C0C0C0" w:fill="auto"/>
          </w:tcPr>
          <w:p w14:paraId="6A74213F" w14:textId="77777777" w:rsidR="00841AC1" w:rsidRPr="0018578C" w:rsidRDefault="00841AC1" w:rsidP="00841AC1">
            <w:pPr>
              <w:rPr>
                <w:noProof/>
                <w:sz w:val="20"/>
                <w:lang w:eastAsia="en-GB"/>
              </w:rPr>
            </w:pPr>
          </w:p>
        </w:tc>
        <w:tc>
          <w:tcPr>
            <w:tcW w:w="1220" w:type="dxa"/>
            <w:vAlign w:val="center"/>
          </w:tcPr>
          <w:p w14:paraId="042C62B4" w14:textId="77777777" w:rsidR="00841AC1" w:rsidRPr="0018578C" w:rsidRDefault="00841AC1" w:rsidP="00841AC1">
            <w:pPr>
              <w:rPr>
                <w:noProof/>
                <w:sz w:val="18"/>
              </w:rPr>
            </w:pPr>
            <w:r w:rsidRPr="0018578C">
              <w:rPr>
                <w:noProof/>
                <w:sz w:val="18"/>
              </w:rPr>
              <w:t>Pagamenti</w:t>
            </w:r>
          </w:p>
        </w:tc>
        <w:tc>
          <w:tcPr>
            <w:tcW w:w="567" w:type="dxa"/>
            <w:vAlign w:val="center"/>
          </w:tcPr>
          <w:p w14:paraId="35D34DB0" w14:textId="77777777" w:rsidR="00841AC1" w:rsidRPr="0018578C" w:rsidRDefault="00841AC1" w:rsidP="00841AC1">
            <w:pPr>
              <w:jc w:val="center"/>
              <w:rPr>
                <w:noProof/>
                <w:sz w:val="14"/>
              </w:rPr>
            </w:pPr>
            <w:r w:rsidRPr="0018578C">
              <w:rPr>
                <w:noProof/>
                <w:sz w:val="14"/>
              </w:rPr>
              <w:t>=5+6</w:t>
            </w:r>
          </w:p>
        </w:tc>
        <w:tc>
          <w:tcPr>
            <w:tcW w:w="709" w:type="dxa"/>
            <w:vAlign w:val="center"/>
          </w:tcPr>
          <w:p w14:paraId="0658188E" w14:textId="77777777" w:rsidR="00841AC1" w:rsidRPr="0018578C" w:rsidRDefault="00841AC1" w:rsidP="00841AC1">
            <w:pPr>
              <w:spacing w:before="20" w:after="20"/>
              <w:jc w:val="right"/>
              <w:rPr>
                <w:noProof/>
                <w:sz w:val="22"/>
                <w:lang w:eastAsia="en-GB"/>
              </w:rPr>
            </w:pPr>
          </w:p>
        </w:tc>
        <w:tc>
          <w:tcPr>
            <w:tcW w:w="1134" w:type="dxa"/>
            <w:vAlign w:val="center"/>
          </w:tcPr>
          <w:p w14:paraId="7CB2BB3A" w14:textId="77777777" w:rsidR="00841AC1" w:rsidRPr="0018578C" w:rsidRDefault="00841AC1" w:rsidP="00841AC1">
            <w:pPr>
              <w:spacing w:before="20" w:after="20"/>
              <w:jc w:val="right"/>
              <w:rPr>
                <w:noProof/>
                <w:sz w:val="22"/>
              </w:rPr>
            </w:pPr>
            <w:r w:rsidRPr="0018578C">
              <w:rPr>
                <w:noProof/>
                <w:sz w:val="22"/>
              </w:rPr>
              <w:t>1 743,000</w:t>
            </w:r>
          </w:p>
        </w:tc>
        <w:tc>
          <w:tcPr>
            <w:tcW w:w="1134" w:type="dxa"/>
            <w:vAlign w:val="center"/>
          </w:tcPr>
          <w:p w14:paraId="6FC59063" w14:textId="77777777" w:rsidR="00841AC1" w:rsidRPr="0018578C" w:rsidRDefault="00841AC1" w:rsidP="00841AC1">
            <w:pPr>
              <w:spacing w:before="20" w:after="20"/>
              <w:jc w:val="right"/>
              <w:rPr>
                <w:noProof/>
                <w:sz w:val="22"/>
              </w:rPr>
            </w:pPr>
            <w:r w:rsidRPr="0018578C">
              <w:rPr>
                <w:noProof/>
                <w:sz w:val="22"/>
              </w:rPr>
              <w:t>1 743,000</w:t>
            </w:r>
          </w:p>
        </w:tc>
        <w:tc>
          <w:tcPr>
            <w:tcW w:w="992" w:type="dxa"/>
            <w:vAlign w:val="center"/>
          </w:tcPr>
          <w:p w14:paraId="09410A99" w14:textId="77777777" w:rsidR="00841AC1" w:rsidRPr="0018578C" w:rsidRDefault="00841AC1" w:rsidP="00841AC1">
            <w:pPr>
              <w:spacing w:before="20" w:after="20"/>
              <w:jc w:val="right"/>
              <w:rPr>
                <w:noProof/>
                <w:sz w:val="22"/>
                <w:lang w:eastAsia="en-GB"/>
              </w:rPr>
            </w:pPr>
          </w:p>
        </w:tc>
        <w:tc>
          <w:tcPr>
            <w:tcW w:w="709" w:type="dxa"/>
            <w:vAlign w:val="center"/>
          </w:tcPr>
          <w:p w14:paraId="1F4040F6" w14:textId="77777777" w:rsidR="00841AC1" w:rsidRPr="0018578C" w:rsidRDefault="00841AC1" w:rsidP="00841AC1">
            <w:pPr>
              <w:spacing w:before="20" w:after="20"/>
              <w:jc w:val="right"/>
              <w:rPr>
                <w:noProof/>
                <w:sz w:val="22"/>
              </w:rPr>
            </w:pPr>
          </w:p>
        </w:tc>
        <w:tc>
          <w:tcPr>
            <w:tcW w:w="708" w:type="dxa"/>
            <w:vAlign w:val="center"/>
          </w:tcPr>
          <w:p w14:paraId="7F08EBBD" w14:textId="77777777" w:rsidR="00841AC1" w:rsidRPr="0018578C" w:rsidRDefault="00841AC1" w:rsidP="00841AC1">
            <w:pPr>
              <w:spacing w:before="20" w:after="20"/>
              <w:jc w:val="center"/>
              <w:rPr>
                <w:b/>
                <w:noProof/>
                <w:sz w:val="22"/>
                <w:lang w:eastAsia="en-GB"/>
              </w:rPr>
            </w:pPr>
          </w:p>
        </w:tc>
        <w:tc>
          <w:tcPr>
            <w:tcW w:w="1276" w:type="dxa"/>
            <w:vAlign w:val="center"/>
          </w:tcPr>
          <w:p w14:paraId="1448B1B7" w14:textId="77777777" w:rsidR="00841AC1" w:rsidRPr="0018578C" w:rsidRDefault="00841AC1" w:rsidP="00841AC1">
            <w:pPr>
              <w:spacing w:before="20" w:after="20"/>
              <w:jc w:val="center"/>
              <w:rPr>
                <w:b/>
                <w:noProof/>
                <w:sz w:val="22"/>
              </w:rPr>
            </w:pPr>
            <w:r w:rsidRPr="0018578C">
              <w:rPr>
                <w:noProof/>
                <w:sz w:val="22"/>
              </w:rPr>
              <w:t>-3 486,000</w:t>
            </w:r>
          </w:p>
        </w:tc>
        <w:tc>
          <w:tcPr>
            <w:tcW w:w="1843" w:type="dxa"/>
            <w:vAlign w:val="center"/>
          </w:tcPr>
          <w:p w14:paraId="43D67D4A" w14:textId="77777777" w:rsidR="00841AC1" w:rsidRPr="0018578C" w:rsidRDefault="00841AC1" w:rsidP="00841AC1">
            <w:pPr>
              <w:spacing w:before="20" w:after="20"/>
              <w:jc w:val="center"/>
              <w:rPr>
                <w:b/>
                <w:noProof/>
                <w:sz w:val="22"/>
              </w:rPr>
            </w:pPr>
            <w:r w:rsidRPr="0018578C">
              <w:rPr>
                <w:b/>
                <w:noProof/>
                <w:sz w:val="22"/>
              </w:rPr>
              <w:t>0,000</w:t>
            </w:r>
          </w:p>
        </w:tc>
      </w:tr>
    </w:tbl>
    <w:p w14:paraId="63622666" w14:textId="77777777" w:rsidR="00C87E1E" w:rsidRPr="0018578C" w:rsidRDefault="00C87E1E" w:rsidP="00C87E1E">
      <w:pPr>
        <w:rPr>
          <w:noProof/>
          <w:lang w:eastAsia="en-GB"/>
        </w:rPr>
      </w:pPr>
    </w:p>
    <w:p w14:paraId="47681097" w14:textId="77777777" w:rsidR="00C87E1E" w:rsidRPr="0018578C" w:rsidRDefault="00C87E1E" w:rsidP="00C87E1E">
      <w:pPr>
        <w:spacing w:before="0" w:after="0"/>
        <w:jc w:val="left"/>
        <w:rPr>
          <w:noProof/>
        </w:rPr>
      </w:pPr>
      <w:r w:rsidRPr="0018578C">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87E1E" w:rsidRPr="0018578C" w14:paraId="38FFF9BE" w14:textId="77777777" w:rsidTr="00C87E1E">
        <w:trPr>
          <w:jc w:val="center"/>
        </w:trPr>
        <w:tc>
          <w:tcPr>
            <w:tcW w:w="4744" w:type="dxa"/>
            <w:shd w:val="thinDiagStripe" w:color="C0C0C0" w:fill="auto"/>
            <w:vAlign w:val="center"/>
          </w:tcPr>
          <w:p w14:paraId="7E513C28" w14:textId="77777777" w:rsidR="00C87E1E" w:rsidRPr="0018578C" w:rsidRDefault="00C87E1E" w:rsidP="00C87E1E">
            <w:pPr>
              <w:spacing w:before="60" w:after="60"/>
              <w:jc w:val="center"/>
              <w:rPr>
                <w:b/>
                <w:noProof/>
              </w:rPr>
            </w:pPr>
            <w:r w:rsidRPr="0018578C">
              <w:rPr>
                <w:noProof/>
              </w:rPr>
              <w:br w:type="page"/>
            </w:r>
            <w:r w:rsidRPr="0018578C">
              <w:rPr>
                <w:b/>
                <w:noProof/>
                <w:sz w:val="22"/>
              </w:rPr>
              <w:t xml:space="preserve">Rubrica del quadro finanziario pluriennale </w:t>
            </w:r>
          </w:p>
        </w:tc>
        <w:tc>
          <w:tcPr>
            <w:tcW w:w="1080" w:type="dxa"/>
            <w:shd w:val="thinDiagStripe" w:color="C0C0C0" w:fill="auto"/>
            <w:vAlign w:val="center"/>
          </w:tcPr>
          <w:p w14:paraId="0D7DB96E" w14:textId="77777777" w:rsidR="00C87E1E" w:rsidRPr="0018578C" w:rsidRDefault="00C87E1E" w:rsidP="00C87E1E">
            <w:pPr>
              <w:spacing w:before="60" w:after="60"/>
              <w:jc w:val="center"/>
              <w:rPr>
                <w:noProof/>
              </w:rPr>
            </w:pPr>
            <w:r w:rsidRPr="0018578C">
              <w:rPr>
                <w:b/>
                <w:noProof/>
                <w:sz w:val="22"/>
              </w:rPr>
              <w:t>7</w:t>
            </w:r>
          </w:p>
        </w:tc>
        <w:tc>
          <w:tcPr>
            <w:tcW w:w="7817" w:type="dxa"/>
            <w:vAlign w:val="center"/>
          </w:tcPr>
          <w:p w14:paraId="2B3F5DD8" w14:textId="77777777" w:rsidR="00C87E1E" w:rsidRPr="0018578C" w:rsidRDefault="00C87E1E" w:rsidP="00C87E1E">
            <w:pPr>
              <w:spacing w:before="60" w:after="60"/>
              <w:rPr>
                <w:noProof/>
              </w:rPr>
            </w:pPr>
            <w:r w:rsidRPr="0018578C">
              <w:rPr>
                <w:noProof/>
                <w:sz w:val="22"/>
              </w:rPr>
              <w:t>"Spese amministrative"</w:t>
            </w:r>
          </w:p>
        </w:tc>
      </w:tr>
    </w:tbl>
    <w:p w14:paraId="4F1CB26F" w14:textId="77777777" w:rsidR="00C87E1E" w:rsidRPr="0018578C" w:rsidRDefault="00C87E1E" w:rsidP="00C87E1E">
      <w:pPr>
        <w:jc w:val="left"/>
        <w:rPr>
          <w:noProof/>
          <w:sz w:val="20"/>
        </w:rPr>
      </w:pPr>
      <w:r w:rsidRPr="0018578C">
        <w:rPr>
          <w:noProof/>
        </w:rPr>
        <w:t>Sezione da compilare utilizzando i "dati di bilancio di natura amministrativa" che saranno introdotti nell'</w:t>
      </w:r>
      <w:hyperlink r:id="rId15" w:history="1">
        <w:r w:rsidRPr="0018578C">
          <w:rPr>
            <w:noProof/>
            <w:color w:val="0000FF"/>
            <w:u w:val="single"/>
          </w:rPr>
          <w:t>allegato della scheda finanziaria legislativa</w:t>
        </w:r>
      </w:hyperlink>
      <w:r w:rsidRPr="0018578C">
        <w:rPr>
          <w:noProof/>
        </w:rPr>
        <w:t xml:space="preserve"> (allegato V delle norme interne), caricato su DECIDE a fini di consultazione interservizi.</w:t>
      </w:r>
    </w:p>
    <w:p w14:paraId="1AF61FF2" w14:textId="77777777" w:rsidR="00C87E1E" w:rsidRPr="0018578C" w:rsidRDefault="00C87E1E" w:rsidP="00C87E1E">
      <w:pPr>
        <w:jc w:val="right"/>
        <w:rPr>
          <w:noProof/>
          <w:sz w:val="20"/>
        </w:rPr>
      </w:pPr>
      <w:r w:rsidRPr="0018578C">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C87E1E" w:rsidRPr="0018578C" w14:paraId="213C4E67" w14:textId="77777777" w:rsidTr="00C87E1E">
        <w:tc>
          <w:tcPr>
            <w:tcW w:w="3960" w:type="dxa"/>
            <w:tcBorders>
              <w:top w:val="nil"/>
              <w:left w:val="nil"/>
              <w:right w:val="nil"/>
            </w:tcBorders>
            <w:vAlign w:val="center"/>
          </w:tcPr>
          <w:p w14:paraId="6F3455A9" w14:textId="77777777" w:rsidR="00C87E1E" w:rsidRPr="0018578C" w:rsidRDefault="00C87E1E" w:rsidP="00C87E1E">
            <w:pPr>
              <w:jc w:val="center"/>
              <w:rPr>
                <w:noProof/>
                <w:lang w:eastAsia="en-GB"/>
              </w:rPr>
            </w:pPr>
          </w:p>
        </w:tc>
        <w:tc>
          <w:tcPr>
            <w:tcW w:w="1560" w:type="dxa"/>
            <w:tcBorders>
              <w:top w:val="nil"/>
              <w:left w:val="nil"/>
              <w:right w:val="nil"/>
            </w:tcBorders>
          </w:tcPr>
          <w:p w14:paraId="45C730ED" w14:textId="77777777" w:rsidR="00C87E1E" w:rsidRPr="0018578C" w:rsidRDefault="00C87E1E" w:rsidP="00C87E1E">
            <w:pPr>
              <w:rPr>
                <w:noProof/>
                <w:sz w:val="20"/>
                <w:lang w:eastAsia="en-GB"/>
              </w:rPr>
            </w:pPr>
          </w:p>
        </w:tc>
        <w:tc>
          <w:tcPr>
            <w:tcW w:w="534" w:type="dxa"/>
            <w:tcBorders>
              <w:top w:val="nil"/>
              <w:left w:val="nil"/>
            </w:tcBorders>
          </w:tcPr>
          <w:p w14:paraId="05ACC9BF" w14:textId="77777777" w:rsidR="00C87E1E" w:rsidRPr="0018578C" w:rsidRDefault="00C87E1E" w:rsidP="00C87E1E">
            <w:pPr>
              <w:jc w:val="center"/>
              <w:rPr>
                <w:noProof/>
                <w:sz w:val="20"/>
                <w:lang w:eastAsia="en-GB"/>
              </w:rPr>
            </w:pPr>
          </w:p>
        </w:tc>
        <w:tc>
          <w:tcPr>
            <w:tcW w:w="868" w:type="dxa"/>
            <w:vAlign w:val="center"/>
          </w:tcPr>
          <w:p w14:paraId="50C4491A"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w:t>
            </w:r>
          </w:p>
        </w:tc>
        <w:tc>
          <w:tcPr>
            <w:tcW w:w="868" w:type="dxa"/>
            <w:vAlign w:val="center"/>
          </w:tcPr>
          <w:p w14:paraId="15354470"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N+1</w:t>
            </w:r>
          </w:p>
        </w:tc>
        <w:tc>
          <w:tcPr>
            <w:tcW w:w="868" w:type="dxa"/>
            <w:vAlign w:val="center"/>
          </w:tcPr>
          <w:p w14:paraId="378F35EF"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N+2</w:t>
            </w:r>
          </w:p>
        </w:tc>
        <w:tc>
          <w:tcPr>
            <w:tcW w:w="868" w:type="dxa"/>
            <w:vAlign w:val="center"/>
          </w:tcPr>
          <w:p w14:paraId="0C14E2FA"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N+3</w:t>
            </w:r>
          </w:p>
        </w:tc>
        <w:tc>
          <w:tcPr>
            <w:tcW w:w="2604" w:type="dxa"/>
            <w:gridSpan w:val="3"/>
            <w:vAlign w:val="center"/>
          </w:tcPr>
          <w:p w14:paraId="1854396F" w14:textId="77777777" w:rsidR="00C87E1E" w:rsidRPr="0018578C" w:rsidRDefault="00C87E1E" w:rsidP="00C87E1E">
            <w:pPr>
              <w:jc w:val="center"/>
              <w:rPr>
                <w:b/>
                <w:noProof/>
                <w:sz w:val="18"/>
              </w:rPr>
            </w:pPr>
            <w:r w:rsidRPr="0018578C">
              <w:rPr>
                <w:noProof/>
                <w:sz w:val="18"/>
              </w:rPr>
              <w:t xml:space="preserve">Inserire gli anni necessari per evidenziare la durata dell'incidenza (cfr. punto 1.6) </w:t>
            </w:r>
          </w:p>
        </w:tc>
        <w:tc>
          <w:tcPr>
            <w:tcW w:w="1777" w:type="dxa"/>
            <w:vAlign w:val="center"/>
          </w:tcPr>
          <w:p w14:paraId="722C1C08" w14:textId="77777777" w:rsidR="00C87E1E" w:rsidRPr="0018578C" w:rsidRDefault="00C87E1E" w:rsidP="00C87E1E">
            <w:pPr>
              <w:jc w:val="center"/>
              <w:rPr>
                <w:b/>
                <w:noProof/>
                <w:sz w:val="20"/>
              </w:rPr>
            </w:pPr>
            <w:r w:rsidRPr="0018578C">
              <w:rPr>
                <w:b/>
                <w:noProof/>
                <w:sz w:val="20"/>
              </w:rPr>
              <w:t>TOTALE</w:t>
            </w:r>
          </w:p>
        </w:tc>
      </w:tr>
      <w:tr w:rsidR="00C87E1E" w:rsidRPr="0018578C" w14:paraId="7300A83D" w14:textId="77777777" w:rsidTr="00C87E1E">
        <w:trPr>
          <w:gridAfter w:val="10"/>
          <w:wAfter w:w="9947" w:type="dxa"/>
        </w:trPr>
        <w:tc>
          <w:tcPr>
            <w:tcW w:w="3960" w:type="dxa"/>
            <w:vAlign w:val="center"/>
          </w:tcPr>
          <w:p w14:paraId="219883B0" w14:textId="77777777" w:rsidR="00C87E1E" w:rsidRPr="0018578C" w:rsidRDefault="00C87E1E" w:rsidP="00C87E1E">
            <w:pPr>
              <w:spacing w:before="60" w:after="60"/>
              <w:jc w:val="center"/>
              <w:rPr>
                <w:noProof/>
              </w:rPr>
            </w:pPr>
            <w:r w:rsidRPr="0018578C">
              <w:rPr>
                <w:noProof/>
                <w:sz w:val="22"/>
              </w:rPr>
              <w:t>DG: &lt;…….&gt;</w:t>
            </w:r>
          </w:p>
        </w:tc>
      </w:tr>
      <w:tr w:rsidR="00C87E1E" w:rsidRPr="0018578C" w14:paraId="11374BDC" w14:textId="77777777" w:rsidTr="00C87E1E">
        <w:trPr>
          <w:trHeight w:val="313"/>
        </w:trPr>
        <w:tc>
          <w:tcPr>
            <w:tcW w:w="6054" w:type="dxa"/>
            <w:gridSpan w:val="3"/>
            <w:vAlign w:val="center"/>
          </w:tcPr>
          <w:p w14:paraId="7B4319ED" w14:textId="77777777" w:rsidR="00C87E1E" w:rsidRPr="0018578C" w:rsidRDefault="00C87E1E" w:rsidP="00C87E1E">
            <w:pPr>
              <w:spacing w:before="20" w:after="20"/>
              <w:rPr>
                <w:noProof/>
              </w:rPr>
            </w:pPr>
            <w:r w:rsidRPr="0018578C">
              <w:rPr>
                <w:noProof/>
                <w:sz w:val="22"/>
              </w:rPr>
              <w:sym w:font="Wingdings" w:char="F09F"/>
            </w:r>
            <w:r w:rsidRPr="0018578C">
              <w:rPr>
                <w:noProof/>
                <w:sz w:val="22"/>
              </w:rPr>
              <w:t xml:space="preserve"> Risorse umane </w:t>
            </w:r>
          </w:p>
        </w:tc>
        <w:tc>
          <w:tcPr>
            <w:tcW w:w="868" w:type="dxa"/>
            <w:vAlign w:val="center"/>
          </w:tcPr>
          <w:p w14:paraId="58469D58" w14:textId="77777777" w:rsidR="00C87E1E" w:rsidRPr="0018578C" w:rsidRDefault="00C87E1E" w:rsidP="00C87E1E">
            <w:pPr>
              <w:spacing w:before="20" w:after="20"/>
              <w:jc w:val="right"/>
              <w:rPr>
                <w:noProof/>
                <w:sz w:val="20"/>
                <w:lang w:eastAsia="en-GB"/>
              </w:rPr>
            </w:pPr>
          </w:p>
        </w:tc>
        <w:tc>
          <w:tcPr>
            <w:tcW w:w="868" w:type="dxa"/>
            <w:vAlign w:val="center"/>
          </w:tcPr>
          <w:p w14:paraId="280F29BD" w14:textId="77777777" w:rsidR="00C87E1E" w:rsidRPr="0018578C" w:rsidRDefault="00C87E1E" w:rsidP="00C87E1E">
            <w:pPr>
              <w:spacing w:before="20" w:after="20"/>
              <w:jc w:val="right"/>
              <w:rPr>
                <w:noProof/>
                <w:sz w:val="20"/>
                <w:lang w:eastAsia="en-GB"/>
              </w:rPr>
            </w:pPr>
          </w:p>
        </w:tc>
        <w:tc>
          <w:tcPr>
            <w:tcW w:w="868" w:type="dxa"/>
            <w:vAlign w:val="center"/>
          </w:tcPr>
          <w:p w14:paraId="68C0F94C" w14:textId="77777777" w:rsidR="00C87E1E" w:rsidRPr="0018578C" w:rsidRDefault="00C87E1E" w:rsidP="00C87E1E">
            <w:pPr>
              <w:spacing w:before="20" w:after="20"/>
              <w:jc w:val="right"/>
              <w:rPr>
                <w:noProof/>
                <w:sz w:val="20"/>
                <w:lang w:eastAsia="en-GB"/>
              </w:rPr>
            </w:pPr>
          </w:p>
        </w:tc>
        <w:tc>
          <w:tcPr>
            <w:tcW w:w="868" w:type="dxa"/>
            <w:vAlign w:val="center"/>
          </w:tcPr>
          <w:p w14:paraId="4E28B6F2" w14:textId="77777777" w:rsidR="00C87E1E" w:rsidRPr="0018578C" w:rsidRDefault="00C87E1E" w:rsidP="00C87E1E">
            <w:pPr>
              <w:spacing w:before="20" w:after="20"/>
              <w:jc w:val="right"/>
              <w:rPr>
                <w:noProof/>
                <w:sz w:val="20"/>
                <w:lang w:eastAsia="en-GB"/>
              </w:rPr>
            </w:pPr>
          </w:p>
        </w:tc>
        <w:tc>
          <w:tcPr>
            <w:tcW w:w="868" w:type="dxa"/>
            <w:vAlign w:val="center"/>
          </w:tcPr>
          <w:p w14:paraId="0AFF2FB1" w14:textId="77777777" w:rsidR="00C87E1E" w:rsidRPr="0018578C" w:rsidRDefault="00C87E1E" w:rsidP="00C87E1E">
            <w:pPr>
              <w:spacing w:before="20" w:after="20"/>
              <w:jc w:val="right"/>
              <w:rPr>
                <w:noProof/>
                <w:sz w:val="20"/>
                <w:lang w:eastAsia="en-GB"/>
              </w:rPr>
            </w:pPr>
          </w:p>
        </w:tc>
        <w:tc>
          <w:tcPr>
            <w:tcW w:w="868" w:type="dxa"/>
            <w:vAlign w:val="center"/>
          </w:tcPr>
          <w:p w14:paraId="7AD5619A" w14:textId="77777777" w:rsidR="00C87E1E" w:rsidRPr="0018578C" w:rsidRDefault="00C87E1E" w:rsidP="00C87E1E">
            <w:pPr>
              <w:spacing w:before="20" w:after="20"/>
              <w:jc w:val="right"/>
              <w:rPr>
                <w:noProof/>
                <w:sz w:val="20"/>
                <w:lang w:eastAsia="en-GB"/>
              </w:rPr>
            </w:pPr>
          </w:p>
        </w:tc>
        <w:tc>
          <w:tcPr>
            <w:tcW w:w="868" w:type="dxa"/>
            <w:vAlign w:val="center"/>
          </w:tcPr>
          <w:p w14:paraId="670E5C03" w14:textId="77777777" w:rsidR="00C87E1E" w:rsidRPr="0018578C" w:rsidRDefault="00C87E1E" w:rsidP="00C87E1E">
            <w:pPr>
              <w:spacing w:before="20" w:after="20"/>
              <w:jc w:val="right"/>
              <w:rPr>
                <w:b/>
                <w:noProof/>
                <w:sz w:val="20"/>
                <w:lang w:eastAsia="en-GB"/>
              </w:rPr>
            </w:pPr>
          </w:p>
        </w:tc>
        <w:tc>
          <w:tcPr>
            <w:tcW w:w="1777" w:type="dxa"/>
            <w:vAlign w:val="center"/>
          </w:tcPr>
          <w:p w14:paraId="2CECBDBA" w14:textId="77777777" w:rsidR="00C87E1E" w:rsidRPr="0018578C" w:rsidRDefault="00C87E1E" w:rsidP="00C87E1E">
            <w:pPr>
              <w:spacing w:before="20" w:after="20"/>
              <w:jc w:val="right"/>
              <w:rPr>
                <w:b/>
                <w:noProof/>
                <w:sz w:val="20"/>
                <w:lang w:eastAsia="en-GB"/>
              </w:rPr>
            </w:pPr>
          </w:p>
        </w:tc>
      </w:tr>
      <w:tr w:rsidR="00C87E1E" w:rsidRPr="0018578C" w14:paraId="530315F2" w14:textId="77777777" w:rsidTr="00C87E1E">
        <w:trPr>
          <w:trHeight w:val="351"/>
        </w:trPr>
        <w:tc>
          <w:tcPr>
            <w:tcW w:w="6054" w:type="dxa"/>
            <w:gridSpan w:val="3"/>
            <w:vAlign w:val="center"/>
          </w:tcPr>
          <w:p w14:paraId="1165EEBF" w14:textId="77777777" w:rsidR="00C87E1E" w:rsidRPr="0018578C" w:rsidRDefault="00C87E1E" w:rsidP="00C87E1E">
            <w:pPr>
              <w:spacing w:before="20" w:after="20"/>
              <w:rPr>
                <w:noProof/>
              </w:rPr>
            </w:pPr>
            <w:r w:rsidRPr="0018578C">
              <w:rPr>
                <w:noProof/>
                <w:sz w:val="22"/>
              </w:rPr>
              <w:sym w:font="Wingdings" w:char="F09F"/>
            </w:r>
            <w:r w:rsidRPr="0018578C">
              <w:rPr>
                <w:noProof/>
                <w:sz w:val="22"/>
              </w:rPr>
              <w:t xml:space="preserve"> Altre spese amministrative </w:t>
            </w:r>
          </w:p>
        </w:tc>
        <w:tc>
          <w:tcPr>
            <w:tcW w:w="868" w:type="dxa"/>
            <w:vAlign w:val="center"/>
          </w:tcPr>
          <w:p w14:paraId="0E84D53B" w14:textId="77777777" w:rsidR="00C87E1E" w:rsidRPr="0018578C" w:rsidRDefault="00C87E1E" w:rsidP="00C87E1E">
            <w:pPr>
              <w:spacing w:before="20" w:after="20"/>
              <w:jc w:val="right"/>
              <w:rPr>
                <w:b/>
                <w:noProof/>
                <w:sz w:val="20"/>
                <w:lang w:eastAsia="en-GB"/>
              </w:rPr>
            </w:pPr>
          </w:p>
        </w:tc>
        <w:tc>
          <w:tcPr>
            <w:tcW w:w="868" w:type="dxa"/>
            <w:vAlign w:val="center"/>
          </w:tcPr>
          <w:p w14:paraId="18F4E29F" w14:textId="77777777" w:rsidR="00C87E1E" w:rsidRPr="0018578C" w:rsidRDefault="00C87E1E" w:rsidP="00C87E1E">
            <w:pPr>
              <w:spacing w:before="20" w:after="20"/>
              <w:jc w:val="right"/>
              <w:rPr>
                <w:b/>
                <w:noProof/>
                <w:sz w:val="20"/>
                <w:lang w:eastAsia="en-GB"/>
              </w:rPr>
            </w:pPr>
          </w:p>
        </w:tc>
        <w:tc>
          <w:tcPr>
            <w:tcW w:w="868" w:type="dxa"/>
            <w:vAlign w:val="center"/>
          </w:tcPr>
          <w:p w14:paraId="05A6AB5B" w14:textId="77777777" w:rsidR="00C87E1E" w:rsidRPr="0018578C" w:rsidRDefault="00C87E1E" w:rsidP="00C87E1E">
            <w:pPr>
              <w:spacing w:before="20" w:after="20"/>
              <w:jc w:val="right"/>
              <w:rPr>
                <w:b/>
                <w:noProof/>
                <w:sz w:val="20"/>
                <w:lang w:eastAsia="en-GB"/>
              </w:rPr>
            </w:pPr>
          </w:p>
        </w:tc>
        <w:tc>
          <w:tcPr>
            <w:tcW w:w="868" w:type="dxa"/>
            <w:vAlign w:val="center"/>
          </w:tcPr>
          <w:p w14:paraId="6608815F" w14:textId="77777777" w:rsidR="00C87E1E" w:rsidRPr="0018578C" w:rsidRDefault="00C87E1E" w:rsidP="00C87E1E">
            <w:pPr>
              <w:spacing w:before="20" w:after="20"/>
              <w:jc w:val="right"/>
              <w:rPr>
                <w:b/>
                <w:noProof/>
                <w:sz w:val="20"/>
                <w:lang w:eastAsia="en-GB"/>
              </w:rPr>
            </w:pPr>
          </w:p>
        </w:tc>
        <w:tc>
          <w:tcPr>
            <w:tcW w:w="868" w:type="dxa"/>
            <w:vAlign w:val="center"/>
          </w:tcPr>
          <w:p w14:paraId="6F580601" w14:textId="77777777" w:rsidR="00C87E1E" w:rsidRPr="0018578C" w:rsidRDefault="00C87E1E" w:rsidP="00C87E1E">
            <w:pPr>
              <w:spacing w:before="20" w:after="20"/>
              <w:jc w:val="right"/>
              <w:rPr>
                <w:b/>
                <w:noProof/>
                <w:sz w:val="20"/>
                <w:lang w:eastAsia="en-GB"/>
              </w:rPr>
            </w:pPr>
          </w:p>
        </w:tc>
        <w:tc>
          <w:tcPr>
            <w:tcW w:w="868" w:type="dxa"/>
            <w:vAlign w:val="center"/>
          </w:tcPr>
          <w:p w14:paraId="1EEB552B" w14:textId="77777777" w:rsidR="00C87E1E" w:rsidRPr="0018578C" w:rsidRDefault="00C87E1E" w:rsidP="00C87E1E">
            <w:pPr>
              <w:spacing w:before="20" w:after="20"/>
              <w:jc w:val="right"/>
              <w:rPr>
                <w:b/>
                <w:noProof/>
                <w:sz w:val="20"/>
                <w:lang w:eastAsia="en-GB"/>
              </w:rPr>
            </w:pPr>
          </w:p>
        </w:tc>
        <w:tc>
          <w:tcPr>
            <w:tcW w:w="868" w:type="dxa"/>
            <w:vAlign w:val="center"/>
          </w:tcPr>
          <w:p w14:paraId="452F0F63" w14:textId="77777777" w:rsidR="00C87E1E" w:rsidRPr="0018578C" w:rsidRDefault="00C87E1E" w:rsidP="00C87E1E">
            <w:pPr>
              <w:spacing w:before="20" w:after="20"/>
              <w:jc w:val="right"/>
              <w:rPr>
                <w:b/>
                <w:noProof/>
                <w:sz w:val="20"/>
                <w:lang w:eastAsia="en-GB"/>
              </w:rPr>
            </w:pPr>
          </w:p>
        </w:tc>
        <w:tc>
          <w:tcPr>
            <w:tcW w:w="1777" w:type="dxa"/>
            <w:vAlign w:val="center"/>
          </w:tcPr>
          <w:p w14:paraId="396E2EB8" w14:textId="77777777" w:rsidR="00C87E1E" w:rsidRPr="0018578C" w:rsidRDefault="00C87E1E" w:rsidP="00C87E1E">
            <w:pPr>
              <w:spacing w:before="20" w:after="20"/>
              <w:jc w:val="right"/>
              <w:rPr>
                <w:b/>
                <w:noProof/>
                <w:sz w:val="20"/>
                <w:lang w:eastAsia="en-GB"/>
              </w:rPr>
            </w:pPr>
          </w:p>
        </w:tc>
      </w:tr>
      <w:tr w:rsidR="00C87E1E" w:rsidRPr="0018578C" w14:paraId="14C64EBA" w14:textId="77777777" w:rsidTr="00C87E1E">
        <w:tc>
          <w:tcPr>
            <w:tcW w:w="3960" w:type="dxa"/>
            <w:vAlign w:val="center"/>
          </w:tcPr>
          <w:p w14:paraId="386DBB3B" w14:textId="77777777" w:rsidR="00C87E1E" w:rsidRPr="0018578C" w:rsidRDefault="00C87E1E" w:rsidP="00C87E1E">
            <w:pPr>
              <w:jc w:val="center"/>
              <w:rPr>
                <w:b/>
                <w:noProof/>
              </w:rPr>
            </w:pPr>
            <w:r w:rsidRPr="0018578C">
              <w:rPr>
                <w:b/>
                <w:noProof/>
                <w:sz w:val="22"/>
              </w:rPr>
              <w:t xml:space="preserve">TOTALE DG </w:t>
            </w:r>
            <w:r w:rsidRPr="0018578C">
              <w:rPr>
                <w:noProof/>
                <w:sz w:val="22"/>
              </w:rPr>
              <w:t>&lt;….&gt;</w:t>
            </w:r>
          </w:p>
        </w:tc>
        <w:tc>
          <w:tcPr>
            <w:tcW w:w="2094" w:type="dxa"/>
            <w:gridSpan w:val="2"/>
            <w:vAlign w:val="center"/>
          </w:tcPr>
          <w:p w14:paraId="64B4A9DD" w14:textId="77777777" w:rsidR="00C87E1E" w:rsidRPr="0018578C" w:rsidRDefault="00C87E1E" w:rsidP="00C87E1E">
            <w:pPr>
              <w:rPr>
                <w:noProof/>
                <w:sz w:val="14"/>
              </w:rPr>
            </w:pPr>
            <w:r w:rsidRPr="0018578C">
              <w:rPr>
                <w:noProof/>
                <w:sz w:val="18"/>
              </w:rPr>
              <w:t xml:space="preserve">Stanziamenti </w:t>
            </w:r>
          </w:p>
        </w:tc>
        <w:tc>
          <w:tcPr>
            <w:tcW w:w="868" w:type="dxa"/>
            <w:vAlign w:val="center"/>
          </w:tcPr>
          <w:p w14:paraId="01E55E8D" w14:textId="77777777" w:rsidR="00C87E1E" w:rsidRPr="0018578C" w:rsidRDefault="00C87E1E" w:rsidP="00C87E1E">
            <w:pPr>
              <w:spacing w:before="60" w:after="60"/>
              <w:jc w:val="right"/>
              <w:rPr>
                <w:noProof/>
                <w:sz w:val="20"/>
                <w:lang w:eastAsia="en-GB"/>
              </w:rPr>
            </w:pPr>
          </w:p>
        </w:tc>
        <w:tc>
          <w:tcPr>
            <w:tcW w:w="868" w:type="dxa"/>
            <w:vAlign w:val="center"/>
          </w:tcPr>
          <w:p w14:paraId="576903D7" w14:textId="77777777" w:rsidR="00C87E1E" w:rsidRPr="0018578C" w:rsidRDefault="00C87E1E" w:rsidP="00C87E1E">
            <w:pPr>
              <w:spacing w:before="20" w:after="20"/>
              <w:jc w:val="right"/>
              <w:rPr>
                <w:noProof/>
                <w:sz w:val="20"/>
                <w:lang w:eastAsia="en-GB"/>
              </w:rPr>
            </w:pPr>
          </w:p>
        </w:tc>
        <w:tc>
          <w:tcPr>
            <w:tcW w:w="868" w:type="dxa"/>
            <w:vAlign w:val="center"/>
          </w:tcPr>
          <w:p w14:paraId="72C526EC" w14:textId="77777777" w:rsidR="00C87E1E" w:rsidRPr="0018578C" w:rsidRDefault="00C87E1E" w:rsidP="00C87E1E">
            <w:pPr>
              <w:spacing w:before="20" w:after="20"/>
              <w:jc w:val="right"/>
              <w:rPr>
                <w:noProof/>
                <w:sz w:val="20"/>
                <w:lang w:eastAsia="en-GB"/>
              </w:rPr>
            </w:pPr>
          </w:p>
        </w:tc>
        <w:tc>
          <w:tcPr>
            <w:tcW w:w="868" w:type="dxa"/>
            <w:vAlign w:val="center"/>
          </w:tcPr>
          <w:p w14:paraId="10731815" w14:textId="77777777" w:rsidR="00C87E1E" w:rsidRPr="0018578C" w:rsidRDefault="00C87E1E" w:rsidP="00C87E1E">
            <w:pPr>
              <w:spacing w:before="20" w:after="20"/>
              <w:jc w:val="right"/>
              <w:rPr>
                <w:noProof/>
                <w:sz w:val="20"/>
                <w:lang w:eastAsia="en-GB"/>
              </w:rPr>
            </w:pPr>
          </w:p>
        </w:tc>
        <w:tc>
          <w:tcPr>
            <w:tcW w:w="868" w:type="dxa"/>
            <w:vAlign w:val="center"/>
          </w:tcPr>
          <w:p w14:paraId="2A6FAA48" w14:textId="77777777" w:rsidR="00C87E1E" w:rsidRPr="0018578C" w:rsidRDefault="00C87E1E" w:rsidP="00C87E1E">
            <w:pPr>
              <w:spacing w:before="20" w:after="20"/>
              <w:jc w:val="right"/>
              <w:rPr>
                <w:noProof/>
                <w:sz w:val="20"/>
                <w:lang w:eastAsia="en-GB"/>
              </w:rPr>
            </w:pPr>
          </w:p>
        </w:tc>
        <w:tc>
          <w:tcPr>
            <w:tcW w:w="868" w:type="dxa"/>
            <w:vAlign w:val="center"/>
          </w:tcPr>
          <w:p w14:paraId="18E45F08" w14:textId="77777777" w:rsidR="00C87E1E" w:rsidRPr="0018578C" w:rsidRDefault="00C87E1E" w:rsidP="00C87E1E">
            <w:pPr>
              <w:spacing w:before="20" w:after="20"/>
              <w:jc w:val="right"/>
              <w:rPr>
                <w:noProof/>
                <w:sz w:val="20"/>
                <w:lang w:eastAsia="en-GB"/>
              </w:rPr>
            </w:pPr>
          </w:p>
        </w:tc>
        <w:tc>
          <w:tcPr>
            <w:tcW w:w="868" w:type="dxa"/>
            <w:vAlign w:val="center"/>
          </w:tcPr>
          <w:p w14:paraId="0C1E6557" w14:textId="77777777" w:rsidR="00C87E1E" w:rsidRPr="0018578C" w:rsidRDefault="00C87E1E" w:rsidP="00C87E1E">
            <w:pPr>
              <w:spacing w:before="20" w:after="20"/>
              <w:jc w:val="right"/>
              <w:rPr>
                <w:b/>
                <w:noProof/>
                <w:sz w:val="20"/>
                <w:lang w:eastAsia="en-GB"/>
              </w:rPr>
            </w:pPr>
          </w:p>
        </w:tc>
        <w:tc>
          <w:tcPr>
            <w:tcW w:w="1777" w:type="dxa"/>
            <w:vAlign w:val="center"/>
          </w:tcPr>
          <w:p w14:paraId="05226D43" w14:textId="77777777" w:rsidR="00C87E1E" w:rsidRPr="0018578C" w:rsidRDefault="00C87E1E" w:rsidP="00C87E1E">
            <w:pPr>
              <w:spacing w:before="20" w:after="20"/>
              <w:jc w:val="right"/>
              <w:rPr>
                <w:b/>
                <w:noProof/>
                <w:sz w:val="20"/>
                <w:lang w:eastAsia="en-GB"/>
              </w:rPr>
            </w:pPr>
          </w:p>
        </w:tc>
      </w:tr>
    </w:tbl>
    <w:p w14:paraId="16C6EF91" w14:textId="77777777" w:rsidR="00C87E1E" w:rsidRPr="0018578C" w:rsidRDefault="00C87E1E" w:rsidP="00C87E1E">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C87E1E" w:rsidRPr="0018578C" w14:paraId="68564316" w14:textId="77777777" w:rsidTr="00C87E1E">
        <w:tc>
          <w:tcPr>
            <w:tcW w:w="3960" w:type="dxa"/>
            <w:shd w:val="thinDiagStripe" w:color="C0C0C0" w:fill="auto"/>
            <w:vAlign w:val="center"/>
          </w:tcPr>
          <w:p w14:paraId="68E157C7" w14:textId="77777777" w:rsidR="00C87E1E" w:rsidRPr="0018578C" w:rsidRDefault="00C87E1E" w:rsidP="00C87E1E">
            <w:pPr>
              <w:jc w:val="center"/>
              <w:rPr>
                <w:b/>
                <w:noProof/>
              </w:rPr>
            </w:pPr>
            <w:r w:rsidRPr="0018578C">
              <w:rPr>
                <w:b/>
                <w:noProof/>
                <w:sz w:val="22"/>
              </w:rPr>
              <w:t>TOTALE stanziamenti</w:t>
            </w:r>
            <w:r w:rsidRPr="0018578C">
              <w:rPr>
                <w:noProof/>
              </w:rPr>
              <w:t xml:space="preserve"> </w:t>
            </w:r>
            <w:r w:rsidRPr="0018578C">
              <w:rPr>
                <w:noProof/>
              </w:rPr>
              <w:br/>
            </w:r>
            <w:r w:rsidRPr="0018578C">
              <w:rPr>
                <w:b/>
                <w:noProof/>
                <w:sz w:val="22"/>
              </w:rPr>
              <w:t>per la RUBRICA 7</w:t>
            </w:r>
            <w:r w:rsidRPr="0018578C">
              <w:rPr>
                <w:noProof/>
              </w:rPr>
              <w:t xml:space="preserve"> </w:t>
            </w:r>
            <w:r w:rsidRPr="0018578C">
              <w:rPr>
                <w:noProof/>
              </w:rPr>
              <w:br/>
            </w:r>
            <w:r w:rsidRPr="0018578C">
              <w:rPr>
                <w:noProof/>
                <w:sz w:val="22"/>
              </w:rPr>
              <w:t>del quadro finanziario pluriennale</w:t>
            </w:r>
            <w:r w:rsidRPr="0018578C">
              <w:rPr>
                <w:b/>
                <w:noProof/>
                <w:sz w:val="22"/>
              </w:rPr>
              <w:t xml:space="preserve"> </w:t>
            </w:r>
          </w:p>
        </w:tc>
        <w:tc>
          <w:tcPr>
            <w:tcW w:w="2094" w:type="dxa"/>
            <w:vAlign w:val="center"/>
          </w:tcPr>
          <w:p w14:paraId="27F15FC9" w14:textId="77777777" w:rsidR="00C87E1E" w:rsidRPr="0018578C" w:rsidRDefault="00C87E1E" w:rsidP="00C87E1E">
            <w:pPr>
              <w:spacing w:before="40" w:after="40"/>
              <w:rPr>
                <w:noProof/>
              </w:rPr>
            </w:pPr>
            <w:r w:rsidRPr="0018578C">
              <w:rPr>
                <w:noProof/>
                <w:sz w:val="18"/>
              </w:rPr>
              <w:t>(Totale impegni = Totale pagamenti)</w:t>
            </w:r>
          </w:p>
        </w:tc>
        <w:tc>
          <w:tcPr>
            <w:tcW w:w="868" w:type="dxa"/>
            <w:vAlign w:val="center"/>
          </w:tcPr>
          <w:p w14:paraId="71F46A79" w14:textId="77777777" w:rsidR="00C87E1E" w:rsidRPr="0018578C" w:rsidRDefault="00C87E1E" w:rsidP="00C87E1E">
            <w:pPr>
              <w:spacing w:before="20" w:after="20"/>
              <w:jc w:val="right"/>
              <w:rPr>
                <w:noProof/>
                <w:sz w:val="20"/>
                <w:lang w:eastAsia="en-GB"/>
              </w:rPr>
            </w:pPr>
          </w:p>
        </w:tc>
        <w:tc>
          <w:tcPr>
            <w:tcW w:w="868" w:type="dxa"/>
            <w:vAlign w:val="center"/>
          </w:tcPr>
          <w:p w14:paraId="48A59699" w14:textId="77777777" w:rsidR="00C87E1E" w:rsidRPr="0018578C" w:rsidRDefault="00C87E1E" w:rsidP="00C87E1E">
            <w:pPr>
              <w:spacing w:before="20" w:after="20"/>
              <w:jc w:val="right"/>
              <w:rPr>
                <w:noProof/>
                <w:sz w:val="20"/>
                <w:lang w:eastAsia="en-GB"/>
              </w:rPr>
            </w:pPr>
          </w:p>
        </w:tc>
        <w:tc>
          <w:tcPr>
            <w:tcW w:w="868" w:type="dxa"/>
            <w:vAlign w:val="center"/>
          </w:tcPr>
          <w:p w14:paraId="138F4221" w14:textId="77777777" w:rsidR="00C87E1E" w:rsidRPr="0018578C" w:rsidRDefault="00C87E1E" w:rsidP="00C87E1E">
            <w:pPr>
              <w:spacing w:before="20" w:after="20"/>
              <w:jc w:val="right"/>
              <w:rPr>
                <w:noProof/>
                <w:sz w:val="20"/>
                <w:lang w:eastAsia="en-GB"/>
              </w:rPr>
            </w:pPr>
          </w:p>
        </w:tc>
        <w:tc>
          <w:tcPr>
            <w:tcW w:w="868" w:type="dxa"/>
            <w:vAlign w:val="center"/>
          </w:tcPr>
          <w:p w14:paraId="79E89798" w14:textId="77777777" w:rsidR="00C87E1E" w:rsidRPr="0018578C" w:rsidRDefault="00C87E1E" w:rsidP="00C87E1E">
            <w:pPr>
              <w:spacing w:before="20" w:after="20"/>
              <w:jc w:val="right"/>
              <w:rPr>
                <w:noProof/>
                <w:sz w:val="20"/>
                <w:lang w:eastAsia="en-GB"/>
              </w:rPr>
            </w:pPr>
          </w:p>
        </w:tc>
        <w:tc>
          <w:tcPr>
            <w:tcW w:w="868" w:type="dxa"/>
            <w:vAlign w:val="center"/>
          </w:tcPr>
          <w:p w14:paraId="6B0C977B" w14:textId="77777777" w:rsidR="00C87E1E" w:rsidRPr="0018578C" w:rsidRDefault="00C87E1E" w:rsidP="00C87E1E">
            <w:pPr>
              <w:spacing w:before="20" w:after="20"/>
              <w:jc w:val="right"/>
              <w:rPr>
                <w:noProof/>
                <w:sz w:val="20"/>
                <w:lang w:eastAsia="en-GB"/>
              </w:rPr>
            </w:pPr>
          </w:p>
        </w:tc>
        <w:tc>
          <w:tcPr>
            <w:tcW w:w="868" w:type="dxa"/>
            <w:vAlign w:val="center"/>
          </w:tcPr>
          <w:p w14:paraId="5D1C2DDC" w14:textId="77777777" w:rsidR="00C87E1E" w:rsidRPr="0018578C" w:rsidRDefault="00C87E1E" w:rsidP="00C87E1E">
            <w:pPr>
              <w:spacing w:before="20" w:after="20"/>
              <w:jc w:val="right"/>
              <w:rPr>
                <w:noProof/>
                <w:sz w:val="20"/>
                <w:lang w:eastAsia="en-GB"/>
              </w:rPr>
            </w:pPr>
          </w:p>
        </w:tc>
        <w:tc>
          <w:tcPr>
            <w:tcW w:w="868" w:type="dxa"/>
            <w:vAlign w:val="center"/>
          </w:tcPr>
          <w:p w14:paraId="1D184B95" w14:textId="77777777" w:rsidR="00C87E1E" w:rsidRPr="0018578C" w:rsidRDefault="00C87E1E" w:rsidP="00C87E1E">
            <w:pPr>
              <w:spacing w:before="20" w:after="20"/>
              <w:jc w:val="right"/>
              <w:rPr>
                <w:b/>
                <w:noProof/>
                <w:sz w:val="20"/>
                <w:lang w:eastAsia="en-GB"/>
              </w:rPr>
            </w:pPr>
          </w:p>
        </w:tc>
        <w:tc>
          <w:tcPr>
            <w:tcW w:w="1777" w:type="dxa"/>
            <w:vAlign w:val="center"/>
          </w:tcPr>
          <w:p w14:paraId="481853DE" w14:textId="77777777" w:rsidR="00C87E1E" w:rsidRPr="0018578C" w:rsidRDefault="00C87E1E" w:rsidP="00C87E1E">
            <w:pPr>
              <w:spacing w:before="20" w:after="20"/>
              <w:jc w:val="right"/>
              <w:rPr>
                <w:b/>
                <w:noProof/>
                <w:sz w:val="20"/>
                <w:lang w:eastAsia="en-GB"/>
              </w:rPr>
            </w:pPr>
          </w:p>
        </w:tc>
      </w:tr>
    </w:tbl>
    <w:p w14:paraId="5058A238" w14:textId="77777777" w:rsidR="00C87E1E" w:rsidRPr="0018578C" w:rsidRDefault="00C87E1E" w:rsidP="00C87E1E">
      <w:pPr>
        <w:jc w:val="right"/>
        <w:rPr>
          <w:noProof/>
          <w:sz w:val="20"/>
        </w:rPr>
      </w:pPr>
      <w:r w:rsidRPr="0018578C">
        <w:rPr>
          <w:noProof/>
          <w:sz w:val="20"/>
        </w:rPr>
        <w:t>Mio EUR (al terzo decimale)</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238"/>
        <w:gridCol w:w="698"/>
        <w:gridCol w:w="1134"/>
        <w:gridCol w:w="1134"/>
        <w:gridCol w:w="992"/>
        <w:gridCol w:w="850"/>
        <w:gridCol w:w="1134"/>
        <w:gridCol w:w="1276"/>
        <w:gridCol w:w="1134"/>
      </w:tblGrid>
      <w:tr w:rsidR="00841AC1" w:rsidRPr="0018578C" w14:paraId="5EA3841B" w14:textId="77777777" w:rsidTr="00A27D48">
        <w:tc>
          <w:tcPr>
            <w:tcW w:w="3960" w:type="dxa"/>
            <w:tcBorders>
              <w:top w:val="nil"/>
              <w:left w:val="nil"/>
              <w:right w:val="nil"/>
            </w:tcBorders>
            <w:vAlign w:val="center"/>
          </w:tcPr>
          <w:p w14:paraId="73542884" w14:textId="77777777" w:rsidR="00841AC1" w:rsidRPr="0018578C" w:rsidRDefault="00841AC1" w:rsidP="00841AC1">
            <w:pPr>
              <w:jc w:val="center"/>
              <w:rPr>
                <w:noProof/>
                <w:lang w:eastAsia="en-GB"/>
              </w:rPr>
            </w:pPr>
          </w:p>
        </w:tc>
        <w:tc>
          <w:tcPr>
            <w:tcW w:w="1560" w:type="dxa"/>
            <w:tcBorders>
              <w:top w:val="nil"/>
              <w:left w:val="nil"/>
              <w:right w:val="nil"/>
            </w:tcBorders>
          </w:tcPr>
          <w:p w14:paraId="7EA3388D" w14:textId="77777777" w:rsidR="00841AC1" w:rsidRPr="0018578C" w:rsidRDefault="00841AC1" w:rsidP="00841AC1">
            <w:pPr>
              <w:rPr>
                <w:noProof/>
                <w:sz w:val="20"/>
                <w:lang w:eastAsia="en-GB"/>
              </w:rPr>
            </w:pPr>
          </w:p>
        </w:tc>
        <w:tc>
          <w:tcPr>
            <w:tcW w:w="238" w:type="dxa"/>
            <w:tcBorders>
              <w:top w:val="nil"/>
              <w:left w:val="nil"/>
            </w:tcBorders>
          </w:tcPr>
          <w:p w14:paraId="56BD68F1" w14:textId="77777777" w:rsidR="00841AC1" w:rsidRPr="0018578C" w:rsidRDefault="00841AC1" w:rsidP="00841AC1">
            <w:pPr>
              <w:jc w:val="center"/>
              <w:rPr>
                <w:noProof/>
                <w:sz w:val="20"/>
                <w:lang w:eastAsia="en-GB"/>
              </w:rPr>
            </w:pPr>
          </w:p>
        </w:tc>
        <w:tc>
          <w:tcPr>
            <w:tcW w:w="698" w:type="dxa"/>
            <w:vAlign w:val="center"/>
          </w:tcPr>
          <w:p w14:paraId="3B6FB8CC" w14:textId="77777777" w:rsidR="00841AC1" w:rsidRPr="0018578C" w:rsidRDefault="00841AC1" w:rsidP="00841AC1">
            <w:pPr>
              <w:jc w:val="center"/>
              <w:rPr>
                <w:noProof/>
                <w:sz w:val="20"/>
              </w:rPr>
            </w:pPr>
            <w:r w:rsidRPr="0018578C">
              <w:rPr>
                <w:b/>
                <w:noProof/>
                <w:sz w:val="20"/>
              </w:rPr>
              <w:t>2021</w:t>
            </w:r>
          </w:p>
        </w:tc>
        <w:tc>
          <w:tcPr>
            <w:tcW w:w="1134" w:type="dxa"/>
            <w:vAlign w:val="center"/>
          </w:tcPr>
          <w:p w14:paraId="48113C61" w14:textId="77777777" w:rsidR="00841AC1" w:rsidRPr="0018578C" w:rsidRDefault="00841AC1" w:rsidP="00841AC1">
            <w:pPr>
              <w:jc w:val="center"/>
              <w:rPr>
                <w:noProof/>
                <w:sz w:val="20"/>
              </w:rPr>
            </w:pPr>
            <w:r w:rsidRPr="0018578C">
              <w:rPr>
                <w:b/>
                <w:noProof/>
                <w:sz w:val="20"/>
              </w:rPr>
              <w:t>2022</w:t>
            </w:r>
          </w:p>
        </w:tc>
        <w:tc>
          <w:tcPr>
            <w:tcW w:w="1134" w:type="dxa"/>
            <w:vAlign w:val="center"/>
          </w:tcPr>
          <w:p w14:paraId="58464003" w14:textId="77777777" w:rsidR="00841AC1" w:rsidRPr="0018578C" w:rsidRDefault="00841AC1" w:rsidP="00841AC1">
            <w:pPr>
              <w:jc w:val="center"/>
              <w:rPr>
                <w:noProof/>
                <w:sz w:val="20"/>
              </w:rPr>
            </w:pPr>
            <w:r w:rsidRPr="0018578C">
              <w:rPr>
                <w:b/>
                <w:noProof/>
                <w:sz w:val="20"/>
              </w:rPr>
              <w:t>2023</w:t>
            </w:r>
          </w:p>
        </w:tc>
        <w:tc>
          <w:tcPr>
            <w:tcW w:w="992" w:type="dxa"/>
            <w:vAlign w:val="center"/>
          </w:tcPr>
          <w:p w14:paraId="1A1286B6" w14:textId="77777777" w:rsidR="00841AC1" w:rsidRPr="0018578C" w:rsidRDefault="00841AC1" w:rsidP="00841AC1">
            <w:pPr>
              <w:jc w:val="center"/>
              <w:rPr>
                <w:noProof/>
                <w:sz w:val="20"/>
              </w:rPr>
            </w:pPr>
            <w:r w:rsidRPr="0018578C">
              <w:rPr>
                <w:b/>
                <w:noProof/>
                <w:sz w:val="20"/>
              </w:rPr>
              <w:t>2024</w:t>
            </w:r>
          </w:p>
        </w:tc>
        <w:tc>
          <w:tcPr>
            <w:tcW w:w="850" w:type="dxa"/>
          </w:tcPr>
          <w:p w14:paraId="53C6C2DE" w14:textId="77777777" w:rsidR="00841AC1" w:rsidRPr="0018578C" w:rsidRDefault="00841AC1" w:rsidP="00841AC1">
            <w:pPr>
              <w:jc w:val="center"/>
              <w:rPr>
                <w:b/>
                <w:noProof/>
                <w:sz w:val="20"/>
                <w:szCs w:val="20"/>
              </w:rPr>
            </w:pPr>
            <w:r w:rsidRPr="0018578C">
              <w:rPr>
                <w:b/>
                <w:noProof/>
                <w:sz w:val="20"/>
              </w:rPr>
              <w:t>2025</w:t>
            </w:r>
          </w:p>
        </w:tc>
        <w:tc>
          <w:tcPr>
            <w:tcW w:w="1134" w:type="dxa"/>
          </w:tcPr>
          <w:p w14:paraId="0B2E94D2" w14:textId="77777777" w:rsidR="00841AC1" w:rsidRPr="0018578C" w:rsidRDefault="00841AC1" w:rsidP="00841AC1">
            <w:pPr>
              <w:jc w:val="center"/>
              <w:rPr>
                <w:b/>
                <w:noProof/>
                <w:sz w:val="20"/>
              </w:rPr>
            </w:pPr>
            <w:r w:rsidRPr="0018578C">
              <w:rPr>
                <w:b/>
                <w:noProof/>
                <w:sz w:val="20"/>
              </w:rPr>
              <w:t>2026</w:t>
            </w:r>
          </w:p>
        </w:tc>
        <w:tc>
          <w:tcPr>
            <w:tcW w:w="1276" w:type="dxa"/>
          </w:tcPr>
          <w:p w14:paraId="150FEB6C" w14:textId="77777777" w:rsidR="00841AC1" w:rsidRPr="0018578C" w:rsidRDefault="00841AC1" w:rsidP="00841AC1">
            <w:pPr>
              <w:jc w:val="center"/>
              <w:rPr>
                <w:b/>
                <w:noProof/>
                <w:sz w:val="20"/>
              </w:rPr>
            </w:pPr>
            <w:r w:rsidRPr="0018578C">
              <w:rPr>
                <w:b/>
                <w:noProof/>
                <w:sz w:val="20"/>
              </w:rPr>
              <w:t>2027</w:t>
            </w:r>
          </w:p>
        </w:tc>
        <w:tc>
          <w:tcPr>
            <w:tcW w:w="1134" w:type="dxa"/>
            <w:vAlign w:val="center"/>
          </w:tcPr>
          <w:p w14:paraId="1EC74B61" w14:textId="77777777" w:rsidR="00841AC1" w:rsidRPr="0018578C" w:rsidRDefault="00841AC1" w:rsidP="00841AC1">
            <w:pPr>
              <w:jc w:val="center"/>
              <w:rPr>
                <w:b/>
                <w:noProof/>
                <w:sz w:val="20"/>
              </w:rPr>
            </w:pPr>
            <w:r w:rsidRPr="0018578C">
              <w:rPr>
                <w:b/>
                <w:noProof/>
                <w:sz w:val="20"/>
              </w:rPr>
              <w:t>TOTALE</w:t>
            </w:r>
          </w:p>
        </w:tc>
      </w:tr>
      <w:tr w:rsidR="00841AC1" w:rsidRPr="0018578C" w14:paraId="27BC6D69" w14:textId="77777777" w:rsidTr="00A27D48">
        <w:tc>
          <w:tcPr>
            <w:tcW w:w="3960" w:type="dxa"/>
            <w:vMerge w:val="restart"/>
            <w:shd w:val="clear" w:color="auto" w:fill="C0C0C0"/>
            <w:vAlign w:val="center"/>
          </w:tcPr>
          <w:p w14:paraId="420FDEAB" w14:textId="77777777" w:rsidR="00841AC1" w:rsidRPr="0018578C" w:rsidRDefault="00841AC1" w:rsidP="00841AC1">
            <w:pPr>
              <w:jc w:val="center"/>
              <w:rPr>
                <w:b/>
                <w:noProof/>
              </w:rPr>
            </w:pPr>
            <w:r w:rsidRPr="0018578C">
              <w:rPr>
                <w:b/>
                <w:noProof/>
                <w:sz w:val="22"/>
              </w:rPr>
              <w:t>TOTALE stanziamenti</w:t>
            </w:r>
            <w:r w:rsidRPr="0018578C">
              <w:rPr>
                <w:noProof/>
              </w:rPr>
              <w:t xml:space="preserve"> </w:t>
            </w:r>
            <w:r w:rsidRPr="0018578C">
              <w:rPr>
                <w:noProof/>
              </w:rPr>
              <w:br/>
            </w:r>
            <w:r w:rsidRPr="0018578C">
              <w:rPr>
                <w:b/>
                <w:noProof/>
                <w:sz w:val="22"/>
              </w:rPr>
              <w:t>per le RUBRICHE da 1 a 7</w:t>
            </w:r>
            <w:r w:rsidRPr="0018578C">
              <w:rPr>
                <w:noProof/>
              </w:rPr>
              <w:t xml:space="preserve"> </w:t>
            </w:r>
            <w:r w:rsidRPr="0018578C">
              <w:rPr>
                <w:noProof/>
              </w:rPr>
              <w:br/>
            </w:r>
            <w:r w:rsidRPr="0018578C">
              <w:rPr>
                <w:noProof/>
                <w:sz w:val="22"/>
              </w:rPr>
              <w:t>del quadro finanziario pluriennale</w:t>
            </w:r>
            <w:r w:rsidRPr="0018578C">
              <w:rPr>
                <w:b/>
                <w:noProof/>
                <w:sz w:val="22"/>
              </w:rPr>
              <w:t xml:space="preserve"> </w:t>
            </w:r>
          </w:p>
        </w:tc>
        <w:tc>
          <w:tcPr>
            <w:tcW w:w="1798" w:type="dxa"/>
            <w:gridSpan w:val="2"/>
            <w:vAlign w:val="center"/>
          </w:tcPr>
          <w:p w14:paraId="75DE1E4F" w14:textId="77777777" w:rsidR="00841AC1" w:rsidRPr="0018578C" w:rsidRDefault="00841AC1" w:rsidP="00841AC1">
            <w:pPr>
              <w:rPr>
                <w:noProof/>
                <w:sz w:val="14"/>
              </w:rPr>
            </w:pPr>
            <w:r w:rsidRPr="0018578C">
              <w:rPr>
                <w:noProof/>
                <w:sz w:val="18"/>
              </w:rPr>
              <w:t>Impegni</w:t>
            </w:r>
          </w:p>
        </w:tc>
        <w:tc>
          <w:tcPr>
            <w:tcW w:w="698" w:type="dxa"/>
            <w:vAlign w:val="center"/>
          </w:tcPr>
          <w:p w14:paraId="653DB4E2" w14:textId="77777777" w:rsidR="00841AC1" w:rsidRPr="0018578C" w:rsidRDefault="00841AC1" w:rsidP="00841AC1">
            <w:pPr>
              <w:spacing w:before="60" w:after="60"/>
              <w:jc w:val="right"/>
              <w:rPr>
                <w:noProof/>
                <w:sz w:val="22"/>
                <w:lang w:eastAsia="en-GB"/>
              </w:rPr>
            </w:pPr>
          </w:p>
        </w:tc>
        <w:tc>
          <w:tcPr>
            <w:tcW w:w="1134" w:type="dxa"/>
            <w:vAlign w:val="center"/>
          </w:tcPr>
          <w:p w14:paraId="0B51296E" w14:textId="77777777" w:rsidR="00841AC1" w:rsidRPr="0018578C" w:rsidRDefault="00841AC1" w:rsidP="00841AC1">
            <w:pPr>
              <w:spacing w:before="60" w:after="60"/>
              <w:jc w:val="right"/>
              <w:rPr>
                <w:noProof/>
                <w:sz w:val="22"/>
                <w:lang w:eastAsia="en-GB"/>
              </w:rPr>
            </w:pPr>
          </w:p>
        </w:tc>
        <w:tc>
          <w:tcPr>
            <w:tcW w:w="1134" w:type="dxa"/>
            <w:vAlign w:val="center"/>
          </w:tcPr>
          <w:p w14:paraId="43AF26F2" w14:textId="77777777" w:rsidR="00841AC1" w:rsidRPr="0018578C" w:rsidRDefault="00841AC1" w:rsidP="00841AC1">
            <w:pPr>
              <w:spacing w:before="60" w:after="60"/>
              <w:jc w:val="right"/>
              <w:rPr>
                <w:noProof/>
                <w:sz w:val="22"/>
                <w:lang w:eastAsia="en-GB"/>
              </w:rPr>
            </w:pPr>
          </w:p>
        </w:tc>
        <w:tc>
          <w:tcPr>
            <w:tcW w:w="992" w:type="dxa"/>
            <w:vAlign w:val="center"/>
          </w:tcPr>
          <w:p w14:paraId="3175DE6B" w14:textId="77777777" w:rsidR="00841AC1" w:rsidRPr="0018578C" w:rsidRDefault="00841AC1" w:rsidP="00841AC1">
            <w:pPr>
              <w:spacing w:before="60" w:after="60"/>
              <w:jc w:val="right"/>
              <w:rPr>
                <w:noProof/>
                <w:sz w:val="22"/>
                <w:lang w:eastAsia="en-GB"/>
              </w:rPr>
            </w:pPr>
          </w:p>
        </w:tc>
        <w:tc>
          <w:tcPr>
            <w:tcW w:w="850" w:type="dxa"/>
            <w:vAlign w:val="center"/>
          </w:tcPr>
          <w:p w14:paraId="11E273CF" w14:textId="77777777" w:rsidR="00841AC1" w:rsidRPr="0018578C" w:rsidRDefault="00841AC1" w:rsidP="00841AC1">
            <w:pPr>
              <w:spacing w:before="60" w:after="60"/>
              <w:jc w:val="right"/>
              <w:rPr>
                <w:noProof/>
                <w:sz w:val="22"/>
                <w:lang w:eastAsia="en-GB"/>
              </w:rPr>
            </w:pPr>
          </w:p>
        </w:tc>
        <w:tc>
          <w:tcPr>
            <w:tcW w:w="1134" w:type="dxa"/>
            <w:vAlign w:val="center"/>
          </w:tcPr>
          <w:p w14:paraId="378183DF" w14:textId="77777777" w:rsidR="00841AC1" w:rsidRPr="0018578C" w:rsidRDefault="00841AC1" w:rsidP="00841AC1">
            <w:pPr>
              <w:spacing w:before="60" w:after="60"/>
              <w:jc w:val="center"/>
              <w:rPr>
                <w:b/>
                <w:noProof/>
                <w:sz w:val="22"/>
                <w:lang w:eastAsia="en-GB"/>
              </w:rPr>
            </w:pPr>
          </w:p>
        </w:tc>
        <w:tc>
          <w:tcPr>
            <w:tcW w:w="1276" w:type="dxa"/>
            <w:vAlign w:val="center"/>
          </w:tcPr>
          <w:p w14:paraId="7EACDA46" w14:textId="77777777" w:rsidR="00841AC1" w:rsidRPr="0018578C" w:rsidRDefault="00841AC1" w:rsidP="00841AC1">
            <w:pPr>
              <w:spacing w:before="60" w:after="60"/>
              <w:jc w:val="center"/>
              <w:rPr>
                <w:b/>
                <w:noProof/>
                <w:sz w:val="22"/>
                <w:lang w:eastAsia="en-GB"/>
              </w:rPr>
            </w:pPr>
          </w:p>
        </w:tc>
        <w:tc>
          <w:tcPr>
            <w:tcW w:w="1134" w:type="dxa"/>
            <w:vAlign w:val="center"/>
          </w:tcPr>
          <w:p w14:paraId="483EAE95" w14:textId="77777777" w:rsidR="00841AC1" w:rsidRPr="0018578C" w:rsidRDefault="00841AC1" w:rsidP="00841AC1">
            <w:pPr>
              <w:spacing w:before="60" w:after="60"/>
              <w:jc w:val="center"/>
              <w:rPr>
                <w:noProof/>
                <w:sz w:val="22"/>
              </w:rPr>
            </w:pPr>
            <w:r w:rsidRPr="0018578C">
              <w:rPr>
                <w:b/>
                <w:noProof/>
                <w:sz w:val="22"/>
              </w:rPr>
              <w:t>0,000</w:t>
            </w:r>
          </w:p>
        </w:tc>
      </w:tr>
      <w:tr w:rsidR="00841AC1" w:rsidRPr="0018578C" w14:paraId="66405CD5" w14:textId="77777777" w:rsidTr="00841AC1">
        <w:tc>
          <w:tcPr>
            <w:tcW w:w="3960" w:type="dxa"/>
            <w:vMerge/>
            <w:shd w:val="clear" w:color="auto" w:fill="C0C0C0"/>
          </w:tcPr>
          <w:p w14:paraId="02BE2279" w14:textId="77777777" w:rsidR="00841AC1" w:rsidRPr="0018578C" w:rsidRDefault="00841AC1" w:rsidP="00841AC1">
            <w:pPr>
              <w:rPr>
                <w:noProof/>
                <w:sz w:val="20"/>
                <w:lang w:eastAsia="en-GB"/>
              </w:rPr>
            </w:pPr>
          </w:p>
        </w:tc>
        <w:tc>
          <w:tcPr>
            <w:tcW w:w="1798" w:type="dxa"/>
            <w:gridSpan w:val="2"/>
            <w:vAlign w:val="center"/>
          </w:tcPr>
          <w:p w14:paraId="533D40D1" w14:textId="77777777" w:rsidR="00841AC1" w:rsidRPr="0018578C" w:rsidRDefault="00841AC1" w:rsidP="00841AC1">
            <w:pPr>
              <w:rPr>
                <w:noProof/>
                <w:sz w:val="14"/>
              </w:rPr>
            </w:pPr>
            <w:r w:rsidRPr="0018578C">
              <w:rPr>
                <w:noProof/>
                <w:sz w:val="18"/>
              </w:rPr>
              <w:t>Pagamenti</w:t>
            </w:r>
          </w:p>
        </w:tc>
        <w:tc>
          <w:tcPr>
            <w:tcW w:w="698" w:type="dxa"/>
            <w:vAlign w:val="center"/>
          </w:tcPr>
          <w:p w14:paraId="6FEC68FE" w14:textId="77777777" w:rsidR="00841AC1" w:rsidRPr="0018578C" w:rsidRDefault="00841AC1" w:rsidP="00841AC1">
            <w:pPr>
              <w:spacing w:before="60" w:after="60"/>
              <w:jc w:val="right"/>
              <w:rPr>
                <w:noProof/>
                <w:sz w:val="22"/>
                <w:lang w:eastAsia="en-GB"/>
              </w:rPr>
            </w:pPr>
          </w:p>
        </w:tc>
        <w:tc>
          <w:tcPr>
            <w:tcW w:w="1134" w:type="dxa"/>
            <w:vAlign w:val="center"/>
          </w:tcPr>
          <w:p w14:paraId="5B84CBA9" w14:textId="77777777" w:rsidR="00841AC1" w:rsidRPr="0018578C" w:rsidRDefault="00841AC1" w:rsidP="00841AC1">
            <w:pPr>
              <w:spacing w:before="60" w:after="60"/>
              <w:jc w:val="right"/>
              <w:rPr>
                <w:noProof/>
                <w:sz w:val="22"/>
              </w:rPr>
            </w:pPr>
            <w:r w:rsidRPr="0018578C">
              <w:rPr>
                <w:noProof/>
                <w:sz w:val="22"/>
              </w:rPr>
              <w:t>1 743,000</w:t>
            </w:r>
          </w:p>
        </w:tc>
        <w:tc>
          <w:tcPr>
            <w:tcW w:w="1134" w:type="dxa"/>
            <w:vAlign w:val="center"/>
          </w:tcPr>
          <w:p w14:paraId="1086081C" w14:textId="77777777" w:rsidR="00841AC1" w:rsidRPr="0018578C" w:rsidRDefault="00841AC1" w:rsidP="00841AC1">
            <w:pPr>
              <w:spacing w:before="60" w:after="60"/>
              <w:jc w:val="right"/>
              <w:rPr>
                <w:noProof/>
                <w:sz w:val="22"/>
              </w:rPr>
            </w:pPr>
            <w:r w:rsidRPr="0018578C">
              <w:rPr>
                <w:noProof/>
                <w:sz w:val="22"/>
              </w:rPr>
              <w:t>1 743,000</w:t>
            </w:r>
          </w:p>
        </w:tc>
        <w:tc>
          <w:tcPr>
            <w:tcW w:w="992" w:type="dxa"/>
            <w:vAlign w:val="center"/>
          </w:tcPr>
          <w:p w14:paraId="00F1DB5D" w14:textId="77777777" w:rsidR="00841AC1" w:rsidRPr="0018578C" w:rsidRDefault="00841AC1" w:rsidP="00841AC1">
            <w:pPr>
              <w:spacing w:before="60" w:after="60"/>
              <w:jc w:val="right"/>
              <w:rPr>
                <w:noProof/>
                <w:sz w:val="22"/>
                <w:lang w:eastAsia="en-GB"/>
              </w:rPr>
            </w:pPr>
          </w:p>
        </w:tc>
        <w:tc>
          <w:tcPr>
            <w:tcW w:w="850" w:type="dxa"/>
            <w:vAlign w:val="center"/>
          </w:tcPr>
          <w:p w14:paraId="5979334F" w14:textId="77777777" w:rsidR="00841AC1" w:rsidRPr="0018578C" w:rsidRDefault="00841AC1" w:rsidP="00841AC1">
            <w:pPr>
              <w:spacing w:before="60" w:after="60"/>
              <w:jc w:val="right"/>
              <w:rPr>
                <w:noProof/>
                <w:sz w:val="22"/>
              </w:rPr>
            </w:pPr>
          </w:p>
        </w:tc>
        <w:tc>
          <w:tcPr>
            <w:tcW w:w="1134" w:type="dxa"/>
            <w:vAlign w:val="center"/>
          </w:tcPr>
          <w:p w14:paraId="19B24434" w14:textId="77777777" w:rsidR="00841AC1" w:rsidRPr="0018578C" w:rsidRDefault="00841AC1" w:rsidP="00841AC1">
            <w:pPr>
              <w:spacing w:before="60" w:after="60"/>
              <w:jc w:val="center"/>
              <w:rPr>
                <w:b/>
                <w:noProof/>
                <w:sz w:val="22"/>
                <w:lang w:eastAsia="en-GB"/>
              </w:rPr>
            </w:pPr>
          </w:p>
        </w:tc>
        <w:tc>
          <w:tcPr>
            <w:tcW w:w="1276" w:type="dxa"/>
            <w:vAlign w:val="center"/>
          </w:tcPr>
          <w:p w14:paraId="66EF5069" w14:textId="77777777" w:rsidR="00841AC1" w:rsidRPr="0018578C" w:rsidRDefault="00841AC1" w:rsidP="00841AC1">
            <w:pPr>
              <w:spacing w:before="60" w:after="60"/>
              <w:jc w:val="center"/>
              <w:rPr>
                <w:noProof/>
                <w:sz w:val="22"/>
              </w:rPr>
            </w:pPr>
            <w:r w:rsidRPr="0018578C">
              <w:rPr>
                <w:noProof/>
                <w:sz w:val="22"/>
              </w:rPr>
              <w:t>-3 486,000</w:t>
            </w:r>
          </w:p>
        </w:tc>
        <w:tc>
          <w:tcPr>
            <w:tcW w:w="1134" w:type="dxa"/>
            <w:vAlign w:val="center"/>
          </w:tcPr>
          <w:p w14:paraId="05ECBDF7" w14:textId="77777777" w:rsidR="00841AC1" w:rsidRPr="0018578C" w:rsidRDefault="00841AC1" w:rsidP="00841AC1">
            <w:pPr>
              <w:spacing w:before="60" w:after="60"/>
              <w:jc w:val="center"/>
              <w:rPr>
                <w:b/>
                <w:noProof/>
                <w:sz w:val="22"/>
              </w:rPr>
            </w:pPr>
            <w:r w:rsidRPr="0018578C">
              <w:rPr>
                <w:b/>
                <w:noProof/>
                <w:sz w:val="22"/>
              </w:rPr>
              <w:t>0,000</w:t>
            </w:r>
          </w:p>
        </w:tc>
      </w:tr>
    </w:tbl>
    <w:p w14:paraId="4E3648BF" w14:textId="77777777" w:rsidR="00C87E1E" w:rsidRPr="0018578C" w:rsidRDefault="00C87E1E" w:rsidP="00C87E1E">
      <w:pPr>
        <w:rPr>
          <w:noProof/>
          <w:lang w:eastAsia="en-GB"/>
        </w:rPr>
      </w:pPr>
    </w:p>
    <w:p w14:paraId="13919A69" w14:textId="77777777" w:rsidR="00C87E1E" w:rsidRPr="0018578C" w:rsidRDefault="00C87E1E" w:rsidP="00FB18F4">
      <w:pPr>
        <w:keepNext/>
        <w:outlineLvl w:val="2"/>
        <w:rPr>
          <w:rFonts w:eastAsiaTheme="majorEastAsia"/>
          <w:bCs/>
          <w:i/>
          <w:noProof/>
        </w:rPr>
      </w:pPr>
      <w:bookmarkStart w:id="57" w:name="_Toc514938054"/>
      <w:bookmarkStart w:id="58" w:name="_Toc520485053"/>
      <w:r w:rsidRPr="0018578C">
        <w:rPr>
          <w:i/>
          <w:noProof/>
        </w:rPr>
        <w:t>Risultati previsti finanziati con gli stanziamenti operativi</w:t>
      </w:r>
      <w:bookmarkEnd w:id="57"/>
      <w:bookmarkEnd w:id="58"/>
      <w:r w:rsidRPr="0018578C">
        <w:rPr>
          <w:i/>
          <w:noProof/>
        </w:rPr>
        <w:t xml:space="preserve"> </w:t>
      </w:r>
    </w:p>
    <w:p w14:paraId="53DD6B83" w14:textId="77777777" w:rsidR="00C87E1E" w:rsidRPr="0018578C" w:rsidRDefault="00C87E1E" w:rsidP="00C87E1E">
      <w:pPr>
        <w:tabs>
          <w:tab w:val="num" w:pos="1134"/>
        </w:tabs>
        <w:ind w:left="1134" w:hanging="283"/>
        <w:rPr>
          <w:noProof/>
        </w:rPr>
      </w:pPr>
      <w:r w:rsidRPr="0018578C">
        <w:rPr>
          <w:noProof/>
        </w:rPr>
        <w:t>La proposta/iniziativa comporta l'utilizzo di stanziamenti operativi esistenti (nessuna variazione):</w:t>
      </w:r>
    </w:p>
    <w:p w14:paraId="7072515C" w14:textId="77777777" w:rsidR="00C87E1E" w:rsidRPr="0018578C" w:rsidRDefault="00C87E1E" w:rsidP="00FB18F4">
      <w:pPr>
        <w:rPr>
          <w:bCs/>
          <w:noProof/>
          <w:lang w:eastAsia="en-GB"/>
        </w:rPr>
      </w:pPr>
    </w:p>
    <w:p w14:paraId="6CA82F47" w14:textId="77777777" w:rsidR="00C87E1E" w:rsidRPr="0018578C" w:rsidRDefault="00C87E1E" w:rsidP="00C87E1E">
      <w:pPr>
        <w:jc w:val="right"/>
        <w:rPr>
          <w:noProof/>
          <w:sz w:val="20"/>
        </w:rPr>
      </w:pPr>
      <w:r w:rsidRPr="0018578C">
        <w:rPr>
          <w:noProof/>
          <w:sz w:val="20"/>
        </w:rPr>
        <w:t>Stanziamenti di impegno in Mio EUR (al terzo decimale)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87E1E" w:rsidRPr="0018578C" w14:paraId="71A88C1B" w14:textId="77777777" w:rsidTr="00C87E1E">
        <w:trPr>
          <w:jc w:val="center"/>
        </w:trPr>
        <w:tc>
          <w:tcPr>
            <w:tcW w:w="1423" w:type="dxa"/>
            <w:vMerge w:val="restart"/>
            <w:vAlign w:val="center"/>
          </w:tcPr>
          <w:p w14:paraId="0B2AB68D" w14:textId="77777777" w:rsidR="00C87E1E" w:rsidRPr="0018578C" w:rsidRDefault="00C87E1E" w:rsidP="00C87E1E">
            <w:pPr>
              <w:ind w:right="-29"/>
              <w:jc w:val="center"/>
              <w:rPr>
                <w:b/>
                <w:noProof/>
                <w:sz w:val="18"/>
                <w:szCs w:val="18"/>
              </w:rPr>
            </w:pPr>
            <w:r w:rsidRPr="0018578C">
              <w:rPr>
                <w:b/>
                <w:noProof/>
                <w:sz w:val="18"/>
              </w:rPr>
              <w:t xml:space="preserve">Specificare gli obiettivi e i risultati </w:t>
            </w:r>
          </w:p>
          <w:p w14:paraId="00A9E72A" w14:textId="77777777" w:rsidR="00C87E1E" w:rsidRPr="0018578C" w:rsidRDefault="00C87E1E" w:rsidP="00C87E1E">
            <w:pPr>
              <w:ind w:right="-29"/>
              <w:jc w:val="center"/>
              <w:rPr>
                <w:b/>
                <w:noProof/>
                <w:sz w:val="18"/>
                <w:szCs w:val="18"/>
                <w:lang w:eastAsia="en-GB"/>
              </w:rPr>
            </w:pPr>
          </w:p>
          <w:p w14:paraId="1115E29E" w14:textId="77777777" w:rsidR="00C87E1E" w:rsidRPr="0018578C" w:rsidRDefault="00C87E1E" w:rsidP="00C87E1E">
            <w:pPr>
              <w:ind w:right="-29"/>
              <w:jc w:val="center"/>
              <w:rPr>
                <w:noProof/>
                <w:sz w:val="18"/>
                <w:szCs w:val="18"/>
              </w:rPr>
            </w:pPr>
            <w:r w:rsidRPr="0018578C">
              <w:rPr>
                <w:noProof/>
                <w:sz w:val="18"/>
              </w:rPr>
              <w:sym w:font="Wingdings" w:char="F0F2"/>
            </w:r>
          </w:p>
        </w:tc>
        <w:tc>
          <w:tcPr>
            <w:tcW w:w="720" w:type="dxa"/>
            <w:vAlign w:val="center"/>
          </w:tcPr>
          <w:p w14:paraId="0FA38F42" w14:textId="77777777" w:rsidR="00C87E1E" w:rsidRPr="0018578C" w:rsidRDefault="00C87E1E" w:rsidP="00C87E1E">
            <w:pPr>
              <w:ind w:right="-29"/>
              <w:jc w:val="center"/>
              <w:rPr>
                <w:noProof/>
                <w:sz w:val="18"/>
                <w:szCs w:val="18"/>
                <w:lang w:eastAsia="en-GB"/>
              </w:rPr>
            </w:pPr>
          </w:p>
        </w:tc>
        <w:tc>
          <w:tcPr>
            <w:tcW w:w="701" w:type="dxa"/>
            <w:vAlign w:val="center"/>
          </w:tcPr>
          <w:p w14:paraId="10BB9D60" w14:textId="77777777" w:rsidR="00C87E1E" w:rsidRPr="0018578C" w:rsidRDefault="00C87E1E" w:rsidP="00C87E1E">
            <w:pPr>
              <w:ind w:right="-29"/>
              <w:jc w:val="center"/>
              <w:rPr>
                <w:noProof/>
                <w:sz w:val="18"/>
                <w:szCs w:val="18"/>
                <w:lang w:eastAsia="en-GB"/>
              </w:rPr>
            </w:pPr>
          </w:p>
        </w:tc>
        <w:tc>
          <w:tcPr>
            <w:tcW w:w="1224" w:type="dxa"/>
            <w:gridSpan w:val="2"/>
            <w:tcBorders>
              <w:left w:val="nil"/>
            </w:tcBorders>
            <w:vAlign w:val="center"/>
          </w:tcPr>
          <w:p w14:paraId="08912529" w14:textId="77777777" w:rsidR="00C87E1E" w:rsidRPr="0018578C" w:rsidRDefault="00C87E1E" w:rsidP="00C87E1E">
            <w:pPr>
              <w:ind w:right="-29"/>
              <w:jc w:val="center"/>
              <w:rPr>
                <w:noProof/>
                <w:sz w:val="18"/>
                <w:szCs w:val="18"/>
              </w:rPr>
            </w:pPr>
            <w:r w:rsidRPr="0018578C">
              <w:rPr>
                <w:noProof/>
                <w:sz w:val="18"/>
              </w:rPr>
              <w:t>Anno</w:t>
            </w:r>
            <w:r w:rsidRPr="0018578C">
              <w:rPr>
                <w:noProof/>
              </w:rPr>
              <w:t xml:space="preserve"> </w:t>
            </w:r>
            <w:r w:rsidRPr="0018578C">
              <w:rPr>
                <w:noProof/>
              </w:rPr>
              <w:br/>
            </w:r>
            <w:r w:rsidRPr="0018578C">
              <w:rPr>
                <w:b/>
                <w:noProof/>
                <w:sz w:val="18"/>
              </w:rPr>
              <w:t>N</w:t>
            </w:r>
          </w:p>
        </w:tc>
        <w:tc>
          <w:tcPr>
            <w:tcW w:w="1260" w:type="dxa"/>
            <w:gridSpan w:val="2"/>
            <w:vAlign w:val="center"/>
          </w:tcPr>
          <w:p w14:paraId="434B5758" w14:textId="77777777" w:rsidR="00C87E1E" w:rsidRPr="0018578C" w:rsidRDefault="00C87E1E" w:rsidP="00C87E1E">
            <w:pPr>
              <w:ind w:right="-29"/>
              <w:jc w:val="center"/>
              <w:rPr>
                <w:noProof/>
                <w:sz w:val="18"/>
                <w:szCs w:val="18"/>
              </w:rPr>
            </w:pPr>
            <w:r w:rsidRPr="0018578C">
              <w:rPr>
                <w:noProof/>
                <w:sz w:val="18"/>
              </w:rPr>
              <w:t>Anno</w:t>
            </w:r>
            <w:r w:rsidRPr="0018578C">
              <w:rPr>
                <w:noProof/>
              </w:rPr>
              <w:t xml:space="preserve"> </w:t>
            </w:r>
            <w:r w:rsidRPr="0018578C">
              <w:rPr>
                <w:noProof/>
              </w:rPr>
              <w:br/>
            </w:r>
            <w:r w:rsidRPr="0018578C">
              <w:rPr>
                <w:b/>
                <w:noProof/>
                <w:sz w:val="18"/>
              </w:rPr>
              <w:t>N+1</w:t>
            </w:r>
          </w:p>
        </w:tc>
        <w:tc>
          <w:tcPr>
            <w:tcW w:w="1440" w:type="dxa"/>
            <w:gridSpan w:val="2"/>
            <w:vAlign w:val="center"/>
          </w:tcPr>
          <w:p w14:paraId="3C62AB11" w14:textId="77777777" w:rsidR="00C87E1E" w:rsidRPr="0018578C" w:rsidRDefault="00C87E1E" w:rsidP="00C87E1E">
            <w:pPr>
              <w:ind w:right="-29"/>
              <w:jc w:val="center"/>
              <w:rPr>
                <w:noProof/>
                <w:sz w:val="18"/>
                <w:szCs w:val="18"/>
              </w:rPr>
            </w:pPr>
            <w:r w:rsidRPr="0018578C">
              <w:rPr>
                <w:noProof/>
                <w:sz w:val="18"/>
              </w:rPr>
              <w:t>Anno</w:t>
            </w:r>
            <w:r w:rsidRPr="0018578C">
              <w:rPr>
                <w:noProof/>
              </w:rPr>
              <w:t xml:space="preserve"> </w:t>
            </w:r>
            <w:r w:rsidRPr="0018578C">
              <w:rPr>
                <w:noProof/>
              </w:rPr>
              <w:br/>
            </w:r>
            <w:r w:rsidRPr="0018578C">
              <w:rPr>
                <w:b/>
                <w:noProof/>
                <w:sz w:val="18"/>
              </w:rPr>
              <w:t>N+2</w:t>
            </w:r>
          </w:p>
        </w:tc>
        <w:tc>
          <w:tcPr>
            <w:tcW w:w="1620" w:type="dxa"/>
            <w:gridSpan w:val="3"/>
            <w:vAlign w:val="center"/>
          </w:tcPr>
          <w:p w14:paraId="3049701C" w14:textId="77777777" w:rsidR="00C87E1E" w:rsidRPr="0018578C" w:rsidRDefault="00C87E1E" w:rsidP="00C87E1E">
            <w:pPr>
              <w:ind w:right="-29"/>
              <w:jc w:val="center"/>
              <w:rPr>
                <w:noProof/>
                <w:sz w:val="18"/>
                <w:szCs w:val="18"/>
              </w:rPr>
            </w:pPr>
            <w:r w:rsidRPr="0018578C">
              <w:rPr>
                <w:noProof/>
                <w:sz w:val="18"/>
              </w:rPr>
              <w:t>Anno</w:t>
            </w:r>
            <w:r w:rsidRPr="0018578C">
              <w:rPr>
                <w:noProof/>
              </w:rPr>
              <w:t xml:space="preserve"> </w:t>
            </w:r>
            <w:r w:rsidRPr="0018578C">
              <w:rPr>
                <w:noProof/>
              </w:rPr>
              <w:br/>
            </w:r>
            <w:r w:rsidRPr="0018578C">
              <w:rPr>
                <w:b/>
                <w:noProof/>
                <w:sz w:val="18"/>
              </w:rPr>
              <w:t>N+3</w:t>
            </w:r>
          </w:p>
        </w:tc>
        <w:tc>
          <w:tcPr>
            <w:tcW w:w="3600" w:type="dxa"/>
            <w:gridSpan w:val="6"/>
            <w:vAlign w:val="center"/>
          </w:tcPr>
          <w:p w14:paraId="0C5EC036" w14:textId="77777777" w:rsidR="00C87E1E" w:rsidRPr="0018578C" w:rsidRDefault="00C87E1E" w:rsidP="00C87E1E">
            <w:pPr>
              <w:jc w:val="center"/>
              <w:rPr>
                <w:noProof/>
                <w:sz w:val="18"/>
                <w:szCs w:val="18"/>
              </w:rPr>
            </w:pPr>
            <w:r w:rsidRPr="0018578C">
              <w:rPr>
                <w:noProof/>
                <w:sz w:val="18"/>
              </w:rPr>
              <w:t>Inserire gli anni necessari per evidenziare la durata dell'incidenza (cfr. punto 1.6)</w:t>
            </w:r>
          </w:p>
        </w:tc>
        <w:tc>
          <w:tcPr>
            <w:tcW w:w="1620" w:type="dxa"/>
            <w:gridSpan w:val="2"/>
            <w:tcBorders>
              <w:left w:val="nil"/>
              <w:bottom w:val="nil"/>
            </w:tcBorders>
            <w:vAlign w:val="center"/>
          </w:tcPr>
          <w:p w14:paraId="2A008985" w14:textId="77777777" w:rsidR="00C87E1E" w:rsidRPr="0018578C" w:rsidRDefault="00C87E1E" w:rsidP="00C87E1E">
            <w:pPr>
              <w:ind w:right="-29"/>
              <w:jc w:val="center"/>
              <w:rPr>
                <w:noProof/>
                <w:sz w:val="18"/>
                <w:szCs w:val="18"/>
              </w:rPr>
            </w:pPr>
            <w:r w:rsidRPr="0018578C">
              <w:rPr>
                <w:b/>
                <w:noProof/>
                <w:sz w:val="18"/>
              </w:rPr>
              <w:t>TOTALE</w:t>
            </w:r>
          </w:p>
        </w:tc>
      </w:tr>
      <w:tr w:rsidR="00C87E1E" w:rsidRPr="0018578C" w14:paraId="468ADA8B" w14:textId="77777777" w:rsidTr="00C87E1E">
        <w:trPr>
          <w:jc w:val="center"/>
        </w:trPr>
        <w:tc>
          <w:tcPr>
            <w:tcW w:w="1423" w:type="dxa"/>
            <w:vMerge/>
            <w:vAlign w:val="center"/>
          </w:tcPr>
          <w:p w14:paraId="6A13CB03" w14:textId="77777777" w:rsidR="00C87E1E" w:rsidRPr="0018578C" w:rsidRDefault="00C87E1E" w:rsidP="00C87E1E">
            <w:pPr>
              <w:ind w:right="-29"/>
              <w:jc w:val="center"/>
              <w:rPr>
                <w:noProof/>
                <w:sz w:val="18"/>
                <w:szCs w:val="18"/>
                <w:lang w:eastAsia="en-GB"/>
              </w:rPr>
            </w:pPr>
          </w:p>
        </w:tc>
        <w:tc>
          <w:tcPr>
            <w:tcW w:w="12185" w:type="dxa"/>
            <w:gridSpan w:val="19"/>
            <w:vAlign w:val="center"/>
          </w:tcPr>
          <w:p w14:paraId="14601ED0" w14:textId="77777777" w:rsidR="00C87E1E" w:rsidRPr="0018578C" w:rsidRDefault="00C87E1E" w:rsidP="00C87E1E">
            <w:pPr>
              <w:spacing w:before="60" w:after="60"/>
              <w:ind w:right="-29"/>
              <w:jc w:val="center"/>
              <w:rPr>
                <w:noProof/>
                <w:sz w:val="18"/>
                <w:szCs w:val="18"/>
              </w:rPr>
            </w:pPr>
            <w:r w:rsidRPr="0018578C">
              <w:rPr>
                <w:b/>
                <w:noProof/>
                <w:sz w:val="18"/>
              </w:rPr>
              <w:t>RISULTATI</w:t>
            </w:r>
          </w:p>
        </w:tc>
      </w:tr>
      <w:tr w:rsidR="00C87E1E" w:rsidRPr="0018578C" w14:paraId="20BD9DED" w14:textId="77777777" w:rsidTr="00C87E1E">
        <w:trPr>
          <w:cantSplit/>
          <w:trHeight w:val="1134"/>
          <w:jc w:val="center"/>
        </w:trPr>
        <w:tc>
          <w:tcPr>
            <w:tcW w:w="1423" w:type="dxa"/>
            <w:vMerge/>
            <w:vAlign w:val="center"/>
          </w:tcPr>
          <w:p w14:paraId="57EEDD30" w14:textId="77777777" w:rsidR="00C87E1E" w:rsidRPr="0018578C" w:rsidRDefault="00C87E1E" w:rsidP="00C87E1E">
            <w:pPr>
              <w:rPr>
                <w:noProof/>
                <w:sz w:val="18"/>
                <w:szCs w:val="18"/>
                <w:lang w:eastAsia="en-GB"/>
              </w:rPr>
            </w:pPr>
          </w:p>
        </w:tc>
        <w:tc>
          <w:tcPr>
            <w:tcW w:w="720" w:type="dxa"/>
            <w:vAlign w:val="center"/>
          </w:tcPr>
          <w:p w14:paraId="01A85A5A" w14:textId="77777777" w:rsidR="00C87E1E" w:rsidRPr="0018578C" w:rsidRDefault="00C87E1E" w:rsidP="00C87E1E">
            <w:pPr>
              <w:jc w:val="center"/>
              <w:rPr>
                <w:noProof/>
                <w:sz w:val="18"/>
                <w:szCs w:val="18"/>
              </w:rPr>
            </w:pPr>
            <w:r w:rsidRPr="0018578C">
              <w:rPr>
                <w:noProof/>
                <w:sz w:val="18"/>
              </w:rPr>
              <w:t>Tipo</w:t>
            </w:r>
            <w:r w:rsidRPr="0018578C">
              <w:rPr>
                <w:rStyle w:val="FootnoteReference"/>
                <w:noProof/>
              </w:rPr>
              <w:footnoteReference w:id="26"/>
            </w:r>
          </w:p>
          <w:p w14:paraId="329ECEFE" w14:textId="77777777" w:rsidR="00C87E1E" w:rsidRPr="0018578C" w:rsidRDefault="00C87E1E" w:rsidP="00C87E1E">
            <w:pPr>
              <w:spacing w:before="0" w:after="0"/>
              <w:jc w:val="center"/>
              <w:rPr>
                <w:noProof/>
                <w:sz w:val="18"/>
                <w:szCs w:val="18"/>
                <w:lang w:eastAsia="en-GB"/>
              </w:rPr>
            </w:pPr>
          </w:p>
        </w:tc>
        <w:tc>
          <w:tcPr>
            <w:tcW w:w="701" w:type="dxa"/>
            <w:vAlign w:val="center"/>
          </w:tcPr>
          <w:p w14:paraId="1177A4C5" w14:textId="77777777" w:rsidR="00C87E1E" w:rsidRPr="0018578C" w:rsidRDefault="00C87E1E" w:rsidP="00C87E1E">
            <w:pPr>
              <w:jc w:val="center"/>
              <w:rPr>
                <w:noProof/>
                <w:sz w:val="18"/>
                <w:szCs w:val="18"/>
              </w:rPr>
            </w:pPr>
            <w:r w:rsidRPr="0018578C">
              <w:rPr>
                <w:noProof/>
                <w:sz w:val="18"/>
              </w:rPr>
              <w:t>Costo medio</w:t>
            </w:r>
          </w:p>
        </w:tc>
        <w:tc>
          <w:tcPr>
            <w:tcW w:w="504" w:type="dxa"/>
            <w:tcBorders>
              <w:left w:val="nil"/>
              <w:right w:val="dashSmallGap" w:sz="4" w:space="0" w:color="auto"/>
            </w:tcBorders>
            <w:shd w:val="pct10" w:color="auto" w:fill="auto"/>
            <w:textDirection w:val="btLr"/>
            <w:vAlign w:val="center"/>
          </w:tcPr>
          <w:p w14:paraId="35F8C4EA" w14:textId="77777777" w:rsidR="00C87E1E" w:rsidRPr="0018578C" w:rsidRDefault="00C87E1E" w:rsidP="00C87E1E">
            <w:pPr>
              <w:ind w:left="113" w:right="113"/>
              <w:jc w:val="center"/>
              <w:rPr>
                <w:noProof/>
                <w:sz w:val="18"/>
                <w:szCs w:val="18"/>
              </w:rPr>
            </w:pPr>
            <w:r w:rsidRPr="0018578C">
              <w:rPr>
                <w:noProof/>
                <w:sz w:val="18"/>
              </w:rPr>
              <w:t>N.</w:t>
            </w:r>
          </w:p>
        </w:tc>
        <w:tc>
          <w:tcPr>
            <w:tcW w:w="720" w:type="dxa"/>
            <w:tcBorders>
              <w:left w:val="dashSmallGap" w:sz="4" w:space="0" w:color="auto"/>
            </w:tcBorders>
            <w:shd w:val="pct10" w:color="auto" w:fill="auto"/>
            <w:vAlign w:val="center"/>
          </w:tcPr>
          <w:p w14:paraId="23A70EB4" w14:textId="77777777" w:rsidR="00C87E1E" w:rsidRPr="0018578C" w:rsidRDefault="00C87E1E" w:rsidP="00C87E1E">
            <w:pPr>
              <w:jc w:val="center"/>
              <w:rPr>
                <w:noProof/>
                <w:sz w:val="18"/>
                <w:szCs w:val="18"/>
              </w:rPr>
            </w:pPr>
            <w:r w:rsidRPr="0018578C">
              <w:rPr>
                <w:noProof/>
                <w:sz w:val="18"/>
              </w:rPr>
              <w:t>Costo</w:t>
            </w:r>
          </w:p>
        </w:tc>
        <w:tc>
          <w:tcPr>
            <w:tcW w:w="540" w:type="dxa"/>
            <w:tcBorders>
              <w:right w:val="dashSmallGap" w:sz="4" w:space="0" w:color="auto"/>
            </w:tcBorders>
            <w:shd w:val="pct10" w:color="auto" w:fill="auto"/>
            <w:textDirection w:val="btLr"/>
            <w:vAlign w:val="center"/>
          </w:tcPr>
          <w:p w14:paraId="5AEBC856" w14:textId="77777777" w:rsidR="00C87E1E" w:rsidRPr="0018578C" w:rsidRDefault="00C87E1E" w:rsidP="00C87E1E">
            <w:pPr>
              <w:ind w:left="113" w:right="113"/>
              <w:jc w:val="center"/>
              <w:rPr>
                <w:noProof/>
                <w:sz w:val="18"/>
                <w:szCs w:val="18"/>
              </w:rPr>
            </w:pPr>
            <w:r w:rsidRPr="0018578C">
              <w:rPr>
                <w:noProof/>
                <w:sz w:val="18"/>
              </w:rPr>
              <w:t>N.</w:t>
            </w:r>
          </w:p>
        </w:tc>
        <w:tc>
          <w:tcPr>
            <w:tcW w:w="720" w:type="dxa"/>
            <w:tcBorders>
              <w:left w:val="dashSmallGap" w:sz="4" w:space="0" w:color="auto"/>
            </w:tcBorders>
            <w:shd w:val="pct10" w:color="auto" w:fill="auto"/>
            <w:vAlign w:val="center"/>
          </w:tcPr>
          <w:p w14:paraId="227166E2" w14:textId="77777777" w:rsidR="00C87E1E" w:rsidRPr="0018578C" w:rsidRDefault="00C87E1E" w:rsidP="00C87E1E">
            <w:pPr>
              <w:jc w:val="center"/>
              <w:rPr>
                <w:noProof/>
                <w:sz w:val="18"/>
                <w:szCs w:val="18"/>
              </w:rPr>
            </w:pPr>
            <w:r w:rsidRPr="0018578C">
              <w:rPr>
                <w:noProof/>
                <w:sz w:val="18"/>
              </w:rPr>
              <w:t>Costo</w:t>
            </w:r>
          </w:p>
        </w:tc>
        <w:tc>
          <w:tcPr>
            <w:tcW w:w="720" w:type="dxa"/>
            <w:tcBorders>
              <w:right w:val="dashSmallGap" w:sz="4" w:space="0" w:color="auto"/>
            </w:tcBorders>
            <w:shd w:val="pct10" w:color="auto" w:fill="auto"/>
            <w:textDirection w:val="btLr"/>
            <w:vAlign w:val="center"/>
          </w:tcPr>
          <w:p w14:paraId="7384A532" w14:textId="77777777" w:rsidR="00C87E1E" w:rsidRPr="0018578C" w:rsidRDefault="00C87E1E" w:rsidP="00C87E1E">
            <w:pPr>
              <w:ind w:left="113" w:right="113"/>
              <w:jc w:val="center"/>
              <w:rPr>
                <w:noProof/>
                <w:sz w:val="18"/>
                <w:szCs w:val="18"/>
              </w:rPr>
            </w:pPr>
            <w:r w:rsidRPr="0018578C">
              <w:rPr>
                <w:noProof/>
                <w:sz w:val="18"/>
              </w:rPr>
              <w:t>N.</w:t>
            </w:r>
          </w:p>
        </w:tc>
        <w:tc>
          <w:tcPr>
            <w:tcW w:w="720" w:type="dxa"/>
            <w:tcBorders>
              <w:left w:val="dashSmallGap" w:sz="4" w:space="0" w:color="auto"/>
            </w:tcBorders>
            <w:shd w:val="pct10" w:color="auto" w:fill="auto"/>
            <w:vAlign w:val="center"/>
          </w:tcPr>
          <w:p w14:paraId="42C258BD" w14:textId="77777777" w:rsidR="00C87E1E" w:rsidRPr="0018578C" w:rsidRDefault="00C87E1E" w:rsidP="00C87E1E">
            <w:pPr>
              <w:jc w:val="center"/>
              <w:rPr>
                <w:noProof/>
                <w:sz w:val="18"/>
                <w:szCs w:val="18"/>
              </w:rPr>
            </w:pPr>
            <w:r w:rsidRPr="0018578C">
              <w:rPr>
                <w:noProof/>
                <w:sz w:val="18"/>
              </w:rPr>
              <w:t>Costo</w:t>
            </w:r>
          </w:p>
        </w:tc>
        <w:tc>
          <w:tcPr>
            <w:tcW w:w="900" w:type="dxa"/>
            <w:tcBorders>
              <w:right w:val="dashSmallGap" w:sz="4" w:space="0" w:color="auto"/>
            </w:tcBorders>
            <w:shd w:val="pct10" w:color="auto" w:fill="auto"/>
            <w:textDirection w:val="btLr"/>
            <w:vAlign w:val="center"/>
          </w:tcPr>
          <w:p w14:paraId="34D321F4" w14:textId="77777777" w:rsidR="00C87E1E" w:rsidRPr="0018578C" w:rsidRDefault="00C87E1E" w:rsidP="00C87E1E">
            <w:pPr>
              <w:ind w:left="113" w:right="113"/>
              <w:jc w:val="center"/>
              <w:rPr>
                <w:noProof/>
                <w:sz w:val="18"/>
                <w:szCs w:val="18"/>
              </w:rPr>
            </w:pPr>
            <w:r w:rsidRPr="0018578C">
              <w:rPr>
                <w:noProof/>
                <w:sz w:val="18"/>
              </w:rPr>
              <w:t>N.</w:t>
            </w:r>
          </w:p>
        </w:tc>
        <w:tc>
          <w:tcPr>
            <w:tcW w:w="720" w:type="dxa"/>
            <w:gridSpan w:val="2"/>
            <w:tcBorders>
              <w:left w:val="dashSmallGap" w:sz="4" w:space="0" w:color="auto"/>
            </w:tcBorders>
            <w:shd w:val="pct10" w:color="auto" w:fill="auto"/>
            <w:vAlign w:val="center"/>
          </w:tcPr>
          <w:p w14:paraId="22CA5892" w14:textId="77777777" w:rsidR="00C87E1E" w:rsidRPr="0018578C" w:rsidRDefault="00C87E1E" w:rsidP="00C87E1E">
            <w:pPr>
              <w:jc w:val="center"/>
              <w:rPr>
                <w:noProof/>
                <w:sz w:val="18"/>
                <w:szCs w:val="18"/>
              </w:rPr>
            </w:pPr>
            <w:r w:rsidRPr="0018578C">
              <w:rPr>
                <w:noProof/>
                <w:sz w:val="18"/>
              </w:rPr>
              <w:t>Costo</w:t>
            </w:r>
          </w:p>
        </w:tc>
        <w:tc>
          <w:tcPr>
            <w:tcW w:w="540" w:type="dxa"/>
            <w:tcBorders>
              <w:right w:val="dashSmallGap" w:sz="4" w:space="0" w:color="auto"/>
            </w:tcBorders>
            <w:shd w:val="pct10" w:color="auto" w:fill="auto"/>
            <w:textDirection w:val="btLr"/>
            <w:vAlign w:val="center"/>
          </w:tcPr>
          <w:p w14:paraId="47B4A517" w14:textId="77777777" w:rsidR="00C87E1E" w:rsidRPr="0018578C" w:rsidRDefault="00C87E1E" w:rsidP="00C87E1E">
            <w:pPr>
              <w:ind w:left="113" w:right="113"/>
              <w:jc w:val="center"/>
              <w:rPr>
                <w:noProof/>
                <w:sz w:val="18"/>
                <w:szCs w:val="18"/>
              </w:rPr>
            </w:pPr>
            <w:r w:rsidRPr="0018578C">
              <w:rPr>
                <w:noProof/>
                <w:sz w:val="18"/>
              </w:rPr>
              <w:t>N.</w:t>
            </w:r>
          </w:p>
        </w:tc>
        <w:tc>
          <w:tcPr>
            <w:tcW w:w="648" w:type="dxa"/>
            <w:tcBorders>
              <w:left w:val="dashSmallGap" w:sz="4" w:space="0" w:color="auto"/>
            </w:tcBorders>
            <w:shd w:val="pct10" w:color="auto" w:fill="auto"/>
            <w:vAlign w:val="center"/>
          </w:tcPr>
          <w:p w14:paraId="782E4B34" w14:textId="77777777" w:rsidR="00C87E1E" w:rsidRPr="0018578C" w:rsidRDefault="00C87E1E" w:rsidP="00C87E1E">
            <w:pPr>
              <w:jc w:val="center"/>
              <w:rPr>
                <w:noProof/>
                <w:sz w:val="18"/>
                <w:szCs w:val="18"/>
              </w:rPr>
            </w:pPr>
            <w:r w:rsidRPr="0018578C">
              <w:rPr>
                <w:noProof/>
                <w:sz w:val="18"/>
              </w:rPr>
              <w:t>Costo</w:t>
            </w:r>
          </w:p>
        </w:tc>
        <w:tc>
          <w:tcPr>
            <w:tcW w:w="432" w:type="dxa"/>
            <w:tcBorders>
              <w:right w:val="dashSmallGap" w:sz="4" w:space="0" w:color="auto"/>
            </w:tcBorders>
            <w:shd w:val="pct10" w:color="auto" w:fill="auto"/>
            <w:textDirection w:val="btLr"/>
            <w:vAlign w:val="center"/>
          </w:tcPr>
          <w:p w14:paraId="230800A7" w14:textId="77777777" w:rsidR="00C87E1E" w:rsidRPr="0018578C" w:rsidRDefault="00C87E1E" w:rsidP="00C87E1E">
            <w:pPr>
              <w:ind w:left="113" w:right="113"/>
              <w:jc w:val="center"/>
              <w:rPr>
                <w:noProof/>
                <w:sz w:val="18"/>
                <w:szCs w:val="18"/>
              </w:rPr>
            </w:pPr>
            <w:r w:rsidRPr="0018578C">
              <w:rPr>
                <w:noProof/>
                <w:sz w:val="18"/>
              </w:rPr>
              <w:t>N.</w:t>
            </w:r>
          </w:p>
        </w:tc>
        <w:tc>
          <w:tcPr>
            <w:tcW w:w="720" w:type="dxa"/>
            <w:tcBorders>
              <w:left w:val="dashSmallGap" w:sz="4" w:space="0" w:color="auto"/>
            </w:tcBorders>
            <w:shd w:val="pct10" w:color="auto" w:fill="auto"/>
            <w:vAlign w:val="center"/>
          </w:tcPr>
          <w:p w14:paraId="050DDCC4" w14:textId="77777777" w:rsidR="00C87E1E" w:rsidRPr="0018578C" w:rsidRDefault="00C87E1E" w:rsidP="00C87E1E">
            <w:pPr>
              <w:jc w:val="center"/>
              <w:rPr>
                <w:noProof/>
                <w:sz w:val="18"/>
                <w:szCs w:val="18"/>
              </w:rPr>
            </w:pPr>
            <w:r w:rsidRPr="0018578C">
              <w:rPr>
                <w:noProof/>
                <w:sz w:val="18"/>
              </w:rPr>
              <w:t>Costo</w:t>
            </w:r>
          </w:p>
        </w:tc>
        <w:tc>
          <w:tcPr>
            <w:tcW w:w="540" w:type="dxa"/>
            <w:tcBorders>
              <w:right w:val="dashSmallGap" w:sz="4" w:space="0" w:color="auto"/>
            </w:tcBorders>
            <w:shd w:val="pct10" w:color="auto" w:fill="auto"/>
            <w:textDirection w:val="btLr"/>
            <w:vAlign w:val="center"/>
          </w:tcPr>
          <w:p w14:paraId="7FDAF35C" w14:textId="77777777" w:rsidR="00C87E1E" w:rsidRPr="0018578C" w:rsidRDefault="00C87E1E" w:rsidP="00C87E1E">
            <w:pPr>
              <w:ind w:left="113" w:right="113"/>
              <w:jc w:val="center"/>
              <w:rPr>
                <w:noProof/>
                <w:sz w:val="18"/>
                <w:szCs w:val="18"/>
              </w:rPr>
            </w:pPr>
            <w:r w:rsidRPr="0018578C">
              <w:rPr>
                <w:noProof/>
                <w:sz w:val="18"/>
              </w:rPr>
              <w:t>N.</w:t>
            </w:r>
          </w:p>
        </w:tc>
        <w:tc>
          <w:tcPr>
            <w:tcW w:w="720" w:type="dxa"/>
            <w:tcBorders>
              <w:left w:val="dashSmallGap" w:sz="4" w:space="0" w:color="auto"/>
            </w:tcBorders>
            <w:shd w:val="pct10" w:color="auto" w:fill="auto"/>
            <w:vAlign w:val="center"/>
          </w:tcPr>
          <w:p w14:paraId="0DB71E6A" w14:textId="77777777" w:rsidR="00C87E1E" w:rsidRPr="0018578C" w:rsidRDefault="00C87E1E" w:rsidP="00C87E1E">
            <w:pPr>
              <w:jc w:val="center"/>
              <w:rPr>
                <w:noProof/>
                <w:sz w:val="18"/>
                <w:szCs w:val="18"/>
              </w:rPr>
            </w:pPr>
            <w:r w:rsidRPr="0018578C">
              <w:rPr>
                <w:noProof/>
                <w:sz w:val="18"/>
              </w:rPr>
              <w:t>Costo</w:t>
            </w:r>
          </w:p>
        </w:tc>
        <w:tc>
          <w:tcPr>
            <w:tcW w:w="720" w:type="dxa"/>
            <w:tcBorders>
              <w:right w:val="dashSmallGap" w:sz="4" w:space="0" w:color="auto"/>
            </w:tcBorders>
            <w:shd w:val="pct10" w:color="auto" w:fill="auto"/>
            <w:vAlign w:val="center"/>
          </w:tcPr>
          <w:p w14:paraId="45168413" w14:textId="77777777" w:rsidR="00C87E1E" w:rsidRPr="0018578C" w:rsidRDefault="00C87E1E" w:rsidP="00C87E1E">
            <w:pPr>
              <w:jc w:val="center"/>
              <w:rPr>
                <w:noProof/>
                <w:sz w:val="18"/>
                <w:szCs w:val="18"/>
              </w:rPr>
            </w:pPr>
            <w:r w:rsidRPr="0018578C">
              <w:rPr>
                <w:noProof/>
                <w:sz w:val="18"/>
              </w:rPr>
              <w:t>N. totale</w:t>
            </w:r>
          </w:p>
        </w:tc>
        <w:tc>
          <w:tcPr>
            <w:tcW w:w="900" w:type="dxa"/>
            <w:tcBorders>
              <w:left w:val="dashSmallGap" w:sz="4" w:space="0" w:color="auto"/>
            </w:tcBorders>
            <w:shd w:val="pct10" w:color="auto" w:fill="auto"/>
            <w:vAlign w:val="center"/>
          </w:tcPr>
          <w:p w14:paraId="0BD5B641" w14:textId="77777777" w:rsidR="00C87E1E" w:rsidRPr="0018578C" w:rsidRDefault="00C87E1E" w:rsidP="00C87E1E">
            <w:pPr>
              <w:jc w:val="center"/>
              <w:rPr>
                <w:noProof/>
                <w:sz w:val="18"/>
                <w:szCs w:val="18"/>
              </w:rPr>
            </w:pPr>
            <w:r w:rsidRPr="0018578C">
              <w:rPr>
                <w:noProof/>
                <w:sz w:val="18"/>
              </w:rPr>
              <w:t>Costo totale</w:t>
            </w:r>
          </w:p>
        </w:tc>
      </w:tr>
      <w:tr w:rsidR="00C87E1E" w:rsidRPr="0018578C" w14:paraId="7FEFDAF9" w14:textId="77777777" w:rsidTr="00C87E1E">
        <w:trPr>
          <w:jc w:val="center"/>
        </w:trPr>
        <w:tc>
          <w:tcPr>
            <w:tcW w:w="2844" w:type="dxa"/>
            <w:gridSpan w:val="3"/>
            <w:vAlign w:val="center"/>
          </w:tcPr>
          <w:p w14:paraId="25605D6C" w14:textId="77777777" w:rsidR="00C87E1E" w:rsidRPr="0018578C" w:rsidRDefault="00C87E1E" w:rsidP="00C87E1E">
            <w:pPr>
              <w:spacing w:before="60" w:after="60"/>
              <w:ind w:right="-29"/>
              <w:jc w:val="center"/>
              <w:rPr>
                <w:noProof/>
                <w:sz w:val="18"/>
                <w:szCs w:val="18"/>
              </w:rPr>
            </w:pPr>
            <w:r w:rsidRPr="0018578C">
              <w:rPr>
                <w:noProof/>
                <w:sz w:val="18"/>
              </w:rPr>
              <w:t>OBIETTIVO SPECIFICO 1</w:t>
            </w:r>
            <w:r w:rsidRPr="0018578C">
              <w:rPr>
                <w:rStyle w:val="FootnoteReference"/>
                <w:noProof/>
              </w:rPr>
              <w:footnoteReference w:id="27"/>
            </w:r>
            <w:r w:rsidRPr="0018578C">
              <w:rPr>
                <w:noProof/>
                <w:sz w:val="18"/>
              </w:rPr>
              <w:t>…</w:t>
            </w:r>
          </w:p>
        </w:tc>
        <w:tc>
          <w:tcPr>
            <w:tcW w:w="504" w:type="dxa"/>
            <w:tcBorders>
              <w:top w:val="nil"/>
              <w:left w:val="nil"/>
              <w:bottom w:val="nil"/>
              <w:right w:val="nil"/>
            </w:tcBorders>
          </w:tcPr>
          <w:p w14:paraId="7CECC748"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22A60733"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566EF4AF"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9ADD083"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C2523DC"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7DD628C" w14:textId="77777777" w:rsidR="00C87E1E" w:rsidRPr="0018578C"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31A7477" w14:textId="77777777" w:rsidR="00C87E1E" w:rsidRPr="0018578C"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08F2F0BF"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B0A77FF" w14:textId="77777777" w:rsidR="00C87E1E" w:rsidRPr="0018578C"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0BAA5CB6" w14:textId="77777777" w:rsidR="00C87E1E" w:rsidRPr="0018578C"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1B37B53"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7D8EE462"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6DDC7D82"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EC7D272"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12E140C0" w14:textId="77777777" w:rsidR="00C87E1E" w:rsidRPr="0018578C"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667DB75A" w14:textId="77777777" w:rsidR="00C87E1E" w:rsidRPr="0018578C" w:rsidRDefault="00C87E1E" w:rsidP="00C87E1E">
            <w:pPr>
              <w:spacing w:before="60" w:after="60"/>
              <w:ind w:right="-29"/>
              <w:jc w:val="center"/>
              <w:rPr>
                <w:noProof/>
                <w:sz w:val="18"/>
                <w:szCs w:val="18"/>
                <w:lang w:eastAsia="en-GB"/>
              </w:rPr>
            </w:pPr>
          </w:p>
        </w:tc>
      </w:tr>
      <w:tr w:rsidR="00C87E1E" w:rsidRPr="0018578C" w14:paraId="2012CE82" w14:textId="77777777" w:rsidTr="00C87E1E">
        <w:trPr>
          <w:trHeight w:hRule="exact" w:val="369"/>
          <w:jc w:val="center"/>
        </w:trPr>
        <w:tc>
          <w:tcPr>
            <w:tcW w:w="1423" w:type="dxa"/>
          </w:tcPr>
          <w:p w14:paraId="2FB07626" w14:textId="77777777" w:rsidR="00C87E1E" w:rsidRPr="0018578C" w:rsidRDefault="00C87E1E" w:rsidP="00C87E1E">
            <w:pPr>
              <w:ind w:right="-29"/>
              <w:jc w:val="center"/>
              <w:rPr>
                <w:noProof/>
                <w:sz w:val="18"/>
                <w:szCs w:val="18"/>
              </w:rPr>
            </w:pPr>
            <w:r w:rsidRPr="0018578C">
              <w:rPr>
                <w:noProof/>
                <w:sz w:val="18"/>
              </w:rPr>
              <w:t>- Risultato</w:t>
            </w:r>
          </w:p>
        </w:tc>
        <w:tc>
          <w:tcPr>
            <w:tcW w:w="720" w:type="dxa"/>
          </w:tcPr>
          <w:p w14:paraId="1FB154AB" w14:textId="77777777" w:rsidR="00C87E1E" w:rsidRPr="0018578C" w:rsidRDefault="00C87E1E" w:rsidP="00C87E1E">
            <w:pPr>
              <w:ind w:right="-29"/>
              <w:jc w:val="center"/>
              <w:rPr>
                <w:noProof/>
                <w:sz w:val="18"/>
                <w:szCs w:val="18"/>
                <w:lang w:eastAsia="en-GB"/>
              </w:rPr>
            </w:pPr>
          </w:p>
        </w:tc>
        <w:tc>
          <w:tcPr>
            <w:tcW w:w="701" w:type="dxa"/>
          </w:tcPr>
          <w:p w14:paraId="7109D4D2" w14:textId="77777777" w:rsidR="00C87E1E" w:rsidRPr="0018578C" w:rsidRDefault="00C87E1E" w:rsidP="00C87E1E">
            <w:pPr>
              <w:ind w:right="-29"/>
              <w:jc w:val="center"/>
              <w:rPr>
                <w:noProof/>
                <w:sz w:val="18"/>
                <w:szCs w:val="18"/>
                <w:lang w:eastAsia="en-GB"/>
              </w:rPr>
            </w:pPr>
          </w:p>
        </w:tc>
        <w:tc>
          <w:tcPr>
            <w:tcW w:w="504" w:type="dxa"/>
            <w:tcBorders>
              <w:right w:val="dashSmallGap" w:sz="4" w:space="0" w:color="auto"/>
            </w:tcBorders>
          </w:tcPr>
          <w:p w14:paraId="21367F0B"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42B47B20"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20E441F5"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6FC32AD8" w14:textId="77777777" w:rsidR="00C87E1E" w:rsidRPr="0018578C" w:rsidRDefault="00C87E1E" w:rsidP="00C87E1E">
            <w:pPr>
              <w:ind w:right="-29"/>
              <w:jc w:val="center"/>
              <w:rPr>
                <w:noProof/>
                <w:sz w:val="18"/>
                <w:szCs w:val="18"/>
                <w:lang w:eastAsia="en-GB"/>
              </w:rPr>
            </w:pPr>
          </w:p>
        </w:tc>
        <w:tc>
          <w:tcPr>
            <w:tcW w:w="720" w:type="dxa"/>
            <w:tcBorders>
              <w:right w:val="dashSmallGap" w:sz="4" w:space="0" w:color="auto"/>
            </w:tcBorders>
          </w:tcPr>
          <w:p w14:paraId="2D4F8E51"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601377FD" w14:textId="77777777" w:rsidR="00C87E1E" w:rsidRPr="0018578C" w:rsidRDefault="00C87E1E" w:rsidP="00C87E1E">
            <w:pPr>
              <w:ind w:right="-29"/>
              <w:jc w:val="center"/>
              <w:rPr>
                <w:noProof/>
                <w:sz w:val="18"/>
                <w:szCs w:val="18"/>
                <w:lang w:eastAsia="en-GB"/>
              </w:rPr>
            </w:pPr>
          </w:p>
        </w:tc>
        <w:tc>
          <w:tcPr>
            <w:tcW w:w="900" w:type="dxa"/>
            <w:tcBorders>
              <w:right w:val="dashSmallGap" w:sz="4" w:space="0" w:color="auto"/>
            </w:tcBorders>
          </w:tcPr>
          <w:p w14:paraId="65EF1873" w14:textId="77777777" w:rsidR="00C87E1E" w:rsidRPr="0018578C"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2089D111"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6226321F" w14:textId="77777777" w:rsidR="00C87E1E" w:rsidRPr="0018578C" w:rsidRDefault="00C87E1E" w:rsidP="00C87E1E">
            <w:pPr>
              <w:ind w:right="-29"/>
              <w:jc w:val="center"/>
              <w:rPr>
                <w:noProof/>
                <w:sz w:val="18"/>
                <w:szCs w:val="18"/>
                <w:lang w:eastAsia="en-GB"/>
              </w:rPr>
            </w:pPr>
          </w:p>
        </w:tc>
        <w:tc>
          <w:tcPr>
            <w:tcW w:w="648" w:type="dxa"/>
            <w:tcBorders>
              <w:left w:val="dashSmallGap" w:sz="4" w:space="0" w:color="auto"/>
            </w:tcBorders>
          </w:tcPr>
          <w:p w14:paraId="6E5DAAE6" w14:textId="77777777" w:rsidR="00C87E1E" w:rsidRPr="0018578C" w:rsidRDefault="00C87E1E" w:rsidP="00C87E1E">
            <w:pPr>
              <w:ind w:right="-29"/>
              <w:jc w:val="center"/>
              <w:rPr>
                <w:noProof/>
                <w:sz w:val="18"/>
                <w:szCs w:val="18"/>
                <w:lang w:eastAsia="en-GB"/>
              </w:rPr>
            </w:pPr>
          </w:p>
        </w:tc>
        <w:tc>
          <w:tcPr>
            <w:tcW w:w="432" w:type="dxa"/>
            <w:tcBorders>
              <w:right w:val="dashSmallGap" w:sz="4" w:space="0" w:color="auto"/>
            </w:tcBorders>
          </w:tcPr>
          <w:p w14:paraId="1A721904"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263671D1"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11B91DB8"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05B5D791" w14:textId="77777777" w:rsidR="00C87E1E" w:rsidRPr="0018578C" w:rsidRDefault="00C87E1E" w:rsidP="00C87E1E">
            <w:pPr>
              <w:ind w:right="-29"/>
              <w:jc w:val="center"/>
              <w:rPr>
                <w:noProof/>
                <w:sz w:val="18"/>
                <w:szCs w:val="18"/>
                <w:lang w:eastAsia="en-GB"/>
              </w:rPr>
            </w:pPr>
          </w:p>
        </w:tc>
        <w:tc>
          <w:tcPr>
            <w:tcW w:w="720" w:type="dxa"/>
          </w:tcPr>
          <w:p w14:paraId="2C1B803D" w14:textId="77777777" w:rsidR="00C87E1E" w:rsidRPr="0018578C" w:rsidRDefault="00C87E1E" w:rsidP="00C87E1E">
            <w:pPr>
              <w:ind w:right="-29"/>
              <w:jc w:val="center"/>
              <w:rPr>
                <w:noProof/>
                <w:sz w:val="18"/>
                <w:szCs w:val="18"/>
                <w:lang w:eastAsia="en-GB"/>
              </w:rPr>
            </w:pPr>
          </w:p>
        </w:tc>
        <w:tc>
          <w:tcPr>
            <w:tcW w:w="900" w:type="dxa"/>
          </w:tcPr>
          <w:p w14:paraId="36135E3B" w14:textId="77777777" w:rsidR="00C87E1E" w:rsidRPr="0018578C" w:rsidRDefault="00C87E1E" w:rsidP="00C87E1E">
            <w:pPr>
              <w:ind w:right="-29"/>
              <w:jc w:val="center"/>
              <w:rPr>
                <w:noProof/>
                <w:sz w:val="18"/>
                <w:szCs w:val="18"/>
                <w:lang w:eastAsia="en-GB"/>
              </w:rPr>
            </w:pPr>
          </w:p>
        </w:tc>
      </w:tr>
      <w:tr w:rsidR="00C87E1E" w:rsidRPr="0018578C" w14:paraId="0925942F" w14:textId="77777777" w:rsidTr="00C87E1E">
        <w:trPr>
          <w:trHeight w:hRule="exact" w:val="369"/>
          <w:jc w:val="center"/>
        </w:trPr>
        <w:tc>
          <w:tcPr>
            <w:tcW w:w="1423" w:type="dxa"/>
          </w:tcPr>
          <w:p w14:paraId="0C89193C" w14:textId="77777777" w:rsidR="00C87E1E" w:rsidRPr="0018578C" w:rsidRDefault="00C87E1E" w:rsidP="00C87E1E">
            <w:pPr>
              <w:ind w:right="-29"/>
              <w:jc w:val="center"/>
              <w:rPr>
                <w:noProof/>
                <w:sz w:val="18"/>
                <w:szCs w:val="18"/>
              </w:rPr>
            </w:pPr>
            <w:r w:rsidRPr="0018578C">
              <w:rPr>
                <w:noProof/>
                <w:sz w:val="18"/>
              </w:rPr>
              <w:t>- Risultato</w:t>
            </w:r>
          </w:p>
        </w:tc>
        <w:tc>
          <w:tcPr>
            <w:tcW w:w="720" w:type="dxa"/>
          </w:tcPr>
          <w:p w14:paraId="0299DBA2" w14:textId="77777777" w:rsidR="00C87E1E" w:rsidRPr="0018578C" w:rsidRDefault="00C87E1E" w:rsidP="00C87E1E">
            <w:pPr>
              <w:ind w:right="-29"/>
              <w:jc w:val="center"/>
              <w:rPr>
                <w:noProof/>
                <w:sz w:val="18"/>
                <w:szCs w:val="18"/>
                <w:lang w:eastAsia="en-GB"/>
              </w:rPr>
            </w:pPr>
          </w:p>
        </w:tc>
        <w:tc>
          <w:tcPr>
            <w:tcW w:w="701" w:type="dxa"/>
          </w:tcPr>
          <w:p w14:paraId="638B783E" w14:textId="77777777" w:rsidR="00C87E1E" w:rsidRPr="0018578C" w:rsidRDefault="00C87E1E" w:rsidP="00C87E1E">
            <w:pPr>
              <w:ind w:right="-29"/>
              <w:jc w:val="center"/>
              <w:rPr>
                <w:noProof/>
                <w:sz w:val="18"/>
                <w:szCs w:val="18"/>
                <w:lang w:eastAsia="en-GB"/>
              </w:rPr>
            </w:pPr>
          </w:p>
        </w:tc>
        <w:tc>
          <w:tcPr>
            <w:tcW w:w="504" w:type="dxa"/>
            <w:tcBorders>
              <w:right w:val="dashSmallGap" w:sz="4" w:space="0" w:color="auto"/>
            </w:tcBorders>
          </w:tcPr>
          <w:p w14:paraId="7890CAAC"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65BC2BC2"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7EE7944E"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15316495" w14:textId="77777777" w:rsidR="00C87E1E" w:rsidRPr="0018578C" w:rsidRDefault="00C87E1E" w:rsidP="00C87E1E">
            <w:pPr>
              <w:ind w:right="-29"/>
              <w:jc w:val="center"/>
              <w:rPr>
                <w:noProof/>
                <w:sz w:val="18"/>
                <w:szCs w:val="18"/>
                <w:lang w:eastAsia="en-GB"/>
              </w:rPr>
            </w:pPr>
          </w:p>
        </w:tc>
        <w:tc>
          <w:tcPr>
            <w:tcW w:w="720" w:type="dxa"/>
            <w:tcBorders>
              <w:right w:val="dashSmallGap" w:sz="4" w:space="0" w:color="auto"/>
            </w:tcBorders>
          </w:tcPr>
          <w:p w14:paraId="22EC5F81"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61189441" w14:textId="77777777" w:rsidR="00C87E1E" w:rsidRPr="0018578C" w:rsidRDefault="00C87E1E" w:rsidP="00C87E1E">
            <w:pPr>
              <w:ind w:right="-29"/>
              <w:jc w:val="center"/>
              <w:rPr>
                <w:noProof/>
                <w:sz w:val="18"/>
                <w:szCs w:val="18"/>
                <w:lang w:eastAsia="en-GB"/>
              </w:rPr>
            </w:pPr>
          </w:p>
        </w:tc>
        <w:tc>
          <w:tcPr>
            <w:tcW w:w="900" w:type="dxa"/>
            <w:tcBorders>
              <w:right w:val="dashSmallGap" w:sz="4" w:space="0" w:color="auto"/>
            </w:tcBorders>
          </w:tcPr>
          <w:p w14:paraId="06FC6AE4" w14:textId="77777777" w:rsidR="00C87E1E" w:rsidRPr="0018578C" w:rsidRDefault="00C87E1E" w:rsidP="00C87E1E">
            <w:pPr>
              <w:ind w:right="-29"/>
              <w:jc w:val="center"/>
              <w:rPr>
                <w:noProof/>
                <w:sz w:val="18"/>
                <w:szCs w:val="18"/>
                <w:lang w:eastAsia="en-GB"/>
              </w:rPr>
            </w:pPr>
          </w:p>
        </w:tc>
        <w:tc>
          <w:tcPr>
            <w:tcW w:w="720" w:type="dxa"/>
            <w:gridSpan w:val="2"/>
            <w:tcBorders>
              <w:left w:val="dashSmallGap" w:sz="4" w:space="0" w:color="auto"/>
            </w:tcBorders>
          </w:tcPr>
          <w:p w14:paraId="1C9D682C"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5DB2346D" w14:textId="77777777" w:rsidR="00C87E1E" w:rsidRPr="0018578C" w:rsidRDefault="00C87E1E" w:rsidP="00C87E1E">
            <w:pPr>
              <w:ind w:right="-29"/>
              <w:jc w:val="center"/>
              <w:rPr>
                <w:noProof/>
                <w:sz w:val="18"/>
                <w:szCs w:val="18"/>
                <w:lang w:eastAsia="en-GB"/>
              </w:rPr>
            </w:pPr>
          </w:p>
        </w:tc>
        <w:tc>
          <w:tcPr>
            <w:tcW w:w="648" w:type="dxa"/>
            <w:tcBorders>
              <w:left w:val="dashSmallGap" w:sz="4" w:space="0" w:color="auto"/>
            </w:tcBorders>
          </w:tcPr>
          <w:p w14:paraId="18922EA3" w14:textId="77777777" w:rsidR="00C87E1E" w:rsidRPr="0018578C" w:rsidRDefault="00C87E1E" w:rsidP="00C87E1E">
            <w:pPr>
              <w:ind w:right="-29"/>
              <w:jc w:val="center"/>
              <w:rPr>
                <w:noProof/>
                <w:sz w:val="18"/>
                <w:szCs w:val="18"/>
                <w:lang w:eastAsia="en-GB"/>
              </w:rPr>
            </w:pPr>
          </w:p>
        </w:tc>
        <w:tc>
          <w:tcPr>
            <w:tcW w:w="432" w:type="dxa"/>
            <w:tcBorders>
              <w:right w:val="dashSmallGap" w:sz="4" w:space="0" w:color="auto"/>
            </w:tcBorders>
          </w:tcPr>
          <w:p w14:paraId="3B13F26A"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0747A620" w14:textId="77777777" w:rsidR="00C87E1E" w:rsidRPr="0018578C" w:rsidRDefault="00C87E1E" w:rsidP="00C87E1E">
            <w:pPr>
              <w:ind w:right="-29"/>
              <w:jc w:val="center"/>
              <w:rPr>
                <w:noProof/>
                <w:sz w:val="18"/>
                <w:szCs w:val="18"/>
                <w:lang w:eastAsia="en-GB"/>
              </w:rPr>
            </w:pPr>
          </w:p>
        </w:tc>
        <w:tc>
          <w:tcPr>
            <w:tcW w:w="540" w:type="dxa"/>
            <w:tcBorders>
              <w:right w:val="dashSmallGap" w:sz="4" w:space="0" w:color="auto"/>
            </w:tcBorders>
          </w:tcPr>
          <w:p w14:paraId="62BCD664" w14:textId="77777777" w:rsidR="00C87E1E" w:rsidRPr="0018578C" w:rsidRDefault="00C87E1E" w:rsidP="00C87E1E">
            <w:pPr>
              <w:ind w:right="-29"/>
              <w:jc w:val="center"/>
              <w:rPr>
                <w:noProof/>
                <w:sz w:val="18"/>
                <w:szCs w:val="18"/>
                <w:lang w:eastAsia="en-GB"/>
              </w:rPr>
            </w:pPr>
          </w:p>
        </w:tc>
        <w:tc>
          <w:tcPr>
            <w:tcW w:w="720" w:type="dxa"/>
            <w:tcBorders>
              <w:left w:val="dashSmallGap" w:sz="4" w:space="0" w:color="auto"/>
            </w:tcBorders>
          </w:tcPr>
          <w:p w14:paraId="0179A016" w14:textId="77777777" w:rsidR="00C87E1E" w:rsidRPr="0018578C" w:rsidRDefault="00C87E1E" w:rsidP="00C87E1E">
            <w:pPr>
              <w:ind w:right="-29"/>
              <w:jc w:val="center"/>
              <w:rPr>
                <w:noProof/>
                <w:sz w:val="18"/>
                <w:szCs w:val="18"/>
                <w:lang w:eastAsia="en-GB"/>
              </w:rPr>
            </w:pPr>
          </w:p>
        </w:tc>
        <w:tc>
          <w:tcPr>
            <w:tcW w:w="720" w:type="dxa"/>
          </w:tcPr>
          <w:p w14:paraId="31FF12BB" w14:textId="77777777" w:rsidR="00C87E1E" w:rsidRPr="0018578C" w:rsidRDefault="00C87E1E" w:rsidP="00C87E1E">
            <w:pPr>
              <w:ind w:right="-29"/>
              <w:jc w:val="center"/>
              <w:rPr>
                <w:noProof/>
                <w:sz w:val="18"/>
                <w:szCs w:val="18"/>
                <w:lang w:eastAsia="en-GB"/>
              </w:rPr>
            </w:pPr>
          </w:p>
        </w:tc>
        <w:tc>
          <w:tcPr>
            <w:tcW w:w="900" w:type="dxa"/>
          </w:tcPr>
          <w:p w14:paraId="217E6641" w14:textId="77777777" w:rsidR="00C87E1E" w:rsidRPr="0018578C" w:rsidRDefault="00C87E1E" w:rsidP="00C87E1E">
            <w:pPr>
              <w:ind w:right="-29"/>
              <w:jc w:val="center"/>
              <w:rPr>
                <w:noProof/>
                <w:sz w:val="18"/>
                <w:szCs w:val="18"/>
                <w:lang w:eastAsia="en-GB"/>
              </w:rPr>
            </w:pPr>
          </w:p>
        </w:tc>
      </w:tr>
      <w:tr w:rsidR="00C87E1E" w:rsidRPr="0018578C" w14:paraId="53759D69" w14:textId="77777777" w:rsidTr="00C87E1E">
        <w:trPr>
          <w:trHeight w:hRule="exact" w:val="369"/>
          <w:jc w:val="center"/>
        </w:trPr>
        <w:tc>
          <w:tcPr>
            <w:tcW w:w="1423" w:type="dxa"/>
          </w:tcPr>
          <w:p w14:paraId="01B292A0" w14:textId="77777777" w:rsidR="00C87E1E" w:rsidRPr="0018578C" w:rsidRDefault="00C87E1E" w:rsidP="00C87E1E">
            <w:pPr>
              <w:ind w:right="-29"/>
              <w:jc w:val="center"/>
              <w:rPr>
                <w:noProof/>
                <w:sz w:val="18"/>
                <w:szCs w:val="18"/>
              </w:rPr>
            </w:pPr>
            <w:r w:rsidRPr="0018578C">
              <w:rPr>
                <w:noProof/>
                <w:sz w:val="18"/>
              </w:rPr>
              <w:t>- Risultato</w:t>
            </w:r>
          </w:p>
        </w:tc>
        <w:tc>
          <w:tcPr>
            <w:tcW w:w="720" w:type="dxa"/>
          </w:tcPr>
          <w:p w14:paraId="3AAFC128" w14:textId="77777777" w:rsidR="00C87E1E" w:rsidRPr="0018578C" w:rsidRDefault="00C87E1E" w:rsidP="00C87E1E">
            <w:pPr>
              <w:ind w:right="-29"/>
              <w:jc w:val="center"/>
              <w:rPr>
                <w:noProof/>
                <w:sz w:val="18"/>
                <w:szCs w:val="18"/>
                <w:lang w:eastAsia="en-GB"/>
              </w:rPr>
            </w:pPr>
          </w:p>
        </w:tc>
        <w:tc>
          <w:tcPr>
            <w:tcW w:w="701" w:type="dxa"/>
          </w:tcPr>
          <w:p w14:paraId="0391E022" w14:textId="77777777" w:rsidR="00C87E1E" w:rsidRPr="0018578C" w:rsidRDefault="00C87E1E" w:rsidP="00C87E1E">
            <w:pPr>
              <w:ind w:right="-29"/>
              <w:jc w:val="center"/>
              <w:rPr>
                <w:noProof/>
                <w:sz w:val="18"/>
                <w:szCs w:val="18"/>
                <w:lang w:eastAsia="en-GB"/>
              </w:rPr>
            </w:pPr>
          </w:p>
        </w:tc>
        <w:tc>
          <w:tcPr>
            <w:tcW w:w="504" w:type="dxa"/>
          </w:tcPr>
          <w:p w14:paraId="0E503AD1" w14:textId="77777777" w:rsidR="00C87E1E" w:rsidRPr="0018578C" w:rsidRDefault="00C87E1E" w:rsidP="00C87E1E">
            <w:pPr>
              <w:ind w:right="-29"/>
              <w:jc w:val="center"/>
              <w:rPr>
                <w:noProof/>
                <w:sz w:val="18"/>
                <w:szCs w:val="18"/>
                <w:lang w:eastAsia="en-GB"/>
              </w:rPr>
            </w:pPr>
          </w:p>
        </w:tc>
        <w:tc>
          <w:tcPr>
            <w:tcW w:w="720" w:type="dxa"/>
          </w:tcPr>
          <w:p w14:paraId="36ED1BD3" w14:textId="77777777" w:rsidR="00C87E1E" w:rsidRPr="0018578C" w:rsidRDefault="00C87E1E" w:rsidP="00C87E1E">
            <w:pPr>
              <w:ind w:right="-29"/>
              <w:jc w:val="center"/>
              <w:rPr>
                <w:noProof/>
                <w:sz w:val="18"/>
                <w:szCs w:val="18"/>
                <w:lang w:eastAsia="en-GB"/>
              </w:rPr>
            </w:pPr>
          </w:p>
        </w:tc>
        <w:tc>
          <w:tcPr>
            <w:tcW w:w="540" w:type="dxa"/>
          </w:tcPr>
          <w:p w14:paraId="41513476" w14:textId="77777777" w:rsidR="00C87E1E" w:rsidRPr="0018578C" w:rsidRDefault="00C87E1E" w:rsidP="00C87E1E">
            <w:pPr>
              <w:ind w:right="-29"/>
              <w:jc w:val="center"/>
              <w:rPr>
                <w:noProof/>
                <w:sz w:val="18"/>
                <w:szCs w:val="18"/>
                <w:lang w:eastAsia="en-GB"/>
              </w:rPr>
            </w:pPr>
          </w:p>
        </w:tc>
        <w:tc>
          <w:tcPr>
            <w:tcW w:w="720" w:type="dxa"/>
          </w:tcPr>
          <w:p w14:paraId="63565F4B" w14:textId="77777777" w:rsidR="00C87E1E" w:rsidRPr="0018578C" w:rsidRDefault="00C87E1E" w:rsidP="00C87E1E">
            <w:pPr>
              <w:ind w:right="-29"/>
              <w:jc w:val="center"/>
              <w:rPr>
                <w:noProof/>
                <w:sz w:val="18"/>
                <w:szCs w:val="18"/>
                <w:lang w:eastAsia="en-GB"/>
              </w:rPr>
            </w:pPr>
          </w:p>
        </w:tc>
        <w:tc>
          <w:tcPr>
            <w:tcW w:w="720" w:type="dxa"/>
          </w:tcPr>
          <w:p w14:paraId="0392A494" w14:textId="77777777" w:rsidR="00C87E1E" w:rsidRPr="0018578C" w:rsidRDefault="00C87E1E" w:rsidP="00C87E1E">
            <w:pPr>
              <w:ind w:right="-29"/>
              <w:jc w:val="center"/>
              <w:rPr>
                <w:noProof/>
                <w:sz w:val="18"/>
                <w:szCs w:val="18"/>
                <w:lang w:eastAsia="en-GB"/>
              </w:rPr>
            </w:pPr>
          </w:p>
        </w:tc>
        <w:tc>
          <w:tcPr>
            <w:tcW w:w="720" w:type="dxa"/>
          </w:tcPr>
          <w:p w14:paraId="2BC07D8F" w14:textId="77777777" w:rsidR="00C87E1E" w:rsidRPr="0018578C" w:rsidRDefault="00C87E1E" w:rsidP="00C87E1E">
            <w:pPr>
              <w:ind w:right="-29"/>
              <w:jc w:val="center"/>
              <w:rPr>
                <w:noProof/>
                <w:sz w:val="18"/>
                <w:szCs w:val="18"/>
                <w:lang w:eastAsia="en-GB"/>
              </w:rPr>
            </w:pPr>
          </w:p>
        </w:tc>
        <w:tc>
          <w:tcPr>
            <w:tcW w:w="900" w:type="dxa"/>
          </w:tcPr>
          <w:p w14:paraId="129DAED8" w14:textId="77777777" w:rsidR="00C87E1E" w:rsidRPr="0018578C" w:rsidRDefault="00C87E1E" w:rsidP="00C87E1E">
            <w:pPr>
              <w:ind w:right="-29"/>
              <w:jc w:val="center"/>
              <w:rPr>
                <w:noProof/>
                <w:sz w:val="18"/>
                <w:szCs w:val="18"/>
                <w:lang w:eastAsia="en-GB"/>
              </w:rPr>
            </w:pPr>
          </w:p>
        </w:tc>
        <w:tc>
          <w:tcPr>
            <w:tcW w:w="720" w:type="dxa"/>
            <w:gridSpan w:val="2"/>
          </w:tcPr>
          <w:p w14:paraId="46494A6B" w14:textId="77777777" w:rsidR="00C87E1E" w:rsidRPr="0018578C" w:rsidRDefault="00C87E1E" w:rsidP="00C87E1E">
            <w:pPr>
              <w:ind w:right="-29"/>
              <w:jc w:val="center"/>
              <w:rPr>
                <w:noProof/>
                <w:sz w:val="18"/>
                <w:szCs w:val="18"/>
                <w:lang w:eastAsia="en-GB"/>
              </w:rPr>
            </w:pPr>
          </w:p>
        </w:tc>
        <w:tc>
          <w:tcPr>
            <w:tcW w:w="540" w:type="dxa"/>
          </w:tcPr>
          <w:p w14:paraId="04B8BC52" w14:textId="77777777" w:rsidR="00C87E1E" w:rsidRPr="0018578C" w:rsidRDefault="00C87E1E" w:rsidP="00C87E1E">
            <w:pPr>
              <w:ind w:right="-29"/>
              <w:jc w:val="center"/>
              <w:rPr>
                <w:noProof/>
                <w:sz w:val="18"/>
                <w:szCs w:val="18"/>
                <w:lang w:eastAsia="en-GB"/>
              </w:rPr>
            </w:pPr>
          </w:p>
        </w:tc>
        <w:tc>
          <w:tcPr>
            <w:tcW w:w="648" w:type="dxa"/>
          </w:tcPr>
          <w:p w14:paraId="3E1D5A46" w14:textId="77777777" w:rsidR="00C87E1E" w:rsidRPr="0018578C" w:rsidRDefault="00C87E1E" w:rsidP="00C87E1E">
            <w:pPr>
              <w:ind w:right="-29"/>
              <w:jc w:val="center"/>
              <w:rPr>
                <w:noProof/>
                <w:sz w:val="18"/>
                <w:szCs w:val="18"/>
                <w:lang w:eastAsia="en-GB"/>
              </w:rPr>
            </w:pPr>
          </w:p>
        </w:tc>
        <w:tc>
          <w:tcPr>
            <w:tcW w:w="432" w:type="dxa"/>
          </w:tcPr>
          <w:p w14:paraId="071D0A06" w14:textId="77777777" w:rsidR="00C87E1E" w:rsidRPr="0018578C" w:rsidRDefault="00C87E1E" w:rsidP="00C87E1E">
            <w:pPr>
              <w:ind w:right="-29"/>
              <w:jc w:val="center"/>
              <w:rPr>
                <w:noProof/>
                <w:sz w:val="18"/>
                <w:szCs w:val="18"/>
                <w:lang w:eastAsia="en-GB"/>
              </w:rPr>
            </w:pPr>
          </w:p>
        </w:tc>
        <w:tc>
          <w:tcPr>
            <w:tcW w:w="720" w:type="dxa"/>
          </w:tcPr>
          <w:p w14:paraId="00162C73" w14:textId="77777777" w:rsidR="00C87E1E" w:rsidRPr="0018578C" w:rsidRDefault="00C87E1E" w:rsidP="00C87E1E">
            <w:pPr>
              <w:ind w:right="-29"/>
              <w:jc w:val="center"/>
              <w:rPr>
                <w:noProof/>
                <w:sz w:val="18"/>
                <w:szCs w:val="18"/>
                <w:lang w:eastAsia="en-GB"/>
              </w:rPr>
            </w:pPr>
          </w:p>
        </w:tc>
        <w:tc>
          <w:tcPr>
            <w:tcW w:w="540" w:type="dxa"/>
          </w:tcPr>
          <w:p w14:paraId="6DB3E7F4" w14:textId="77777777" w:rsidR="00C87E1E" w:rsidRPr="0018578C" w:rsidRDefault="00C87E1E" w:rsidP="00C87E1E">
            <w:pPr>
              <w:ind w:right="-29"/>
              <w:jc w:val="center"/>
              <w:rPr>
                <w:noProof/>
                <w:sz w:val="18"/>
                <w:szCs w:val="18"/>
                <w:lang w:eastAsia="en-GB"/>
              </w:rPr>
            </w:pPr>
          </w:p>
        </w:tc>
        <w:tc>
          <w:tcPr>
            <w:tcW w:w="720" w:type="dxa"/>
          </w:tcPr>
          <w:p w14:paraId="29D673FB" w14:textId="77777777" w:rsidR="00C87E1E" w:rsidRPr="0018578C" w:rsidRDefault="00C87E1E" w:rsidP="00C87E1E">
            <w:pPr>
              <w:ind w:right="-29"/>
              <w:jc w:val="center"/>
              <w:rPr>
                <w:noProof/>
                <w:sz w:val="18"/>
                <w:szCs w:val="18"/>
                <w:lang w:eastAsia="en-GB"/>
              </w:rPr>
            </w:pPr>
          </w:p>
        </w:tc>
        <w:tc>
          <w:tcPr>
            <w:tcW w:w="720" w:type="dxa"/>
          </w:tcPr>
          <w:p w14:paraId="232C1A82" w14:textId="77777777" w:rsidR="00C87E1E" w:rsidRPr="0018578C" w:rsidRDefault="00C87E1E" w:rsidP="00C87E1E">
            <w:pPr>
              <w:ind w:right="-29"/>
              <w:jc w:val="center"/>
              <w:rPr>
                <w:noProof/>
                <w:sz w:val="18"/>
                <w:szCs w:val="18"/>
                <w:lang w:eastAsia="en-GB"/>
              </w:rPr>
            </w:pPr>
          </w:p>
        </w:tc>
        <w:tc>
          <w:tcPr>
            <w:tcW w:w="900" w:type="dxa"/>
          </w:tcPr>
          <w:p w14:paraId="6E01BB26" w14:textId="77777777" w:rsidR="00C87E1E" w:rsidRPr="0018578C" w:rsidRDefault="00C87E1E" w:rsidP="00C87E1E">
            <w:pPr>
              <w:ind w:right="-29"/>
              <w:jc w:val="center"/>
              <w:rPr>
                <w:noProof/>
                <w:sz w:val="18"/>
                <w:szCs w:val="18"/>
                <w:lang w:eastAsia="en-GB"/>
              </w:rPr>
            </w:pPr>
          </w:p>
        </w:tc>
      </w:tr>
      <w:tr w:rsidR="00C87E1E" w:rsidRPr="0018578C" w14:paraId="4C1A5067" w14:textId="77777777" w:rsidTr="00C87E1E">
        <w:trPr>
          <w:trHeight w:val="77"/>
          <w:jc w:val="center"/>
        </w:trPr>
        <w:tc>
          <w:tcPr>
            <w:tcW w:w="2844" w:type="dxa"/>
            <w:gridSpan w:val="3"/>
            <w:tcBorders>
              <w:bottom w:val="single" w:sz="12" w:space="0" w:color="auto"/>
            </w:tcBorders>
            <w:vAlign w:val="center"/>
          </w:tcPr>
          <w:p w14:paraId="6224A1AE" w14:textId="77777777" w:rsidR="00C87E1E" w:rsidRPr="0018578C" w:rsidRDefault="00C87E1E" w:rsidP="00C87E1E">
            <w:pPr>
              <w:ind w:right="-29"/>
              <w:jc w:val="center"/>
              <w:rPr>
                <w:noProof/>
                <w:sz w:val="18"/>
                <w:szCs w:val="18"/>
              </w:rPr>
            </w:pPr>
            <w:r w:rsidRPr="0018578C">
              <w:rPr>
                <w:noProof/>
                <w:sz w:val="18"/>
              </w:rPr>
              <w:t>Totale parziale obiettivo specifico 1</w:t>
            </w:r>
          </w:p>
        </w:tc>
        <w:tc>
          <w:tcPr>
            <w:tcW w:w="504" w:type="dxa"/>
            <w:tcBorders>
              <w:bottom w:val="single" w:sz="12" w:space="0" w:color="auto"/>
            </w:tcBorders>
          </w:tcPr>
          <w:p w14:paraId="325B7690"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79E050CB"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2D887DD3"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684FC7B7"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57AD9CEF"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3A6A546B" w14:textId="77777777" w:rsidR="00C87E1E" w:rsidRPr="0018578C" w:rsidRDefault="00C87E1E" w:rsidP="00C87E1E">
            <w:pPr>
              <w:ind w:right="-29"/>
              <w:jc w:val="center"/>
              <w:rPr>
                <w:noProof/>
                <w:sz w:val="18"/>
                <w:szCs w:val="18"/>
                <w:lang w:eastAsia="en-GB"/>
              </w:rPr>
            </w:pPr>
          </w:p>
        </w:tc>
        <w:tc>
          <w:tcPr>
            <w:tcW w:w="900" w:type="dxa"/>
            <w:tcBorders>
              <w:bottom w:val="single" w:sz="12" w:space="0" w:color="auto"/>
            </w:tcBorders>
          </w:tcPr>
          <w:p w14:paraId="1C354D50" w14:textId="77777777" w:rsidR="00C87E1E" w:rsidRPr="0018578C" w:rsidRDefault="00C87E1E" w:rsidP="00C87E1E">
            <w:pPr>
              <w:ind w:right="-29"/>
              <w:jc w:val="center"/>
              <w:rPr>
                <w:noProof/>
                <w:sz w:val="18"/>
                <w:szCs w:val="18"/>
                <w:lang w:eastAsia="en-GB"/>
              </w:rPr>
            </w:pPr>
          </w:p>
        </w:tc>
        <w:tc>
          <w:tcPr>
            <w:tcW w:w="720" w:type="dxa"/>
            <w:gridSpan w:val="2"/>
            <w:tcBorders>
              <w:bottom w:val="single" w:sz="12" w:space="0" w:color="auto"/>
            </w:tcBorders>
          </w:tcPr>
          <w:p w14:paraId="43E3B1A1"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112256D7" w14:textId="77777777" w:rsidR="00C87E1E" w:rsidRPr="0018578C" w:rsidRDefault="00C87E1E" w:rsidP="00C87E1E">
            <w:pPr>
              <w:ind w:right="-29"/>
              <w:jc w:val="center"/>
              <w:rPr>
                <w:noProof/>
                <w:sz w:val="18"/>
                <w:szCs w:val="18"/>
                <w:lang w:eastAsia="en-GB"/>
              </w:rPr>
            </w:pPr>
          </w:p>
        </w:tc>
        <w:tc>
          <w:tcPr>
            <w:tcW w:w="648" w:type="dxa"/>
            <w:tcBorders>
              <w:bottom w:val="single" w:sz="12" w:space="0" w:color="auto"/>
            </w:tcBorders>
          </w:tcPr>
          <w:p w14:paraId="6D6A386A" w14:textId="77777777" w:rsidR="00C87E1E" w:rsidRPr="0018578C" w:rsidRDefault="00C87E1E" w:rsidP="00C87E1E">
            <w:pPr>
              <w:ind w:right="-29"/>
              <w:jc w:val="center"/>
              <w:rPr>
                <w:noProof/>
                <w:sz w:val="18"/>
                <w:szCs w:val="18"/>
                <w:lang w:eastAsia="en-GB"/>
              </w:rPr>
            </w:pPr>
          </w:p>
        </w:tc>
        <w:tc>
          <w:tcPr>
            <w:tcW w:w="432" w:type="dxa"/>
            <w:tcBorders>
              <w:bottom w:val="single" w:sz="12" w:space="0" w:color="auto"/>
            </w:tcBorders>
          </w:tcPr>
          <w:p w14:paraId="1F033132"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58831A36"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38917BA9"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4041C767"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368B9F6C" w14:textId="77777777" w:rsidR="00C87E1E" w:rsidRPr="0018578C" w:rsidRDefault="00C87E1E" w:rsidP="00C87E1E">
            <w:pPr>
              <w:ind w:right="-29"/>
              <w:jc w:val="center"/>
              <w:rPr>
                <w:noProof/>
                <w:sz w:val="18"/>
                <w:szCs w:val="18"/>
                <w:lang w:eastAsia="en-GB"/>
              </w:rPr>
            </w:pPr>
          </w:p>
        </w:tc>
        <w:tc>
          <w:tcPr>
            <w:tcW w:w="900" w:type="dxa"/>
            <w:tcBorders>
              <w:bottom w:val="single" w:sz="12" w:space="0" w:color="auto"/>
            </w:tcBorders>
          </w:tcPr>
          <w:p w14:paraId="256FC661" w14:textId="77777777" w:rsidR="00C87E1E" w:rsidRPr="0018578C" w:rsidRDefault="00C87E1E" w:rsidP="00C87E1E">
            <w:pPr>
              <w:ind w:right="-29"/>
              <w:jc w:val="center"/>
              <w:rPr>
                <w:noProof/>
                <w:sz w:val="18"/>
                <w:szCs w:val="18"/>
                <w:lang w:eastAsia="en-GB"/>
              </w:rPr>
            </w:pPr>
          </w:p>
        </w:tc>
      </w:tr>
      <w:tr w:rsidR="00C87E1E" w:rsidRPr="0018578C" w14:paraId="23AEC987" w14:textId="77777777" w:rsidTr="00C87E1E">
        <w:trPr>
          <w:jc w:val="center"/>
        </w:trPr>
        <w:tc>
          <w:tcPr>
            <w:tcW w:w="2844" w:type="dxa"/>
            <w:gridSpan w:val="3"/>
            <w:vAlign w:val="center"/>
          </w:tcPr>
          <w:p w14:paraId="288B5F1A" w14:textId="77777777" w:rsidR="00C87E1E" w:rsidRPr="0018578C" w:rsidRDefault="00C87E1E" w:rsidP="00C87E1E">
            <w:pPr>
              <w:spacing w:before="60" w:after="60"/>
              <w:ind w:right="-29"/>
              <w:jc w:val="center"/>
              <w:rPr>
                <w:noProof/>
                <w:sz w:val="18"/>
                <w:szCs w:val="18"/>
              </w:rPr>
            </w:pPr>
            <w:r w:rsidRPr="0018578C">
              <w:rPr>
                <w:noProof/>
                <w:sz w:val="18"/>
              </w:rPr>
              <w:t>OBIETTIVO SPECIFICO 2 …</w:t>
            </w:r>
          </w:p>
        </w:tc>
        <w:tc>
          <w:tcPr>
            <w:tcW w:w="504" w:type="dxa"/>
            <w:tcBorders>
              <w:top w:val="nil"/>
              <w:left w:val="nil"/>
              <w:bottom w:val="nil"/>
              <w:right w:val="nil"/>
            </w:tcBorders>
          </w:tcPr>
          <w:p w14:paraId="05CC4091"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7D59F2B"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2947F9B5"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49435A5D"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37EE71CF"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5190EBBD" w14:textId="77777777" w:rsidR="00C87E1E" w:rsidRPr="0018578C"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3FB08DD3" w14:textId="77777777" w:rsidR="00C87E1E" w:rsidRPr="0018578C" w:rsidRDefault="00C87E1E" w:rsidP="00C87E1E">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733D9B29"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1D7666FD" w14:textId="77777777" w:rsidR="00C87E1E" w:rsidRPr="0018578C" w:rsidRDefault="00C87E1E" w:rsidP="00C87E1E">
            <w:pPr>
              <w:spacing w:before="60" w:after="60"/>
              <w:ind w:right="-29"/>
              <w:jc w:val="center"/>
              <w:rPr>
                <w:noProof/>
                <w:sz w:val="18"/>
                <w:szCs w:val="18"/>
                <w:lang w:eastAsia="en-GB"/>
              </w:rPr>
            </w:pPr>
          </w:p>
        </w:tc>
        <w:tc>
          <w:tcPr>
            <w:tcW w:w="648" w:type="dxa"/>
            <w:tcBorders>
              <w:top w:val="nil"/>
              <w:left w:val="nil"/>
              <w:bottom w:val="nil"/>
              <w:right w:val="nil"/>
            </w:tcBorders>
          </w:tcPr>
          <w:p w14:paraId="6259AB62" w14:textId="77777777" w:rsidR="00C87E1E" w:rsidRPr="0018578C" w:rsidRDefault="00C87E1E" w:rsidP="00C87E1E">
            <w:pPr>
              <w:spacing w:before="60" w:after="60"/>
              <w:ind w:right="-29"/>
              <w:jc w:val="center"/>
              <w:rPr>
                <w:noProof/>
                <w:sz w:val="18"/>
                <w:szCs w:val="18"/>
                <w:lang w:eastAsia="en-GB"/>
              </w:rPr>
            </w:pPr>
          </w:p>
        </w:tc>
        <w:tc>
          <w:tcPr>
            <w:tcW w:w="432" w:type="dxa"/>
            <w:tcBorders>
              <w:top w:val="nil"/>
              <w:left w:val="nil"/>
              <w:bottom w:val="nil"/>
              <w:right w:val="nil"/>
            </w:tcBorders>
          </w:tcPr>
          <w:p w14:paraId="2510C6A3"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0FA1349C" w14:textId="77777777" w:rsidR="00C87E1E" w:rsidRPr="0018578C" w:rsidRDefault="00C87E1E" w:rsidP="00C87E1E">
            <w:pPr>
              <w:spacing w:before="60" w:after="60"/>
              <w:ind w:right="-29"/>
              <w:jc w:val="center"/>
              <w:rPr>
                <w:noProof/>
                <w:sz w:val="18"/>
                <w:szCs w:val="18"/>
                <w:lang w:eastAsia="en-GB"/>
              </w:rPr>
            </w:pPr>
          </w:p>
        </w:tc>
        <w:tc>
          <w:tcPr>
            <w:tcW w:w="540" w:type="dxa"/>
            <w:tcBorders>
              <w:top w:val="nil"/>
              <w:left w:val="nil"/>
              <w:bottom w:val="nil"/>
              <w:right w:val="nil"/>
            </w:tcBorders>
          </w:tcPr>
          <w:p w14:paraId="366BEC89"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55E0F85" w14:textId="77777777" w:rsidR="00C87E1E" w:rsidRPr="0018578C" w:rsidRDefault="00C87E1E" w:rsidP="00C87E1E">
            <w:pPr>
              <w:spacing w:before="60" w:after="60"/>
              <w:ind w:right="-29"/>
              <w:jc w:val="center"/>
              <w:rPr>
                <w:noProof/>
                <w:sz w:val="18"/>
                <w:szCs w:val="18"/>
                <w:lang w:eastAsia="en-GB"/>
              </w:rPr>
            </w:pPr>
          </w:p>
        </w:tc>
        <w:tc>
          <w:tcPr>
            <w:tcW w:w="720" w:type="dxa"/>
            <w:tcBorders>
              <w:top w:val="nil"/>
              <w:left w:val="nil"/>
              <w:bottom w:val="nil"/>
              <w:right w:val="nil"/>
            </w:tcBorders>
          </w:tcPr>
          <w:p w14:paraId="648653A8" w14:textId="77777777" w:rsidR="00C87E1E" w:rsidRPr="0018578C" w:rsidRDefault="00C87E1E" w:rsidP="00C87E1E">
            <w:pPr>
              <w:spacing w:before="60" w:after="60"/>
              <w:ind w:right="-29"/>
              <w:jc w:val="center"/>
              <w:rPr>
                <w:noProof/>
                <w:sz w:val="18"/>
                <w:szCs w:val="18"/>
                <w:lang w:eastAsia="en-GB"/>
              </w:rPr>
            </w:pPr>
          </w:p>
        </w:tc>
        <w:tc>
          <w:tcPr>
            <w:tcW w:w="900" w:type="dxa"/>
            <w:tcBorders>
              <w:top w:val="nil"/>
              <w:left w:val="nil"/>
              <w:bottom w:val="nil"/>
              <w:right w:val="nil"/>
            </w:tcBorders>
          </w:tcPr>
          <w:p w14:paraId="104434EB" w14:textId="77777777" w:rsidR="00C87E1E" w:rsidRPr="0018578C" w:rsidRDefault="00C87E1E" w:rsidP="00C87E1E">
            <w:pPr>
              <w:spacing w:before="60" w:after="60"/>
              <w:ind w:right="-29"/>
              <w:jc w:val="center"/>
              <w:rPr>
                <w:noProof/>
                <w:sz w:val="18"/>
                <w:szCs w:val="18"/>
                <w:lang w:eastAsia="en-GB"/>
              </w:rPr>
            </w:pPr>
          </w:p>
        </w:tc>
      </w:tr>
      <w:tr w:rsidR="00C87E1E" w:rsidRPr="0018578C" w14:paraId="2C76CD03" w14:textId="77777777" w:rsidTr="00C87E1E">
        <w:trPr>
          <w:trHeight w:hRule="exact" w:val="369"/>
          <w:jc w:val="center"/>
        </w:trPr>
        <w:tc>
          <w:tcPr>
            <w:tcW w:w="1423" w:type="dxa"/>
          </w:tcPr>
          <w:p w14:paraId="037615B1" w14:textId="77777777" w:rsidR="00C87E1E" w:rsidRPr="0018578C" w:rsidRDefault="00C87E1E" w:rsidP="00C87E1E">
            <w:pPr>
              <w:ind w:right="-29"/>
              <w:jc w:val="center"/>
              <w:rPr>
                <w:noProof/>
                <w:sz w:val="18"/>
                <w:szCs w:val="18"/>
              </w:rPr>
            </w:pPr>
            <w:r w:rsidRPr="0018578C">
              <w:rPr>
                <w:noProof/>
                <w:sz w:val="18"/>
              </w:rPr>
              <w:t>- Risultato</w:t>
            </w:r>
          </w:p>
        </w:tc>
        <w:tc>
          <w:tcPr>
            <w:tcW w:w="720" w:type="dxa"/>
          </w:tcPr>
          <w:p w14:paraId="642ACC04" w14:textId="77777777" w:rsidR="00C87E1E" w:rsidRPr="0018578C" w:rsidRDefault="00C87E1E" w:rsidP="00C87E1E">
            <w:pPr>
              <w:ind w:right="-29"/>
              <w:jc w:val="center"/>
              <w:rPr>
                <w:noProof/>
                <w:sz w:val="18"/>
                <w:szCs w:val="18"/>
                <w:lang w:eastAsia="en-GB"/>
              </w:rPr>
            </w:pPr>
          </w:p>
        </w:tc>
        <w:tc>
          <w:tcPr>
            <w:tcW w:w="701" w:type="dxa"/>
          </w:tcPr>
          <w:p w14:paraId="58E18F71" w14:textId="77777777" w:rsidR="00C87E1E" w:rsidRPr="0018578C" w:rsidRDefault="00C87E1E" w:rsidP="00C87E1E">
            <w:pPr>
              <w:ind w:right="-29"/>
              <w:jc w:val="center"/>
              <w:rPr>
                <w:noProof/>
                <w:sz w:val="18"/>
                <w:szCs w:val="18"/>
                <w:lang w:eastAsia="en-GB"/>
              </w:rPr>
            </w:pPr>
          </w:p>
        </w:tc>
        <w:tc>
          <w:tcPr>
            <w:tcW w:w="504" w:type="dxa"/>
          </w:tcPr>
          <w:p w14:paraId="6048C1A8" w14:textId="77777777" w:rsidR="00C87E1E" w:rsidRPr="0018578C" w:rsidRDefault="00C87E1E" w:rsidP="00C87E1E">
            <w:pPr>
              <w:ind w:right="-29"/>
              <w:jc w:val="center"/>
              <w:rPr>
                <w:noProof/>
                <w:sz w:val="18"/>
                <w:szCs w:val="18"/>
                <w:lang w:eastAsia="en-GB"/>
              </w:rPr>
            </w:pPr>
          </w:p>
        </w:tc>
        <w:tc>
          <w:tcPr>
            <w:tcW w:w="720" w:type="dxa"/>
          </w:tcPr>
          <w:p w14:paraId="623A418A" w14:textId="77777777" w:rsidR="00C87E1E" w:rsidRPr="0018578C" w:rsidRDefault="00C87E1E" w:rsidP="00C87E1E">
            <w:pPr>
              <w:ind w:right="-29"/>
              <w:jc w:val="center"/>
              <w:rPr>
                <w:noProof/>
                <w:sz w:val="18"/>
                <w:szCs w:val="18"/>
                <w:lang w:eastAsia="en-GB"/>
              </w:rPr>
            </w:pPr>
          </w:p>
        </w:tc>
        <w:tc>
          <w:tcPr>
            <w:tcW w:w="540" w:type="dxa"/>
          </w:tcPr>
          <w:p w14:paraId="6FF14078" w14:textId="77777777" w:rsidR="00C87E1E" w:rsidRPr="0018578C" w:rsidRDefault="00C87E1E" w:rsidP="00C87E1E">
            <w:pPr>
              <w:ind w:right="-29"/>
              <w:jc w:val="center"/>
              <w:rPr>
                <w:noProof/>
                <w:sz w:val="18"/>
                <w:szCs w:val="18"/>
                <w:lang w:eastAsia="en-GB"/>
              </w:rPr>
            </w:pPr>
          </w:p>
        </w:tc>
        <w:tc>
          <w:tcPr>
            <w:tcW w:w="720" w:type="dxa"/>
          </w:tcPr>
          <w:p w14:paraId="154326AB" w14:textId="77777777" w:rsidR="00C87E1E" w:rsidRPr="0018578C" w:rsidRDefault="00C87E1E" w:rsidP="00C87E1E">
            <w:pPr>
              <w:ind w:right="-29"/>
              <w:jc w:val="center"/>
              <w:rPr>
                <w:noProof/>
                <w:sz w:val="18"/>
                <w:szCs w:val="18"/>
                <w:lang w:eastAsia="en-GB"/>
              </w:rPr>
            </w:pPr>
          </w:p>
        </w:tc>
        <w:tc>
          <w:tcPr>
            <w:tcW w:w="720" w:type="dxa"/>
          </w:tcPr>
          <w:p w14:paraId="4C2F3753" w14:textId="77777777" w:rsidR="00C87E1E" w:rsidRPr="0018578C" w:rsidRDefault="00C87E1E" w:rsidP="00C87E1E">
            <w:pPr>
              <w:ind w:right="-29"/>
              <w:jc w:val="center"/>
              <w:rPr>
                <w:noProof/>
                <w:sz w:val="18"/>
                <w:szCs w:val="18"/>
                <w:lang w:eastAsia="en-GB"/>
              </w:rPr>
            </w:pPr>
          </w:p>
        </w:tc>
        <w:tc>
          <w:tcPr>
            <w:tcW w:w="720" w:type="dxa"/>
          </w:tcPr>
          <w:p w14:paraId="4A6A56C0" w14:textId="77777777" w:rsidR="00C87E1E" w:rsidRPr="0018578C" w:rsidRDefault="00C87E1E" w:rsidP="00C87E1E">
            <w:pPr>
              <w:ind w:right="-29"/>
              <w:jc w:val="center"/>
              <w:rPr>
                <w:noProof/>
                <w:sz w:val="18"/>
                <w:szCs w:val="18"/>
                <w:lang w:eastAsia="en-GB"/>
              </w:rPr>
            </w:pPr>
          </w:p>
        </w:tc>
        <w:tc>
          <w:tcPr>
            <w:tcW w:w="900" w:type="dxa"/>
          </w:tcPr>
          <w:p w14:paraId="6C8ED74B" w14:textId="77777777" w:rsidR="00C87E1E" w:rsidRPr="0018578C" w:rsidRDefault="00C87E1E" w:rsidP="00C87E1E">
            <w:pPr>
              <w:ind w:right="-29"/>
              <w:jc w:val="center"/>
              <w:rPr>
                <w:noProof/>
                <w:sz w:val="18"/>
                <w:szCs w:val="18"/>
                <w:lang w:eastAsia="en-GB"/>
              </w:rPr>
            </w:pPr>
          </w:p>
        </w:tc>
        <w:tc>
          <w:tcPr>
            <w:tcW w:w="720" w:type="dxa"/>
            <w:gridSpan w:val="2"/>
          </w:tcPr>
          <w:p w14:paraId="3EE64664" w14:textId="77777777" w:rsidR="00C87E1E" w:rsidRPr="0018578C" w:rsidRDefault="00C87E1E" w:rsidP="00C87E1E">
            <w:pPr>
              <w:ind w:right="-29"/>
              <w:jc w:val="center"/>
              <w:rPr>
                <w:noProof/>
                <w:sz w:val="18"/>
                <w:szCs w:val="18"/>
                <w:lang w:eastAsia="en-GB"/>
              </w:rPr>
            </w:pPr>
          </w:p>
        </w:tc>
        <w:tc>
          <w:tcPr>
            <w:tcW w:w="540" w:type="dxa"/>
          </w:tcPr>
          <w:p w14:paraId="232744C5" w14:textId="77777777" w:rsidR="00C87E1E" w:rsidRPr="0018578C" w:rsidRDefault="00C87E1E" w:rsidP="00C87E1E">
            <w:pPr>
              <w:ind w:right="-29"/>
              <w:jc w:val="center"/>
              <w:rPr>
                <w:noProof/>
                <w:sz w:val="18"/>
                <w:szCs w:val="18"/>
                <w:lang w:eastAsia="en-GB"/>
              </w:rPr>
            </w:pPr>
          </w:p>
        </w:tc>
        <w:tc>
          <w:tcPr>
            <w:tcW w:w="648" w:type="dxa"/>
          </w:tcPr>
          <w:p w14:paraId="3485F642" w14:textId="77777777" w:rsidR="00C87E1E" w:rsidRPr="0018578C" w:rsidRDefault="00C87E1E" w:rsidP="00C87E1E">
            <w:pPr>
              <w:ind w:right="-29"/>
              <w:jc w:val="center"/>
              <w:rPr>
                <w:noProof/>
                <w:sz w:val="18"/>
                <w:szCs w:val="18"/>
                <w:lang w:eastAsia="en-GB"/>
              </w:rPr>
            </w:pPr>
          </w:p>
        </w:tc>
        <w:tc>
          <w:tcPr>
            <w:tcW w:w="432" w:type="dxa"/>
          </w:tcPr>
          <w:p w14:paraId="124520C4" w14:textId="77777777" w:rsidR="00C87E1E" w:rsidRPr="0018578C" w:rsidRDefault="00C87E1E" w:rsidP="00C87E1E">
            <w:pPr>
              <w:ind w:right="-29"/>
              <w:jc w:val="center"/>
              <w:rPr>
                <w:noProof/>
                <w:sz w:val="18"/>
                <w:szCs w:val="18"/>
                <w:lang w:eastAsia="en-GB"/>
              </w:rPr>
            </w:pPr>
          </w:p>
        </w:tc>
        <w:tc>
          <w:tcPr>
            <w:tcW w:w="720" w:type="dxa"/>
          </w:tcPr>
          <w:p w14:paraId="0106AA11" w14:textId="77777777" w:rsidR="00C87E1E" w:rsidRPr="0018578C" w:rsidRDefault="00C87E1E" w:rsidP="00C87E1E">
            <w:pPr>
              <w:ind w:right="-29"/>
              <w:jc w:val="center"/>
              <w:rPr>
                <w:noProof/>
                <w:sz w:val="18"/>
                <w:szCs w:val="18"/>
                <w:lang w:eastAsia="en-GB"/>
              </w:rPr>
            </w:pPr>
          </w:p>
        </w:tc>
        <w:tc>
          <w:tcPr>
            <w:tcW w:w="540" w:type="dxa"/>
          </w:tcPr>
          <w:p w14:paraId="77B6FDC1" w14:textId="77777777" w:rsidR="00C87E1E" w:rsidRPr="0018578C" w:rsidRDefault="00C87E1E" w:rsidP="00C87E1E">
            <w:pPr>
              <w:ind w:right="-29"/>
              <w:jc w:val="center"/>
              <w:rPr>
                <w:noProof/>
                <w:sz w:val="18"/>
                <w:szCs w:val="18"/>
                <w:lang w:eastAsia="en-GB"/>
              </w:rPr>
            </w:pPr>
          </w:p>
        </w:tc>
        <w:tc>
          <w:tcPr>
            <w:tcW w:w="720" w:type="dxa"/>
          </w:tcPr>
          <w:p w14:paraId="4231BC11" w14:textId="77777777" w:rsidR="00C87E1E" w:rsidRPr="0018578C" w:rsidRDefault="00C87E1E" w:rsidP="00C87E1E">
            <w:pPr>
              <w:ind w:right="-29"/>
              <w:jc w:val="center"/>
              <w:rPr>
                <w:noProof/>
                <w:sz w:val="18"/>
                <w:szCs w:val="18"/>
                <w:lang w:eastAsia="en-GB"/>
              </w:rPr>
            </w:pPr>
          </w:p>
        </w:tc>
        <w:tc>
          <w:tcPr>
            <w:tcW w:w="720" w:type="dxa"/>
          </w:tcPr>
          <w:p w14:paraId="0908AD39" w14:textId="77777777" w:rsidR="00C87E1E" w:rsidRPr="0018578C" w:rsidRDefault="00C87E1E" w:rsidP="00C87E1E">
            <w:pPr>
              <w:ind w:right="-29"/>
              <w:jc w:val="center"/>
              <w:rPr>
                <w:noProof/>
                <w:sz w:val="18"/>
                <w:szCs w:val="18"/>
                <w:lang w:eastAsia="en-GB"/>
              </w:rPr>
            </w:pPr>
          </w:p>
        </w:tc>
        <w:tc>
          <w:tcPr>
            <w:tcW w:w="900" w:type="dxa"/>
          </w:tcPr>
          <w:p w14:paraId="2CEA1D67" w14:textId="77777777" w:rsidR="00C87E1E" w:rsidRPr="0018578C" w:rsidRDefault="00C87E1E" w:rsidP="00C87E1E">
            <w:pPr>
              <w:ind w:right="-29"/>
              <w:jc w:val="center"/>
              <w:rPr>
                <w:noProof/>
                <w:sz w:val="18"/>
                <w:szCs w:val="18"/>
                <w:lang w:eastAsia="en-GB"/>
              </w:rPr>
            </w:pPr>
          </w:p>
        </w:tc>
      </w:tr>
      <w:tr w:rsidR="00C87E1E" w:rsidRPr="0018578C" w14:paraId="758E9BD9" w14:textId="77777777" w:rsidTr="00C87E1E">
        <w:trPr>
          <w:jc w:val="center"/>
        </w:trPr>
        <w:tc>
          <w:tcPr>
            <w:tcW w:w="2844" w:type="dxa"/>
            <w:gridSpan w:val="3"/>
            <w:tcBorders>
              <w:bottom w:val="single" w:sz="12" w:space="0" w:color="auto"/>
            </w:tcBorders>
            <w:vAlign w:val="center"/>
          </w:tcPr>
          <w:p w14:paraId="64A3C8B3" w14:textId="77777777" w:rsidR="00C87E1E" w:rsidRPr="0018578C" w:rsidRDefault="00C87E1E" w:rsidP="00C87E1E">
            <w:pPr>
              <w:jc w:val="center"/>
              <w:rPr>
                <w:noProof/>
                <w:sz w:val="18"/>
                <w:szCs w:val="18"/>
              </w:rPr>
            </w:pPr>
            <w:r w:rsidRPr="0018578C">
              <w:rPr>
                <w:noProof/>
                <w:sz w:val="18"/>
              </w:rPr>
              <w:t>Totale parziale obiettivo specifico 2</w:t>
            </w:r>
          </w:p>
        </w:tc>
        <w:tc>
          <w:tcPr>
            <w:tcW w:w="504" w:type="dxa"/>
            <w:tcBorders>
              <w:bottom w:val="single" w:sz="12" w:space="0" w:color="auto"/>
            </w:tcBorders>
          </w:tcPr>
          <w:p w14:paraId="7A576858"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064AF8B3"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0533A0E8"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28B08866"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176D79AA"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5DE1229B" w14:textId="77777777" w:rsidR="00C87E1E" w:rsidRPr="0018578C" w:rsidRDefault="00C87E1E" w:rsidP="00C87E1E">
            <w:pPr>
              <w:ind w:right="-29"/>
              <w:jc w:val="center"/>
              <w:rPr>
                <w:noProof/>
                <w:sz w:val="18"/>
                <w:szCs w:val="18"/>
                <w:lang w:eastAsia="en-GB"/>
              </w:rPr>
            </w:pPr>
          </w:p>
        </w:tc>
        <w:tc>
          <w:tcPr>
            <w:tcW w:w="951" w:type="dxa"/>
            <w:gridSpan w:val="2"/>
            <w:tcBorders>
              <w:bottom w:val="single" w:sz="12" w:space="0" w:color="auto"/>
            </w:tcBorders>
          </w:tcPr>
          <w:p w14:paraId="20F988D3" w14:textId="77777777" w:rsidR="00C87E1E" w:rsidRPr="0018578C" w:rsidRDefault="00C87E1E" w:rsidP="00C87E1E">
            <w:pPr>
              <w:ind w:right="-29"/>
              <w:jc w:val="center"/>
              <w:rPr>
                <w:noProof/>
                <w:sz w:val="18"/>
                <w:szCs w:val="18"/>
                <w:lang w:eastAsia="en-GB"/>
              </w:rPr>
            </w:pPr>
          </w:p>
        </w:tc>
        <w:tc>
          <w:tcPr>
            <w:tcW w:w="669" w:type="dxa"/>
            <w:tcBorders>
              <w:bottom w:val="single" w:sz="12" w:space="0" w:color="auto"/>
            </w:tcBorders>
          </w:tcPr>
          <w:p w14:paraId="2002CB70"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264357CA" w14:textId="77777777" w:rsidR="00C87E1E" w:rsidRPr="0018578C" w:rsidRDefault="00C87E1E" w:rsidP="00C87E1E">
            <w:pPr>
              <w:ind w:right="-29"/>
              <w:jc w:val="center"/>
              <w:rPr>
                <w:noProof/>
                <w:sz w:val="18"/>
                <w:szCs w:val="18"/>
                <w:lang w:eastAsia="en-GB"/>
              </w:rPr>
            </w:pPr>
          </w:p>
        </w:tc>
        <w:tc>
          <w:tcPr>
            <w:tcW w:w="648" w:type="dxa"/>
            <w:tcBorders>
              <w:bottom w:val="single" w:sz="12" w:space="0" w:color="auto"/>
            </w:tcBorders>
          </w:tcPr>
          <w:p w14:paraId="008B9A88" w14:textId="77777777" w:rsidR="00C87E1E" w:rsidRPr="0018578C" w:rsidRDefault="00C87E1E" w:rsidP="00C87E1E">
            <w:pPr>
              <w:ind w:right="-29"/>
              <w:jc w:val="center"/>
              <w:rPr>
                <w:noProof/>
                <w:sz w:val="18"/>
                <w:szCs w:val="18"/>
                <w:lang w:eastAsia="en-GB"/>
              </w:rPr>
            </w:pPr>
          </w:p>
        </w:tc>
        <w:tc>
          <w:tcPr>
            <w:tcW w:w="432" w:type="dxa"/>
            <w:tcBorders>
              <w:bottom w:val="single" w:sz="12" w:space="0" w:color="auto"/>
            </w:tcBorders>
          </w:tcPr>
          <w:p w14:paraId="06B40516"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4333E0E1" w14:textId="77777777" w:rsidR="00C87E1E" w:rsidRPr="0018578C" w:rsidRDefault="00C87E1E" w:rsidP="00C87E1E">
            <w:pPr>
              <w:ind w:right="-29"/>
              <w:jc w:val="center"/>
              <w:rPr>
                <w:noProof/>
                <w:sz w:val="18"/>
                <w:szCs w:val="18"/>
                <w:lang w:eastAsia="en-GB"/>
              </w:rPr>
            </w:pPr>
          </w:p>
        </w:tc>
        <w:tc>
          <w:tcPr>
            <w:tcW w:w="540" w:type="dxa"/>
            <w:tcBorders>
              <w:bottom w:val="single" w:sz="12" w:space="0" w:color="auto"/>
            </w:tcBorders>
          </w:tcPr>
          <w:p w14:paraId="3846EC72"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13E9A556" w14:textId="77777777" w:rsidR="00C87E1E" w:rsidRPr="0018578C" w:rsidRDefault="00C87E1E" w:rsidP="00C87E1E">
            <w:pPr>
              <w:ind w:right="-29"/>
              <w:jc w:val="center"/>
              <w:rPr>
                <w:noProof/>
                <w:sz w:val="18"/>
                <w:szCs w:val="18"/>
                <w:lang w:eastAsia="en-GB"/>
              </w:rPr>
            </w:pPr>
          </w:p>
        </w:tc>
        <w:tc>
          <w:tcPr>
            <w:tcW w:w="720" w:type="dxa"/>
            <w:tcBorders>
              <w:bottom w:val="single" w:sz="12" w:space="0" w:color="auto"/>
            </w:tcBorders>
          </w:tcPr>
          <w:p w14:paraId="05789881" w14:textId="77777777" w:rsidR="00C87E1E" w:rsidRPr="0018578C" w:rsidRDefault="00C87E1E" w:rsidP="00C87E1E">
            <w:pPr>
              <w:ind w:right="-29"/>
              <w:jc w:val="center"/>
              <w:rPr>
                <w:noProof/>
                <w:sz w:val="18"/>
                <w:szCs w:val="18"/>
                <w:lang w:eastAsia="en-GB"/>
              </w:rPr>
            </w:pPr>
          </w:p>
        </w:tc>
        <w:tc>
          <w:tcPr>
            <w:tcW w:w="900" w:type="dxa"/>
            <w:tcBorders>
              <w:bottom w:val="single" w:sz="12" w:space="0" w:color="auto"/>
            </w:tcBorders>
          </w:tcPr>
          <w:p w14:paraId="7E7F528B" w14:textId="77777777" w:rsidR="00C87E1E" w:rsidRPr="0018578C" w:rsidRDefault="00C87E1E" w:rsidP="00C87E1E">
            <w:pPr>
              <w:ind w:right="-29"/>
              <w:jc w:val="center"/>
              <w:rPr>
                <w:noProof/>
                <w:sz w:val="18"/>
                <w:szCs w:val="18"/>
                <w:lang w:eastAsia="en-GB"/>
              </w:rPr>
            </w:pPr>
          </w:p>
        </w:tc>
      </w:tr>
      <w:tr w:rsidR="00C87E1E" w:rsidRPr="0018578C" w14:paraId="7A92B444" w14:textId="77777777" w:rsidTr="00C87E1E">
        <w:trPr>
          <w:jc w:val="center"/>
        </w:trPr>
        <w:tc>
          <w:tcPr>
            <w:tcW w:w="2844" w:type="dxa"/>
            <w:gridSpan w:val="3"/>
            <w:tcBorders>
              <w:top w:val="single" w:sz="12" w:space="0" w:color="auto"/>
              <w:left w:val="single" w:sz="12" w:space="0" w:color="auto"/>
              <w:bottom w:val="single" w:sz="12" w:space="0" w:color="auto"/>
            </w:tcBorders>
            <w:vAlign w:val="center"/>
          </w:tcPr>
          <w:p w14:paraId="7AFDCFAF" w14:textId="77777777" w:rsidR="00C87E1E" w:rsidRPr="0018578C" w:rsidRDefault="00C87E1E" w:rsidP="00C87E1E">
            <w:pPr>
              <w:ind w:right="-29"/>
              <w:jc w:val="center"/>
              <w:rPr>
                <w:noProof/>
                <w:sz w:val="18"/>
                <w:szCs w:val="18"/>
              </w:rPr>
            </w:pPr>
            <w:r w:rsidRPr="0018578C">
              <w:rPr>
                <w:b/>
                <w:noProof/>
                <w:sz w:val="18"/>
              </w:rPr>
              <w:t>TOTALE</w:t>
            </w:r>
          </w:p>
        </w:tc>
        <w:tc>
          <w:tcPr>
            <w:tcW w:w="504" w:type="dxa"/>
            <w:tcBorders>
              <w:top w:val="single" w:sz="12" w:space="0" w:color="auto"/>
              <w:bottom w:val="single" w:sz="12" w:space="0" w:color="auto"/>
            </w:tcBorders>
          </w:tcPr>
          <w:p w14:paraId="76157684"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30708F3B" w14:textId="77777777" w:rsidR="00C87E1E" w:rsidRPr="0018578C"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693385D9"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8A2D79B"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A36463A"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30EEB8" w14:textId="77777777" w:rsidR="00C87E1E" w:rsidRPr="0018578C"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342E5E9" w14:textId="77777777" w:rsidR="00C87E1E" w:rsidRPr="0018578C" w:rsidRDefault="00C87E1E" w:rsidP="00C87E1E">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387ABFB0" w14:textId="77777777" w:rsidR="00C87E1E" w:rsidRPr="0018578C"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8188493" w14:textId="77777777" w:rsidR="00C87E1E" w:rsidRPr="0018578C" w:rsidRDefault="00C87E1E" w:rsidP="00C87E1E">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3FA2F0BE" w14:textId="77777777" w:rsidR="00C87E1E" w:rsidRPr="0018578C" w:rsidRDefault="00C87E1E" w:rsidP="00C87E1E">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68FA6DBB"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6A508E6D" w14:textId="77777777" w:rsidR="00C87E1E" w:rsidRPr="0018578C" w:rsidRDefault="00C87E1E" w:rsidP="00C87E1E">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2F74D03A"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2F6518BD" w14:textId="77777777" w:rsidR="00C87E1E" w:rsidRPr="0018578C" w:rsidRDefault="00C87E1E" w:rsidP="00C87E1E">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472D211" w14:textId="77777777" w:rsidR="00C87E1E" w:rsidRPr="0018578C" w:rsidRDefault="00C87E1E" w:rsidP="00C87E1E">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53F1B3FC" w14:textId="77777777" w:rsidR="00C87E1E" w:rsidRPr="0018578C" w:rsidRDefault="00C87E1E" w:rsidP="00C87E1E">
            <w:pPr>
              <w:spacing w:before="180" w:after="180"/>
              <w:ind w:right="-29"/>
              <w:jc w:val="center"/>
              <w:rPr>
                <w:noProof/>
                <w:sz w:val="18"/>
                <w:szCs w:val="18"/>
                <w:lang w:eastAsia="en-GB"/>
              </w:rPr>
            </w:pPr>
          </w:p>
        </w:tc>
      </w:tr>
    </w:tbl>
    <w:p w14:paraId="691AA038" w14:textId="77777777" w:rsidR="00C87E1E" w:rsidRPr="0018578C" w:rsidRDefault="00C87E1E" w:rsidP="00C87E1E">
      <w:pPr>
        <w:rPr>
          <w:noProof/>
          <w:lang w:eastAsia="en-GB"/>
        </w:rPr>
        <w:sectPr w:rsidR="00C87E1E" w:rsidRPr="0018578C" w:rsidSect="0005544D">
          <w:headerReference w:type="default" r:id="rId16"/>
          <w:footerReference w:type="default" r:id="rId17"/>
          <w:headerReference w:type="first" r:id="rId18"/>
          <w:footerReference w:type="first" r:id="rId19"/>
          <w:pgSz w:w="16840" w:h="11907" w:orient="landscape" w:code="9"/>
          <w:pgMar w:top="1134" w:right="1418" w:bottom="567" w:left="1418" w:header="709" w:footer="709" w:gutter="0"/>
          <w:cols w:space="708"/>
          <w:docGrid w:linePitch="360"/>
        </w:sectPr>
      </w:pPr>
    </w:p>
    <w:p w14:paraId="3D816693" w14:textId="77777777" w:rsidR="00C87E1E" w:rsidRPr="0018578C" w:rsidRDefault="00C87E1E" w:rsidP="00FB18F4">
      <w:pPr>
        <w:keepNext/>
        <w:outlineLvl w:val="2"/>
        <w:rPr>
          <w:rFonts w:eastAsiaTheme="majorEastAsia"/>
          <w:i/>
          <w:noProof/>
          <w:szCs w:val="24"/>
        </w:rPr>
      </w:pPr>
      <w:bookmarkStart w:id="59" w:name="_Toc514938055"/>
      <w:bookmarkStart w:id="60" w:name="_Toc520485054"/>
      <w:r w:rsidRPr="0018578C">
        <w:rPr>
          <w:i/>
          <w:noProof/>
        </w:rPr>
        <w:t>Sintesi dell'incidenza prevista sugli stanziamenti amministrativi</w:t>
      </w:r>
      <w:bookmarkEnd w:id="59"/>
      <w:bookmarkEnd w:id="60"/>
      <w:r w:rsidRPr="0018578C">
        <w:rPr>
          <w:i/>
          <w:noProof/>
        </w:rPr>
        <w:t xml:space="preserve"> </w:t>
      </w:r>
    </w:p>
    <w:p w14:paraId="2848F443" w14:textId="77777777" w:rsidR="00C87E1E" w:rsidRPr="0018578C" w:rsidRDefault="00C87E1E" w:rsidP="00C87E1E">
      <w:pPr>
        <w:tabs>
          <w:tab w:val="num" w:pos="1134"/>
        </w:tabs>
        <w:ind w:left="1134" w:hanging="283"/>
        <w:rPr>
          <w:noProof/>
        </w:rPr>
      </w:pPr>
      <w:r w:rsidRPr="0018578C">
        <w:rPr>
          <w:b/>
          <w:noProof/>
        </w:rPr>
        <w:t>X</w:t>
      </w:r>
      <w:r w:rsidRPr="0018578C">
        <w:rPr>
          <w:noProof/>
        </w:rPr>
        <w:tab/>
        <w:t xml:space="preserve">La proposta/iniziativa non comporta l'utilizzo di stanziamenti amministrativi. </w:t>
      </w:r>
    </w:p>
    <w:p w14:paraId="11CF8689"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La proposta/iniziativa comporta l'utilizzo di stanziamenti amministrativi, come spiegato di seguito:</w:t>
      </w:r>
    </w:p>
    <w:p w14:paraId="6168E13A" w14:textId="77777777" w:rsidR="00C87E1E" w:rsidRPr="0018578C" w:rsidRDefault="00C87E1E" w:rsidP="00C87E1E">
      <w:pPr>
        <w:jc w:val="right"/>
        <w:rPr>
          <w:noProof/>
          <w:sz w:val="20"/>
        </w:rPr>
      </w:pPr>
      <w:r w:rsidRPr="0018578C">
        <w:rPr>
          <w:noProof/>
          <w:sz w:val="20"/>
        </w:rPr>
        <w:t>Mio EUR (al terzo decimale)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87E1E" w:rsidRPr="0018578C" w14:paraId="4586680C" w14:textId="77777777" w:rsidTr="00C87E1E">
        <w:trPr>
          <w:trHeight w:val="585"/>
        </w:trPr>
        <w:tc>
          <w:tcPr>
            <w:tcW w:w="1980" w:type="dxa"/>
          </w:tcPr>
          <w:p w14:paraId="0F955566" w14:textId="77777777" w:rsidR="00C87E1E" w:rsidRPr="0018578C" w:rsidRDefault="00C87E1E" w:rsidP="00C87E1E">
            <w:pPr>
              <w:spacing w:before="60" w:after="60" w:line="200" w:lineRule="exact"/>
              <w:rPr>
                <w:noProof/>
                <w:sz w:val="16"/>
                <w:szCs w:val="16"/>
                <w:lang w:eastAsia="en-GB"/>
              </w:rPr>
            </w:pPr>
          </w:p>
        </w:tc>
        <w:tc>
          <w:tcPr>
            <w:tcW w:w="1080" w:type="dxa"/>
            <w:vAlign w:val="center"/>
          </w:tcPr>
          <w:p w14:paraId="6EF9F009" w14:textId="77777777" w:rsidR="00C87E1E" w:rsidRPr="0018578C" w:rsidRDefault="00C87E1E" w:rsidP="00C87E1E">
            <w:pPr>
              <w:spacing w:before="60" w:after="60" w:line="200" w:lineRule="exact"/>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 xml:space="preserve">N </w:t>
            </w:r>
            <w:r w:rsidRPr="0018578C">
              <w:rPr>
                <w:rStyle w:val="FootnoteReference"/>
                <w:noProof/>
              </w:rPr>
              <w:footnoteReference w:id="28"/>
            </w:r>
          </w:p>
        </w:tc>
        <w:tc>
          <w:tcPr>
            <w:tcW w:w="1080" w:type="dxa"/>
            <w:vAlign w:val="center"/>
          </w:tcPr>
          <w:p w14:paraId="057A7C23" w14:textId="77777777" w:rsidR="00C87E1E" w:rsidRPr="0018578C" w:rsidRDefault="00C87E1E" w:rsidP="00C87E1E">
            <w:pPr>
              <w:spacing w:before="60" w:after="60" w:line="200" w:lineRule="exact"/>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N+1</w:t>
            </w:r>
          </w:p>
        </w:tc>
        <w:tc>
          <w:tcPr>
            <w:tcW w:w="1080" w:type="dxa"/>
            <w:vAlign w:val="center"/>
          </w:tcPr>
          <w:p w14:paraId="46F90FB9" w14:textId="77777777" w:rsidR="00C87E1E" w:rsidRPr="0018578C" w:rsidRDefault="00C87E1E" w:rsidP="00C87E1E">
            <w:pPr>
              <w:spacing w:before="60" w:after="60" w:line="200" w:lineRule="exact"/>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N+2</w:t>
            </w:r>
          </w:p>
        </w:tc>
        <w:tc>
          <w:tcPr>
            <w:tcW w:w="1080" w:type="dxa"/>
            <w:vAlign w:val="center"/>
          </w:tcPr>
          <w:p w14:paraId="5BDD1136" w14:textId="77777777" w:rsidR="00C87E1E" w:rsidRPr="0018578C" w:rsidRDefault="00C87E1E" w:rsidP="00C87E1E">
            <w:pPr>
              <w:spacing w:before="60" w:after="60" w:line="200" w:lineRule="exact"/>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N+3</w:t>
            </w:r>
          </w:p>
        </w:tc>
        <w:tc>
          <w:tcPr>
            <w:tcW w:w="3240" w:type="dxa"/>
            <w:vAlign w:val="center"/>
          </w:tcPr>
          <w:p w14:paraId="4AEA18C3" w14:textId="77777777" w:rsidR="00C87E1E" w:rsidRPr="0018578C" w:rsidRDefault="00C87E1E" w:rsidP="00C87E1E">
            <w:pPr>
              <w:spacing w:line="200" w:lineRule="exact"/>
              <w:jc w:val="center"/>
              <w:rPr>
                <w:b/>
                <w:noProof/>
                <w:sz w:val="16"/>
                <w:szCs w:val="16"/>
              </w:rPr>
            </w:pPr>
            <w:r w:rsidRPr="0018578C">
              <w:rPr>
                <w:noProof/>
                <w:sz w:val="16"/>
              </w:rPr>
              <w:t>Inserire gli anni necessari per evidenziare la durata dell'incidenza (cfr. punto 1.6)</w:t>
            </w:r>
          </w:p>
        </w:tc>
        <w:tc>
          <w:tcPr>
            <w:tcW w:w="1080" w:type="dxa"/>
            <w:vAlign w:val="center"/>
          </w:tcPr>
          <w:p w14:paraId="11C4CA02" w14:textId="77777777" w:rsidR="00C87E1E" w:rsidRPr="0018578C" w:rsidRDefault="00C87E1E" w:rsidP="00C87E1E">
            <w:pPr>
              <w:spacing w:before="60" w:after="60" w:line="200" w:lineRule="exact"/>
              <w:jc w:val="center"/>
              <w:rPr>
                <w:b/>
                <w:noProof/>
                <w:sz w:val="16"/>
                <w:szCs w:val="16"/>
              </w:rPr>
            </w:pPr>
            <w:r w:rsidRPr="0018578C">
              <w:rPr>
                <w:b/>
                <w:noProof/>
                <w:sz w:val="16"/>
              </w:rPr>
              <w:t>TOTALE</w:t>
            </w:r>
          </w:p>
        </w:tc>
      </w:tr>
    </w:tbl>
    <w:p w14:paraId="50526C79" w14:textId="77777777" w:rsidR="00C87E1E" w:rsidRPr="0018578C"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8578C" w14:paraId="7158BEFB" w14:textId="77777777" w:rsidTr="00C87E1E">
        <w:trPr>
          <w:trHeight w:val="585"/>
        </w:trPr>
        <w:tc>
          <w:tcPr>
            <w:tcW w:w="1980" w:type="dxa"/>
            <w:shd w:val="clear" w:color="auto" w:fill="CCCCCC"/>
            <w:vAlign w:val="center"/>
          </w:tcPr>
          <w:p w14:paraId="05184F2D" w14:textId="77777777" w:rsidR="00C87E1E" w:rsidRPr="0018578C" w:rsidRDefault="00C87E1E" w:rsidP="00C87E1E">
            <w:pPr>
              <w:spacing w:before="60" w:after="60" w:line="200" w:lineRule="exact"/>
              <w:jc w:val="center"/>
              <w:rPr>
                <w:b/>
                <w:noProof/>
                <w:sz w:val="16"/>
                <w:szCs w:val="16"/>
              </w:rPr>
            </w:pPr>
            <w:r w:rsidRPr="0018578C">
              <w:rPr>
                <w:b/>
                <w:noProof/>
                <w:sz w:val="16"/>
              </w:rPr>
              <w:t>RUBRICA 7</w:t>
            </w:r>
            <w:r w:rsidRPr="0018578C">
              <w:rPr>
                <w:noProof/>
              </w:rPr>
              <w:t xml:space="preserve"> </w:t>
            </w:r>
            <w:r w:rsidRPr="0018578C">
              <w:rPr>
                <w:noProof/>
              </w:rPr>
              <w:br/>
            </w:r>
            <w:r w:rsidRPr="0018578C">
              <w:rPr>
                <w:b/>
                <w:noProof/>
                <w:sz w:val="16"/>
              </w:rPr>
              <w:t>del quadro finanziario pluriennale</w:t>
            </w:r>
          </w:p>
        </w:tc>
        <w:tc>
          <w:tcPr>
            <w:tcW w:w="1080" w:type="dxa"/>
            <w:vAlign w:val="center"/>
          </w:tcPr>
          <w:p w14:paraId="10A2366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A0F05E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D6371D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1B136B60"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530AF7B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6CF4B3A"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985DF0A"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5FCA5CD8"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7DAAD9F7" w14:textId="77777777" w:rsidTr="00C87E1E">
        <w:trPr>
          <w:trHeight w:val="585"/>
        </w:trPr>
        <w:tc>
          <w:tcPr>
            <w:tcW w:w="1980" w:type="dxa"/>
            <w:vAlign w:val="center"/>
          </w:tcPr>
          <w:p w14:paraId="74A38E54" w14:textId="77777777" w:rsidR="00C87E1E" w:rsidRPr="0018578C" w:rsidRDefault="00C87E1E" w:rsidP="00C87E1E">
            <w:pPr>
              <w:spacing w:before="60" w:after="60" w:line="200" w:lineRule="exact"/>
              <w:ind w:left="72"/>
              <w:jc w:val="left"/>
              <w:rPr>
                <w:noProof/>
                <w:sz w:val="16"/>
                <w:szCs w:val="16"/>
              </w:rPr>
            </w:pPr>
            <w:r w:rsidRPr="0018578C">
              <w:rPr>
                <w:noProof/>
                <w:sz w:val="16"/>
              </w:rPr>
              <w:t xml:space="preserve">Risorse umane </w:t>
            </w:r>
          </w:p>
        </w:tc>
        <w:tc>
          <w:tcPr>
            <w:tcW w:w="1080" w:type="dxa"/>
            <w:vAlign w:val="center"/>
          </w:tcPr>
          <w:p w14:paraId="41982321"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4887126"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1696F36"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4DC2B21"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D6F79E3"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8A3EA2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535AE190"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608C33C4"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29EBE6C0" w14:textId="77777777" w:rsidTr="00C87E1E">
        <w:trPr>
          <w:trHeight w:val="585"/>
        </w:trPr>
        <w:tc>
          <w:tcPr>
            <w:tcW w:w="1980" w:type="dxa"/>
            <w:vAlign w:val="center"/>
          </w:tcPr>
          <w:p w14:paraId="1E78CAEC" w14:textId="77777777" w:rsidR="00C87E1E" w:rsidRPr="0018578C" w:rsidRDefault="00C87E1E" w:rsidP="00C87E1E">
            <w:pPr>
              <w:spacing w:before="60" w:after="60" w:line="200" w:lineRule="exact"/>
              <w:ind w:left="72"/>
              <w:jc w:val="left"/>
              <w:rPr>
                <w:noProof/>
                <w:sz w:val="16"/>
                <w:szCs w:val="16"/>
              </w:rPr>
            </w:pPr>
            <w:r w:rsidRPr="0018578C">
              <w:rPr>
                <w:noProof/>
                <w:sz w:val="16"/>
              </w:rPr>
              <w:t xml:space="preserve">Altre spese amministrative </w:t>
            </w:r>
          </w:p>
        </w:tc>
        <w:tc>
          <w:tcPr>
            <w:tcW w:w="1080" w:type="dxa"/>
            <w:vAlign w:val="center"/>
          </w:tcPr>
          <w:p w14:paraId="1B0D92A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2C0F9F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0429A59"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62840E4"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114E4EB6"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42E547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06B237D"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293D261D"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33049B8D" w14:textId="77777777" w:rsidTr="00C87E1E">
        <w:trPr>
          <w:trHeight w:val="585"/>
        </w:trPr>
        <w:tc>
          <w:tcPr>
            <w:tcW w:w="1980" w:type="dxa"/>
            <w:shd w:val="clear" w:color="auto" w:fill="CCCCCC"/>
            <w:vAlign w:val="center"/>
          </w:tcPr>
          <w:p w14:paraId="5A002C47" w14:textId="77777777" w:rsidR="00C87E1E" w:rsidRPr="0018578C" w:rsidRDefault="00C87E1E" w:rsidP="00C87E1E">
            <w:pPr>
              <w:spacing w:before="60" w:after="60" w:line="200" w:lineRule="exact"/>
              <w:jc w:val="center"/>
              <w:rPr>
                <w:b/>
                <w:noProof/>
                <w:sz w:val="16"/>
                <w:szCs w:val="16"/>
              </w:rPr>
            </w:pPr>
            <w:r w:rsidRPr="0018578C">
              <w:rPr>
                <w:b/>
                <w:noProof/>
                <w:sz w:val="16"/>
              </w:rPr>
              <w:t>Totale parziale RUBRICA 7</w:t>
            </w:r>
            <w:r w:rsidRPr="0018578C">
              <w:rPr>
                <w:noProof/>
              </w:rPr>
              <w:t xml:space="preserve"> </w:t>
            </w:r>
            <w:r w:rsidRPr="0018578C">
              <w:rPr>
                <w:noProof/>
              </w:rPr>
              <w:br/>
            </w:r>
            <w:r w:rsidRPr="0018578C">
              <w:rPr>
                <w:b/>
                <w:noProof/>
                <w:sz w:val="16"/>
              </w:rPr>
              <w:t xml:space="preserve">del quadro finanziario pluriennale </w:t>
            </w:r>
          </w:p>
        </w:tc>
        <w:tc>
          <w:tcPr>
            <w:tcW w:w="1080" w:type="dxa"/>
            <w:vAlign w:val="center"/>
          </w:tcPr>
          <w:p w14:paraId="53AF7DCA"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E799663"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98B0BE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1655C3F7"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34BA309"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7BA74F9"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7265318"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644E8301" w14:textId="77777777" w:rsidR="00C87E1E" w:rsidRPr="0018578C" w:rsidRDefault="00C87E1E" w:rsidP="00C87E1E">
            <w:pPr>
              <w:spacing w:before="60" w:after="60" w:line="200" w:lineRule="exact"/>
              <w:jc w:val="right"/>
              <w:rPr>
                <w:b/>
                <w:noProof/>
                <w:sz w:val="16"/>
                <w:szCs w:val="16"/>
                <w:lang w:eastAsia="en-GB"/>
              </w:rPr>
            </w:pPr>
          </w:p>
        </w:tc>
      </w:tr>
    </w:tbl>
    <w:p w14:paraId="52D03010" w14:textId="77777777" w:rsidR="00C87E1E" w:rsidRPr="0018578C" w:rsidRDefault="00C87E1E" w:rsidP="00C87E1E">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8578C" w14:paraId="2C5DBB55" w14:textId="77777777" w:rsidTr="00C87E1E">
        <w:trPr>
          <w:trHeight w:val="585"/>
        </w:trPr>
        <w:tc>
          <w:tcPr>
            <w:tcW w:w="1980" w:type="dxa"/>
            <w:shd w:val="clear" w:color="auto" w:fill="CCCCCC"/>
            <w:vAlign w:val="center"/>
          </w:tcPr>
          <w:p w14:paraId="17D0A65D" w14:textId="77777777" w:rsidR="00C87E1E" w:rsidRPr="0018578C" w:rsidRDefault="00C87E1E" w:rsidP="00C87E1E">
            <w:pPr>
              <w:spacing w:before="60" w:after="60" w:line="200" w:lineRule="exact"/>
              <w:jc w:val="center"/>
              <w:rPr>
                <w:noProof/>
                <w:sz w:val="16"/>
                <w:szCs w:val="16"/>
              </w:rPr>
            </w:pPr>
            <w:r w:rsidRPr="0018578C">
              <w:rPr>
                <w:b/>
                <w:noProof/>
                <w:sz w:val="16"/>
              </w:rPr>
              <w:t>Esclusa la RUBRICA 7</w:t>
            </w:r>
            <w:r w:rsidRPr="0018578C">
              <w:rPr>
                <w:rStyle w:val="FootnoteReference"/>
                <w:noProof/>
              </w:rPr>
              <w:footnoteReference w:id="29"/>
            </w:r>
            <w:r w:rsidRPr="0018578C">
              <w:rPr>
                <w:noProof/>
              </w:rPr>
              <w:t xml:space="preserve"> </w:t>
            </w:r>
            <w:r w:rsidRPr="0018578C">
              <w:rPr>
                <w:noProof/>
              </w:rPr>
              <w:br/>
            </w:r>
            <w:r w:rsidRPr="0018578C">
              <w:rPr>
                <w:b/>
                <w:noProof/>
                <w:sz w:val="16"/>
              </w:rPr>
              <w:t xml:space="preserve">del quadro finanziario pluriennale </w:t>
            </w:r>
          </w:p>
          <w:p w14:paraId="3A8AFB60" w14:textId="77777777" w:rsidR="00C87E1E" w:rsidRPr="0018578C" w:rsidRDefault="00C87E1E" w:rsidP="00C87E1E">
            <w:pPr>
              <w:spacing w:before="0" w:after="0" w:line="200" w:lineRule="exact"/>
              <w:jc w:val="center"/>
              <w:rPr>
                <w:b/>
                <w:noProof/>
                <w:sz w:val="16"/>
                <w:szCs w:val="16"/>
                <w:lang w:eastAsia="en-GB"/>
              </w:rPr>
            </w:pPr>
          </w:p>
        </w:tc>
        <w:tc>
          <w:tcPr>
            <w:tcW w:w="1080" w:type="dxa"/>
            <w:vAlign w:val="center"/>
          </w:tcPr>
          <w:p w14:paraId="00DA778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582948B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2D79549"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386D9AC"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759989D"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5340A5E9"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229C48B"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4765EDB9"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7EAADBBF" w14:textId="77777777" w:rsidTr="00C87E1E">
        <w:trPr>
          <w:trHeight w:val="585"/>
        </w:trPr>
        <w:tc>
          <w:tcPr>
            <w:tcW w:w="1980" w:type="dxa"/>
            <w:vAlign w:val="center"/>
          </w:tcPr>
          <w:p w14:paraId="22E87FA7" w14:textId="77777777" w:rsidR="00C87E1E" w:rsidRPr="0018578C" w:rsidRDefault="00C87E1E" w:rsidP="00C87E1E">
            <w:pPr>
              <w:spacing w:before="60" w:after="60" w:line="200" w:lineRule="exact"/>
              <w:ind w:left="72"/>
              <w:jc w:val="left"/>
              <w:rPr>
                <w:noProof/>
                <w:sz w:val="16"/>
                <w:szCs w:val="16"/>
              </w:rPr>
            </w:pPr>
            <w:r w:rsidRPr="0018578C">
              <w:rPr>
                <w:noProof/>
                <w:sz w:val="16"/>
              </w:rPr>
              <w:t xml:space="preserve">Risorse umane </w:t>
            </w:r>
          </w:p>
        </w:tc>
        <w:tc>
          <w:tcPr>
            <w:tcW w:w="1080" w:type="dxa"/>
            <w:vAlign w:val="center"/>
          </w:tcPr>
          <w:p w14:paraId="4C75DFFE"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11EE132"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8B237C4"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8125D07"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2387B514"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283A8A72"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8DE0A82"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294607ED"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72D4ECB6" w14:textId="77777777" w:rsidTr="00C87E1E">
        <w:trPr>
          <w:trHeight w:val="585"/>
        </w:trPr>
        <w:tc>
          <w:tcPr>
            <w:tcW w:w="1980" w:type="dxa"/>
            <w:vAlign w:val="center"/>
          </w:tcPr>
          <w:p w14:paraId="7BBD279E" w14:textId="77777777" w:rsidR="00C87E1E" w:rsidRPr="0018578C" w:rsidRDefault="00C87E1E" w:rsidP="00C87E1E">
            <w:pPr>
              <w:spacing w:before="60" w:after="60" w:line="200" w:lineRule="exact"/>
              <w:ind w:left="72"/>
              <w:jc w:val="left"/>
              <w:rPr>
                <w:noProof/>
                <w:sz w:val="16"/>
                <w:szCs w:val="16"/>
              </w:rPr>
            </w:pPr>
            <w:r w:rsidRPr="0018578C">
              <w:rPr>
                <w:noProof/>
                <w:sz w:val="16"/>
              </w:rPr>
              <w:t>Altre spese</w:t>
            </w:r>
            <w:r w:rsidRPr="0018578C">
              <w:rPr>
                <w:noProof/>
              </w:rPr>
              <w:t xml:space="preserve"> </w:t>
            </w:r>
            <w:r w:rsidRPr="0018578C">
              <w:rPr>
                <w:noProof/>
              </w:rPr>
              <w:br/>
            </w:r>
            <w:r w:rsidRPr="0018578C">
              <w:rPr>
                <w:noProof/>
                <w:sz w:val="16"/>
              </w:rPr>
              <w:t>amministrative</w:t>
            </w:r>
          </w:p>
        </w:tc>
        <w:tc>
          <w:tcPr>
            <w:tcW w:w="1080" w:type="dxa"/>
            <w:vAlign w:val="center"/>
          </w:tcPr>
          <w:p w14:paraId="22A5D4B5"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4EDDE46B"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190AD5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1656E5F5"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1EC0AB71"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07DD3CF"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56338A29"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12481832" w14:textId="77777777" w:rsidR="00C87E1E" w:rsidRPr="0018578C" w:rsidRDefault="00C87E1E" w:rsidP="00C87E1E">
            <w:pPr>
              <w:spacing w:before="60" w:after="60" w:line="200" w:lineRule="exact"/>
              <w:jc w:val="right"/>
              <w:rPr>
                <w:b/>
                <w:noProof/>
                <w:sz w:val="16"/>
                <w:szCs w:val="16"/>
                <w:lang w:eastAsia="en-GB"/>
              </w:rPr>
            </w:pPr>
          </w:p>
        </w:tc>
      </w:tr>
      <w:tr w:rsidR="00C87E1E" w:rsidRPr="0018578C" w14:paraId="36647698" w14:textId="77777777" w:rsidTr="00C87E1E">
        <w:trPr>
          <w:trHeight w:val="585"/>
        </w:trPr>
        <w:tc>
          <w:tcPr>
            <w:tcW w:w="1980" w:type="dxa"/>
            <w:shd w:val="clear" w:color="auto" w:fill="CCCCCC"/>
            <w:vAlign w:val="center"/>
          </w:tcPr>
          <w:p w14:paraId="6D89E4F2" w14:textId="77777777" w:rsidR="00C87E1E" w:rsidRPr="0018578C" w:rsidRDefault="00C87E1E" w:rsidP="00C87E1E">
            <w:pPr>
              <w:spacing w:before="60" w:after="60" w:line="200" w:lineRule="exact"/>
              <w:jc w:val="center"/>
              <w:rPr>
                <w:b/>
                <w:noProof/>
                <w:sz w:val="16"/>
                <w:szCs w:val="16"/>
              </w:rPr>
            </w:pPr>
            <w:r w:rsidRPr="0018578C">
              <w:rPr>
                <w:b/>
                <w:noProof/>
                <w:sz w:val="16"/>
              </w:rPr>
              <w:t>Totale parziale</w:t>
            </w:r>
            <w:r w:rsidRPr="0018578C">
              <w:rPr>
                <w:noProof/>
              </w:rPr>
              <w:t xml:space="preserve"> </w:t>
            </w:r>
            <w:r w:rsidRPr="0018578C">
              <w:rPr>
                <w:noProof/>
              </w:rPr>
              <w:br/>
            </w:r>
            <w:r w:rsidRPr="0018578C">
              <w:rPr>
                <w:b/>
                <w:noProof/>
                <w:sz w:val="16"/>
              </w:rPr>
              <w:t>esclusa la RUBRICA 7</w:t>
            </w:r>
            <w:r w:rsidRPr="0018578C">
              <w:rPr>
                <w:noProof/>
              </w:rPr>
              <w:t xml:space="preserve"> </w:t>
            </w:r>
            <w:r w:rsidRPr="0018578C">
              <w:rPr>
                <w:noProof/>
              </w:rPr>
              <w:br/>
            </w:r>
            <w:r w:rsidRPr="0018578C">
              <w:rPr>
                <w:b/>
                <w:noProof/>
                <w:sz w:val="16"/>
              </w:rPr>
              <w:t xml:space="preserve">del quadro finanziario pluriennale </w:t>
            </w:r>
          </w:p>
        </w:tc>
        <w:tc>
          <w:tcPr>
            <w:tcW w:w="1080" w:type="dxa"/>
            <w:vAlign w:val="center"/>
          </w:tcPr>
          <w:p w14:paraId="5E21083B"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445A410"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EB3D17A"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03782318"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32E7073E"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640D9FDA" w14:textId="77777777" w:rsidR="00C87E1E" w:rsidRPr="0018578C" w:rsidRDefault="00C87E1E" w:rsidP="00C87E1E">
            <w:pPr>
              <w:spacing w:before="60" w:after="60" w:line="200" w:lineRule="exact"/>
              <w:jc w:val="right"/>
              <w:rPr>
                <w:noProof/>
                <w:sz w:val="16"/>
                <w:szCs w:val="16"/>
                <w:lang w:eastAsia="en-GB"/>
              </w:rPr>
            </w:pPr>
          </w:p>
        </w:tc>
        <w:tc>
          <w:tcPr>
            <w:tcW w:w="1080" w:type="dxa"/>
            <w:vAlign w:val="center"/>
          </w:tcPr>
          <w:p w14:paraId="79BA4F39" w14:textId="77777777" w:rsidR="00C87E1E" w:rsidRPr="0018578C" w:rsidRDefault="00C87E1E" w:rsidP="00C87E1E">
            <w:pPr>
              <w:spacing w:before="60" w:after="60" w:line="200" w:lineRule="exact"/>
              <w:jc w:val="right"/>
              <w:rPr>
                <w:b/>
                <w:noProof/>
                <w:sz w:val="16"/>
                <w:szCs w:val="16"/>
                <w:lang w:eastAsia="en-GB"/>
              </w:rPr>
            </w:pPr>
          </w:p>
        </w:tc>
        <w:tc>
          <w:tcPr>
            <w:tcW w:w="1080" w:type="dxa"/>
            <w:vAlign w:val="center"/>
          </w:tcPr>
          <w:p w14:paraId="7B7E4686" w14:textId="77777777" w:rsidR="00C87E1E" w:rsidRPr="0018578C" w:rsidRDefault="00C87E1E" w:rsidP="00C87E1E">
            <w:pPr>
              <w:spacing w:before="60" w:after="60" w:line="200" w:lineRule="exact"/>
              <w:jc w:val="right"/>
              <w:rPr>
                <w:b/>
                <w:noProof/>
                <w:sz w:val="16"/>
                <w:szCs w:val="16"/>
                <w:lang w:eastAsia="en-GB"/>
              </w:rPr>
            </w:pPr>
          </w:p>
        </w:tc>
      </w:tr>
    </w:tbl>
    <w:p w14:paraId="47267F0F" w14:textId="77777777" w:rsidR="00C87E1E" w:rsidRPr="0018578C" w:rsidRDefault="00C87E1E" w:rsidP="00C87E1E">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87E1E" w:rsidRPr="0018578C" w14:paraId="3FF384DC" w14:textId="77777777" w:rsidTr="00C87E1E">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AE5341F" w14:textId="77777777" w:rsidR="00C87E1E" w:rsidRPr="0018578C" w:rsidRDefault="00C87E1E" w:rsidP="00C87E1E">
            <w:pPr>
              <w:spacing w:before="60" w:after="60" w:line="200" w:lineRule="exact"/>
              <w:jc w:val="center"/>
              <w:rPr>
                <w:noProof/>
                <w:sz w:val="16"/>
                <w:szCs w:val="16"/>
              </w:rPr>
            </w:pPr>
            <w:r w:rsidRPr="0018578C">
              <w:rPr>
                <w:b/>
                <w:noProof/>
                <w:sz w:val="16"/>
              </w:rPr>
              <w:t>TOTALE</w:t>
            </w:r>
          </w:p>
        </w:tc>
        <w:tc>
          <w:tcPr>
            <w:tcW w:w="1080" w:type="dxa"/>
            <w:tcBorders>
              <w:top w:val="single" w:sz="12" w:space="0" w:color="auto"/>
              <w:left w:val="single" w:sz="2" w:space="0" w:color="auto"/>
              <w:bottom w:val="single" w:sz="12" w:space="0" w:color="auto"/>
              <w:right w:val="single" w:sz="2" w:space="0" w:color="auto"/>
            </w:tcBorders>
            <w:vAlign w:val="center"/>
          </w:tcPr>
          <w:p w14:paraId="360D62A7"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3A8E6EE5"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054112F3"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C8099E5"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5C9CA0B6"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7FCE3AA2"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14:paraId="25AC54DC" w14:textId="77777777" w:rsidR="00C87E1E" w:rsidRPr="0018578C" w:rsidRDefault="00C87E1E" w:rsidP="00C87E1E">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14:paraId="5F404713" w14:textId="77777777" w:rsidR="00C87E1E" w:rsidRPr="0018578C" w:rsidRDefault="00C87E1E" w:rsidP="00C87E1E">
            <w:pPr>
              <w:spacing w:before="60" w:after="60" w:line="200" w:lineRule="exact"/>
              <w:jc w:val="right"/>
              <w:rPr>
                <w:b/>
                <w:noProof/>
                <w:sz w:val="16"/>
                <w:szCs w:val="16"/>
                <w:lang w:eastAsia="en-GB"/>
              </w:rPr>
            </w:pPr>
          </w:p>
        </w:tc>
      </w:tr>
    </w:tbl>
    <w:p w14:paraId="7C3CC768" w14:textId="77777777" w:rsidR="00C87E1E" w:rsidRPr="0018578C" w:rsidRDefault="00C87E1E" w:rsidP="00C87E1E">
      <w:pPr>
        <w:rPr>
          <w:noProof/>
          <w:sz w:val="18"/>
        </w:rPr>
      </w:pPr>
      <w:r w:rsidRPr="0018578C">
        <w:rPr>
          <w:noProof/>
          <w:sz w:val="18"/>
        </w:rPr>
        <w:t>Il fabbisogno di stanziamenti relativi alle risorse umane e alle altre spese amministrative è coperto dagli stanziamenti della DG già assegnati alla gestione dell'azione e/o riassegnati all'interno della stessa DG, integrati dall'eventuale dotazione supplementare concessa alla DG responsabile nell'ambito della procedura annuale di assegnazione, tenendo conto dei vincoli di bilancio.</w:t>
      </w:r>
    </w:p>
    <w:p w14:paraId="42BAD8AB" w14:textId="77777777" w:rsidR="00C87E1E" w:rsidRPr="0018578C" w:rsidRDefault="00C87E1E" w:rsidP="00C87E1E">
      <w:pPr>
        <w:rPr>
          <w:noProof/>
          <w:sz w:val="18"/>
          <w:lang w:eastAsia="en-GB"/>
        </w:rPr>
        <w:sectPr w:rsidR="00C87E1E" w:rsidRPr="0018578C" w:rsidSect="0005544D">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14:paraId="1516E394" w14:textId="77777777" w:rsidR="00C87E1E" w:rsidRPr="0018578C" w:rsidRDefault="00C87E1E" w:rsidP="00FB18F4">
      <w:pPr>
        <w:keepNext/>
        <w:outlineLvl w:val="3"/>
        <w:rPr>
          <w:rFonts w:eastAsiaTheme="majorEastAsia"/>
          <w:iCs/>
          <w:noProof/>
          <w:szCs w:val="24"/>
        </w:rPr>
      </w:pPr>
      <w:r w:rsidRPr="0018578C">
        <w:rPr>
          <w:noProof/>
        </w:rPr>
        <w:t xml:space="preserve">Fabbisogno previsto di risorse umane </w:t>
      </w:r>
    </w:p>
    <w:p w14:paraId="2A2554DF" w14:textId="77777777" w:rsidR="00C87E1E" w:rsidRPr="0018578C" w:rsidRDefault="00C87E1E" w:rsidP="00C87E1E">
      <w:pPr>
        <w:tabs>
          <w:tab w:val="num" w:pos="1134"/>
        </w:tabs>
        <w:ind w:left="1134" w:hanging="283"/>
        <w:rPr>
          <w:noProof/>
        </w:rPr>
      </w:pPr>
      <w:r w:rsidRPr="0018578C">
        <w:rPr>
          <w:b/>
          <w:noProof/>
        </w:rPr>
        <w:t>X</w:t>
      </w:r>
      <w:r w:rsidRPr="0018578C">
        <w:rPr>
          <w:noProof/>
        </w:rPr>
        <w:tab/>
        <w:t xml:space="preserve">La proposta/iniziativa non comporta l'utilizzo di risorse umane. </w:t>
      </w:r>
    </w:p>
    <w:p w14:paraId="7535BA03"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La proposta/iniziativa comporta l'utilizzo di risorse umane, come spiegato di seguito:</w:t>
      </w:r>
    </w:p>
    <w:p w14:paraId="292DFE7A" w14:textId="77777777" w:rsidR="00C87E1E" w:rsidRPr="0018578C" w:rsidRDefault="00C87E1E" w:rsidP="00C87E1E">
      <w:pPr>
        <w:spacing w:after="60"/>
        <w:jc w:val="right"/>
        <w:rPr>
          <w:i/>
          <w:noProof/>
          <w:sz w:val="20"/>
        </w:rPr>
      </w:pPr>
      <w:r w:rsidRPr="0018578C">
        <w:rPr>
          <w:i/>
          <w:noProof/>
          <w:sz w:val="20"/>
        </w:rPr>
        <w:t>Stima da esprimere in equivalenti a tempo pieno</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87E1E" w:rsidRPr="0018578C" w14:paraId="6846498E" w14:textId="77777777" w:rsidTr="00C87E1E">
        <w:trPr>
          <w:gridBefore w:val="1"/>
          <w:wBefore w:w="15" w:type="dxa"/>
          <w:trHeight w:val="289"/>
          <w:jc w:val="center"/>
        </w:trPr>
        <w:tc>
          <w:tcPr>
            <w:tcW w:w="4754" w:type="dxa"/>
            <w:gridSpan w:val="2"/>
            <w:shd w:val="clear" w:color="auto" w:fill="auto"/>
          </w:tcPr>
          <w:p w14:paraId="64884BAF" w14:textId="77777777" w:rsidR="00C87E1E" w:rsidRPr="0018578C" w:rsidRDefault="00C87E1E" w:rsidP="00362810">
            <w:pPr>
              <w:numPr>
                <w:ilvl w:val="0"/>
                <w:numId w:val="10"/>
              </w:numPr>
              <w:tabs>
                <w:tab w:val="clear" w:pos="1134"/>
                <w:tab w:val="num" w:pos="360"/>
              </w:tabs>
              <w:spacing w:before="40" w:after="40"/>
              <w:ind w:left="0" w:firstLine="0"/>
              <w:jc w:val="center"/>
              <w:rPr>
                <w:i/>
                <w:noProof/>
                <w:sz w:val="16"/>
                <w:szCs w:val="16"/>
                <w:lang w:eastAsia="en-GB"/>
              </w:rPr>
            </w:pPr>
          </w:p>
        </w:tc>
        <w:tc>
          <w:tcPr>
            <w:tcW w:w="731" w:type="dxa"/>
            <w:shd w:val="clear" w:color="auto" w:fill="auto"/>
            <w:vAlign w:val="center"/>
          </w:tcPr>
          <w:p w14:paraId="5BCC6FB5" w14:textId="77777777" w:rsidR="00C87E1E" w:rsidRPr="0018578C" w:rsidRDefault="00C87E1E" w:rsidP="00C87E1E">
            <w:pPr>
              <w:spacing w:before="20" w:after="20"/>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N</w:t>
            </w:r>
          </w:p>
        </w:tc>
        <w:tc>
          <w:tcPr>
            <w:tcW w:w="731" w:type="dxa"/>
            <w:shd w:val="clear" w:color="auto" w:fill="auto"/>
            <w:vAlign w:val="center"/>
          </w:tcPr>
          <w:p w14:paraId="4CE66B9D" w14:textId="77777777" w:rsidR="00C87E1E" w:rsidRPr="0018578C" w:rsidRDefault="00C87E1E" w:rsidP="00C87E1E">
            <w:pPr>
              <w:spacing w:before="20" w:after="20"/>
              <w:jc w:val="center"/>
              <w:rPr>
                <w:noProof/>
                <w:sz w:val="16"/>
                <w:szCs w:val="16"/>
              </w:rPr>
            </w:pPr>
            <w:r w:rsidRPr="0018578C">
              <w:rPr>
                <w:noProof/>
                <w:sz w:val="16"/>
              </w:rPr>
              <w:t>Anno</w:t>
            </w:r>
            <w:r w:rsidRPr="0018578C">
              <w:rPr>
                <w:noProof/>
              </w:rPr>
              <w:t xml:space="preserve"> </w:t>
            </w:r>
            <w:r w:rsidRPr="0018578C">
              <w:rPr>
                <w:noProof/>
              </w:rPr>
              <w:br/>
            </w:r>
            <w:r w:rsidRPr="0018578C">
              <w:rPr>
                <w:b/>
                <w:noProof/>
                <w:sz w:val="16"/>
              </w:rPr>
              <w:t>N+1</w:t>
            </w:r>
          </w:p>
        </w:tc>
        <w:tc>
          <w:tcPr>
            <w:tcW w:w="731" w:type="dxa"/>
            <w:shd w:val="clear" w:color="auto" w:fill="auto"/>
            <w:vAlign w:val="center"/>
          </w:tcPr>
          <w:p w14:paraId="3EBB3F5A" w14:textId="77777777" w:rsidR="00C87E1E" w:rsidRPr="0018578C" w:rsidRDefault="00C87E1E" w:rsidP="00C87E1E">
            <w:pPr>
              <w:spacing w:before="20" w:after="20"/>
              <w:jc w:val="center"/>
              <w:rPr>
                <w:noProof/>
                <w:sz w:val="16"/>
                <w:szCs w:val="16"/>
              </w:rPr>
            </w:pPr>
            <w:r w:rsidRPr="0018578C">
              <w:rPr>
                <w:noProof/>
                <w:sz w:val="16"/>
              </w:rPr>
              <w:t xml:space="preserve">Anno </w:t>
            </w:r>
            <w:r w:rsidRPr="0018578C">
              <w:rPr>
                <w:b/>
                <w:noProof/>
                <w:sz w:val="16"/>
              </w:rPr>
              <w:t>N+2</w:t>
            </w:r>
          </w:p>
        </w:tc>
        <w:tc>
          <w:tcPr>
            <w:tcW w:w="731" w:type="dxa"/>
            <w:shd w:val="clear" w:color="auto" w:fill="auto"/>
            <w:vAlign w:val="center"/>
          </w:tcPr>
          <w:p w14:paraId="307A26F4" w14:textId="77777777" w:rsidR="00C87E1E" w:rsidRPr="0018578C" w:rsidRDefault="00C87E1E" w:rsidP="00C87E1E">
            <w:pPr>
              <w:spacing w:before="20" w:after="20"/>
              <w:jc w:val="center"/>
              <w:rPr>
                <w:noProof/>
                <w:sz w:val="16"/>
                <w:szCs w:val="16"/>
              </w:rPr>
            </w:pPr>
            <w:r w:rsidRPr="0018578C">
              <w:rPr>
                <w:noProof/>
                <w:sz w:val="16"/>
              </w:rPr>
              <w:t xml:space="preserve">Anno </w:t>
            </w:r>
            <w:r w:rsidRPr="0018578C">
              <w:rPr>
                <w:b/>
                <w:noProof/>
                <w:sz w:val="16"/>
              </w:rPr>
              <w:t>N+3</w:t>
            </w:r>
          </w:p>
        </w:tc>
        <w:tc>
          <w:tcPr>
            <w:tcW w:w="2193" w:type="dxa"/>
            <w:gridSpan w:val="3"/>
            <w:shd w:val="clear" w:color="auto" w:fill="auto"/>
            <w:vAlign w:val="center"/>
          </w:tcPr>
          <w:p w14:paraId="59352E83" w14:textId="77777777" w:rsidR="00C87E1E" w:rsidRPr="0018578C" w:rsidRDefault="00C87E1E" w:rsidP="00C87E1E">
            <w:pPr>
              <w:jc w:val="center"/>
              <w:rPr>
                <w:b/>
                <w:noProof/>
                <w:sz w:val="16"/>
                <w:szCs w:val="16"/>
              </w:rPr>
            </w:pPr>
            <w:r w:rsidRPr="0018578C">
              <w:rPr>
                <w:noProof/>
                <w:sz w:val="16"/>
              </w:rPr>
              <w:t>Inserire gli anni necessari per evidenziare la durata dell'incidenza (cfr. punto 1.6)</w:t>
            </w:r>
          </w:p>
        </w:tc>
      </w:tr>
      <w:tr w:rsidR="00C87E1E" w:rsidRPr="0018578C" w14:paraId="4312C309" w14:textId="77777777" w:rsidTr="00C87E1E">
        <w:trPr>
          <w:gridBefore w:val="1"/>
          <w:wBefore w:w="15" w:type="dxa"/>
          <w:trHeight w:val="289"/>
          <w:jc w:val="center"/>
        </w:trPr>
        <w:tc>
          <w:tcPr>
            <w:tcW w:w="9871" w:type="dxa"/>
            <w:gridSpan w:val="9"/>
            <w:shd w:val="clear" w:color="auto" w:fill="auto"/>
          </w:tcPr>
          <w:p w14:paraId="6B80B0FD" w14:textId="77777777" w:rsidR="00C87E1E" w:rsidRPr="0018578C" w:rsidRDefault="00C87E1E" w:rsidP="00C87E1E">
            <w:pPr>
              <w:jc w:val="left"/>
              <w:rPr>
                <w:noProof/>
                <w:sz w:val="16"/>
                <w:szCs w:val="16"/>
              </w:rPr>
            </w:pPr>
            <w:r w:rsidRPr="0018578C">
              <w:rPr>
                <w:b/>
                <w:noProof/>
                <w:sz w:val="16"/>
              </w:rPr>
              <w:sym w:font="Wingdings" w:char="F09F"/>
            </w:r>
            <w:r w:rsidRPr="0018578C">
              <w:rPr>
                <w:b/>
                <w:noProof/>
                <w:sz w:val="16"/>
              </w:rPr>
              <w:t xml:space="preserve"> Posti della tabella dell'organico (funzionari e agenti temporanei)</w:t>
            </w:r>
          </w:p>
        </w:tc>
      </w:tr>
      <w:tr w:rsidR="00C87E1E" w:rsidRPr="0018578C" w14:paraId="7DBDF034" w14:textId="77777777" w:rsidTr="00C87E1E">
        <w:trPr>
          <w:gridBefore w:val="1"/>
          <w:wBefore w:w="15" w:type="dxa"/>
          <w:trHeight w:val="289"/>
          <w:jc w:val="center"/>
        </w:trPr>
        <w:tc>
          <w:tcPr>
            <w:tcW w:w="4754" w:type="dxa"/>
            <w:gridSpan w:val="2"/>
            <w:shd w:val="clear" w:color="auto" w:fill="auto"/>
            <w:vAlign w:val="center"/>
          </w:tcPr>
          <w:p w14:paraId="41D1041D" w14:textId="77777777" w:rsidR="00C87E1E" w:rsidRPr="0018578C" w:rsidRDefault="00C87E1E" w:rsidP="00362810">
            <w:pPr>
              <w:numPr>
                <w:ilvl w:val="0"/>
                <w:numId w:val="10"/>
              </w:numPr>
              <w:tabs>
                <w:tab w:val="clear" w:pos="1134"/>
                <w:tab w:val="num" w:pos="360"/>
              </w:tabs>
              <w:spacing w:beforeLines="20" w:before="48" w:afterLines="20" w:after="48"/>
              <w:ind w:left="134" w:firstLine="0"/>
              <w:jc w:val="left"/>
              <w:rPr>
                <w:b/>
                <w:noProof/>
                <w:sz w:val="16"/>
                <w:szCs w:val="16"/>
              </w:rPr>
            </w:pPr>
            <w:r w:rsidRPr="0018578C">
              <w:rPr>
                <w:noProof/>
                <w:sz w:val="16"/>
              </w:rPr>
              <w:t>20 01 02 01</w:t>
            </w:r>
            <w:r w:rsidRPr="0018578C">
              <w:rPr>
                <w:rFonts w:ascii="Arial Narrow" w:hAnsi="Arial Narrow"/>
                <w:noProof/>
                <w:color w:val="000000"/>
                <w:sz w:val="20"/>
              </w:rPr>
              <w:t xml:space="preserve"> </w:t>
            </w:r>
            <w:r w:rsidRPr="0018578C">
              <w:rPr>
                <w:noProof/>
                <w:sz w:val="16"/>
              </w:rPr>
              <w:t>(sede e uffici di rappresentanza della Commissione)</w:t>
            </w:r>
          </w:p>
        </w:tc>
        <w:tc>
          <w:tcPr>
            <w:tcW w:w="731" w:type="dxa"/>
            <w:shd w:val="clear" w:color="auto" w:fill="auto"/>
            <w:vAlign w:val="center"/>
          </w:tcPr>
          <w:p w14:paraId="0A97B032"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4F119A"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C633DE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64B860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61F86A"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83B8A0"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74E9BDA"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29DFA1D4" w14:textId="77777777" w:rsidTr="00C87E1E">
        <w:trPr>
          <w:gridBefore w:val="1"/>
          <w:wBefore w:w="15" w:type="dxa"/>
          <w:trHeight w:val="289"/>
          <w:jc w:val="center"/>
        </w:trPr>
        <w:tc>
          <w:tcPr>
            <w:tcW w:w="4754" w:type="dxa"/>
            <w:gridSpan w:val="2"/>
            <w:shd w:val="clear" w:color="auto" w:fill="auto"/>
            <w:vAlign w:val="center"/>
          </w:tcPr>
          <w:p w14:paraId="7AB4FE50" w14:textId="77777777" w:rsidR="00C87E1E" w:rsidRPr="0018578C"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18578C">
              <w:rPr>
                <w:noProof/>
                <w:sz w:val="16"/>
              </w:rPr>
              <w:t>20 01 02 03 (delegazioni)</w:t>
            </w:r>
          </w:p>
        </w:tc>
        <w:tc>
          <w:tcPr>
            <w:tcW w:w="731" w:type="dxa"/>
            <w:shd w:val="clear" w:color="auto" w:fill="auto"/>
            <w:vAlign w:val="center"/>
          </w:tcPr>
          <w:p w14:paraId="0C8D33F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00FF3D6"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F0A0F71"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F2C7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B59462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AE4B16B"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76FD4A"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2697A6EA" w14:textId="77777777" w:rsidTr="00C87E1E">
        <w:trPr>
          <w:gridBefore w:val="1"/>
          <w:wBefore w:w="15" w:type="dxa"/>
          <w:trHeight w:val="289"/>
          <w:jc w:val="center"/>
        </w:trPr>
        <w:tc>
          <w:tcPr>
            <w:tcW w:w="4754" w:type="dxa"/>
            <w:gridSpan w:val="2"/>
            <w:shd w:val="clear" w:color="auto" w:fill="auto"/>
            <w:vAlign w:val="center"/>
          </w:tcPr>
          <w:p w14:paraId="0350005D" w14:textId="77777777" w:rsidR="00C87E1E" w:rsidRPr="0018578C"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18578C">
              <w:rPr>
                <w:noProof/>
                <w:sz w:val="16"/>
              </w:rPr>
              <w:t>01 01 01 01</w:t>
            </w:r>
            <w:r w:rsidRPr="0018578C">
              <w:rPr>
                <w:rFonts w:ascii="Arial Narrow" w:hAnsi="Arial Narrow"/>
                <w:noProof/>
                <w:color w:val="000000"/>
                <w:sz w:val="20"/>
              </w:rPr>
              <w:t xml:space="preserve"> </w:t>
            </w:r>
            <w:r w:rsidRPr="0018578C">
              <w:rPr>
                <w:noProof/>
                <w:sz w:val="16"/>
              </w:rPr>
              <w:t xml:space="preserve"> (ricerca indiretta)</w:t>
            </w:r>
          </w:p>
        </w:tc>
        <w:tc>
          <w:tcPr>
            <w:tcW w:w="731" w:type="dxa"/>
            <w:shd w:val="clear" w:color="auto" w:fill="auto"/>
            <w:vAlign w:val="center"/>
          </w:tcPr>
          <w:p w14:paraId="2F2A98B3"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030C541"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A0BF7E6"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320F9D"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38DEAC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75A28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9E9BA2A"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21E8E491" w14:textId="77777777" w:rsidTr="00C87E1E">
        <w:trPr>
          <w:gridBefore w:val="1"/>
          <w:wBefore w:w="15" w:type="dxa"/>
          <w:trHeight w:val="289"/>
          <w:jc w:val="center"/>
        </w:trPr>
        <w:tc>
          <w:tcPr>
            <w:tcW w:w="4754" w:type="dxa"/>
            <w:gridSpan w:val="2"/>
            <w:shd w:val="clear" w:color="auto" w:fill="auto"/>
            <w:vAlign w:val="center"/>
          </w:tcPr>
          <w:p w14:paraId="22EB27B1" w14:textId="77777777" w:rsidR="00C87E1E" w:rsidRPr="0018578C" w:rsidRDefault="00C87E1E" w:rsidP="00362810">
            <w:pPr>
              <w:numPr>
                <w:ilvl w:val="0"/>
                <w:numId w:val="10"/>
              </w:numPr>
              <w:tabs>
                <w:tab w:val="clear" w:pos="1134"/>
                <w:tab w:val="num" w:pos="360"/>
              </w:tabs>
              <w:spacing w:beforeLines="20" w:before="48" w:afterLines="20" w:after="48"/>
              <w:ind w:left="134" w:firstLine="0"/>
              <w:jc w:val="left"/>
              <w:rPr>
                <w:noProof/>
                <w:sz w:val="16"/>
                <w:szCs w:val="16"/>
              </w:rPr>
            </w:pPr>
            <w:r w:rsidRPr="0018578C">
              <w:rPr>
                <w:noProof/>
                <w:sz w:val="16"/>
              </w:rPr>
              <w:t xml:space="preserve"> 01 01 01 11 (ricerca diretta)</w:t>
            </w:r>
          </w:p>
        </w:tc>
        <w:tc>
          <w:tcPr>
            <w:tcW w:w="731" w:type="dxa"/>
            <w:shd w:val="clear" w:color="auto" w:fill="auto"/>
            <w:vAlign w:val="center"/>
          </w:tcPr>
          <w:p w14:paraId="325E6C1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B66AB4A"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CC62167"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7FC5F6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E5F831"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C6F6BF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8D6F04"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69744DC4" w14:textId="77777777" w:rsidTr="00C87E1E">
        <w:trPr>
          <w:gridBefore w:val="1"/>
          <w:wBefore w:w="15" w:type="dxa"/>
          <w:trHeight w:val="289"/>
          <w:jc w:val="center"/>
        </w:trPr>
        <w:tc>
          <w:tcPr>
            <w:tcW w:w="4754" w:type="dxa"/>
            <w:gridSpan w:val="2"/>
            <w:shd w:val="clear" w:color="auto" w:fill="auto"/>
            <w:vAlign w:val="center"/>
          </w:tcPr>
          <w:p w14:paraId="7E9548AB" w14:textId="77777777" w:rsidR="00C87E1E" w:rsidRPr="0018578C" w:rsidRDefault="00C87E1E" w:rsidP="00362810">
            <w:pPr>
              <w:numPr>
                <w:ilvl w:val="0"/>
                <w:numId w:val="10"/>
              </w:numPr>
              <w:tabs>
                <w:tab w:val="clear" w:pos="1134"/>
                <w:tab w:val="num" w:pos="360"/>
              </w:tabs>
              <w:spacing w:beforeLines="20" w:before="48" w:afterLines="20" w:after="48"/>
              <w:ind w:left="134" w:firstLine="0"/>
              <w:jc w:val="left"/>
              <w:rPr>
                <w:noProof/>
                <w:sz w:val="16"/>
              </w:rPr>
            </w:pPr>
            <w:r w:rsidRPr="0018578C">
              <w:rPr>
                <w:noProof/>
                <w:sz w:val="16"/>
              </w:rPr>
              <w:t>Altre linee di bilancio (specificare)</w:t>
            </w:r>
          </w:p>
        </w:tc>
        <w:tc>
          <w:tcPr>
            <w:tcW w:w="731" w:type="dxa"/>
            <w:shd w:val="clear" w:color="auto" w:fill="auto"/>
            <w:vAlign w:val="center"/>
          </w:tcPr>
          <w:p w14:paraId="4011B897"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E34510"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3DD1FD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51C9C8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ADFB2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E89CB2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743A742"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60FC767B" w14:textId="77777777" w:rsidTr="00C87E1E">
        <w:trPr>
          <w:trHeight w:val="248"/>
          <w:jc w:val="center"/>
        </w:trPr>
        <w:tc>
          <w:tcPr>
            <w:tcW w:w="9886" w:type="dxa"/>
            <w:gridSpan w:val="10"/>
            <w:shd w:val="clear" w:color="auto" w:fill="auto"/>
            <w:vAlign w:val="center"/>
          </w:tcPr>
          <w:p w14:paraId="2DD83A49" w14:textId="77777777" w:rsidR="00C87E1E" w:rsidRPr="0018578C" w:rsidRDefault="00C87E1E" w:rsidP="00362810">
            <w:pPr>
              <w:numPr>
                <w:ilvl w:val="0"/>
                <w:numId w:val="10"/>
              </w:numPr>
              <w:tabs>
                <w:tab w:val="clear" w:pos="1134"/>
                <w:tab w:val="num" w:pos="360"/>
              </w:tabs>
              <w:spacing w:before="60" w:after="60"/>
              <w:ind w:left="0" w:firstLine="0"/>
              <w:jc w:val="left"/>
              <w:rPr>
                <w:b/>
                <w:noProof/>
                <w:sz w:val="16"/>
                <w:szCs w:val="16"/>
              </w:rPr>
            </w:pPr>
            <w:r w:rsidRPr="0018578C">
              <w:rPr>
                <w:b/>
                <w:noProof/>
                <w:sz w:val="16"/>
              </w:rPr>
              <w:sym w:font="Wingdings" w:char="F09F"/>
            </w:r>
            <w:r w:rsidRPr="0018578C">
              <w:rPr>
                <w:b/>
                <w:noProof/>
                <w:sz w:val="16"/>
              </w:rPr>
              <w:t>Personale esterno (in equivalenti a tempo pieno: ETP)</w:t>
            </w:r>
            <w:r w:rsidRPr="0018578C">
              <w:rPr>
                <w:rStyle w:val="FootnoteReference"/>
                <w:noProof/>
              </w:rPr>
              <w:footnoteReference w:id="30"/>
            </w:r>
          </w:p>
          <w:p w14:paraId="5B40D371" w14:textId="77777777" w:rsidR="00C87E1E" w:rsidRPr="0018578C" w:rsidRDefault="00C87E1E" w:rsidP="00362810">
            <w:pPr>
              <w:numPr>
                <w:ilvl w:val="0"/>
                <w:numId w:val="10"/>
              </w:numPr>
              <w:tabs>
                <w:tab w:val="clear" w:pos="1134"/>
                <w:tab w:val="num" w:pos="360"/>
              </w:tabs>
              <w:spacing w:before="0" w:after="0"/>
              <w:ind w:left="0" w:firstLine="0"/>
              <w:jc w:val="left"/>
              <w:rPr>
                <w:noProof/>
                <w:sz w:val="16"/>
                <w:szCs w:val="16"/>
                <w:lang w:eastAsia="en-GB"/>
              </w:rPr>
            </w:pPr>
          </w:p>
        </w:tc>
      </w:tr>
      <w:tr w:rsidR="00C87E1E" w:rsidRPr="0018578C" w14:paraId="4717C869" w14:textId="77777777" w:rsidTr="00C87E1E">
        <w:trPr>
          <w:gridBefore w:val="1"/>
          <w:wBefore w:w="15" w:type="dxa"/>
          <w:trHeight w:val="289"/>
          <w:jc w:val="center"/>
        </w:trPr>
        <w:tc>
          <w:tcPr>
            <w:tcW w:w="4754" w:type="dxa"/>
            <w:gridSpan w:val="2"/>
            <w:shd w:val="clear" w:color="auto" w:fill="auto"/>
            <w:vAlign w:val="center"/>
          </w:tcPr>
          <w:p w14:paraId="505A441E"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8578C">
              <w:rPr>
                <w:noProof/>
                <w:sz w:val="16"/>
              </w:rPr>
              <w:t>20 02 01</w:t>
            </w:r>
            <w:r w:rsidRPr="0018578C">
              <w:rPr>
                <w:rFonts w:ascii="Arial Narrow" w:hAnsi="Arial Narrow"/>
                <w:noProof/>
                <w:color w:val="000000"/>
                <w:sz w:val="20"/>
              </w:rPr>
              <w:t xml:space="preserve"> </w:t>
            </w:r>
            <w:r w:rsidRPr="0018578C">
              <w:rPr>
                <w:noProof/>
                <w:sz w:val="16"/>
              </w:rPr>
              <w:t>(AC, END, INT della dotazione globale)</w:t>
            </w:r>
          </w:p>
        </w:tc>
        <w:tc>
          <w:tcPr>
            <w:tcW w:w="731" w:type="dxa"/>
            <w:shd w:val="clear" w:color="auto" w:fill="auto"/>
            <w:vAlign w:val="center"/>
          </w:tcPr>
          <w:p w14:paraId="31F42145"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DAD1CE5"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53A6C4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D59FAE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FFC230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6D9721A"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EFB3B1E"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3415C48D" w14:textId="77777777" w:rsidTr="00C87E1E">
        <w:trPr>
          <w:gridBefore w:val="1"/>
          <w:wBefore w:w="15" w:type="dxa"/>
          <w:trHeight w:val="289"/>
          <w:jc w:val="center"/>
        </w:trPr>
        <w:tc>
          <w:tcPr>
            <w:tcW w:w="4754" w:type="dxa"/>
            <w:gridSpan w:val="2"/>
            <w:shd w:val="clear" w:color="auto" w:fill="auto"/>
            <w:vAlign w:val="center"/>
          </w:tcPr>
          <w:p w14:paraId="76704E2A"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18578C">
              <w:rPr>
                <w:noProof/>
                <w:sz w:val="16"/>
              </w:rPr>
              <w:t>20 02 03 (AC, AL, END, INT e JPD nelle delegazioni)</w:t>
            </w:r>
          </w:p>
        </w:tc>
        <w:tc>
          <w:tcPr>
            <w:tcW w:w="731" w:type="dxa"/>
            <w:shd w:val="clear" w:color="auto" w:fill="auto"/>
            <w:vAlign w:val="center"/>
          </w:tcPr>
          <w:p w14:paraId="4D73A24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8259C4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5E8BD11"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CA9D8EB"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AF37B80"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9D5A5F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44C7447"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074AC136" w14:textId="77777777" w:rsidTr="00C87E1E">
        <w:trPr>
          <w:gridBefore w:val="1"/>
          <w:wBefore w:w="15" w:type="dxa"/>
          <w:trHeight w:val="289"/>
          <w:jc w:val="center"/>
        </w:trPr>
        <w:tc>
          <w:tcPr>
            <w:tcW w:w="2376" w:type="dxa"/>
            <w:vMerge w:val="restart"/>
            <w:shd w:val="clear" w:color="auto" w:fill="auto"/>
            <w:vAlign w:val="center"/>
          </w:tcPr>
          <w:p w14:paraId="42221955"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8578C">
              <w:rPr>
                <w:b/>
                <w:noProof/>
                <w:sz w:val="16"/>
              </w:rPr>
              <w:t>XX</w:t>
            </w:r>
            <w:r w:rsidRPr="0018578C">
              <w:rPr>
                <w:noProof/>
                <w:sz w:val="16"/>
              </w:rPr>
              <w:t xml:space="preserve"> 01 xx </w:t>
            </w:r>
            <w:r w:rsidRPr="0018578C">
              <w:rPr>
                <w:b/>
                <w:noProof/>
                <w:sz w:val="16"/>
              </w:rPr>
              <w:t xml:space="preserve">yy zz </w:t>
            </w:r>
            <w:r w:rsidRPr="0018578C">
              <w:rPr>
                <w:b/>
                <w:i/>
                <w:noProof/>
                <w:sz w:val="16"/>
              </w:rPr>
              <w:t xml:space="preserve"> </w:t>
            </w:r>
            <w:r w:rsidRPr="0018578C">
              <w:rPr>
                <w:rStyle w:val="FootnoteReference"/>
                <w:noProof/>
              </w:rPr>
              <w:footnoteReference w:id="31"/>
            </w:r>
          </w:p>
          <w:p w14:paraId="3132AFFD"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00965C26"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8578C">
              <w:rPr>
                <w:noProof/>
                <w:sz w:val="16"/>
              </w:rPr>
              <w:t>- in sede</w:t>
            </w:r>
          </w:p>
          <w:p w14:paraId="2359CC1D"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731" w:type="dxa"/>
            <w:shd w:val="clear" w:color="auto" w:fill="auto"/>
            <w:vAlign w:val="center"/>
          </w:tcPr>
          <w:p w14:paraId="46F831C1" w14:textId="77777777" w:rsidR="00C87E1E" w:rsidRPr="0018578C"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3A99877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EEE3021"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2B9244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3B26E4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F3E28A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EAABE13"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5B9AB785" w14:textId="77777777" w:rsidTr="00C87E1E">
        <w:trPr>
          <w:gridBefore w:val="1"/>
          <w:wBefore w:w="15" w:type="dxa"/>
          <w:trHeight w:val="289"/>
          <w:jc w:val="center"/>
        </w:trPr>
        <w:tc>
          <w:tcPr>
            <w:tcW w:w="2376" w:type="dxa"/>
            <w:vMerge/>
            <w:shd w:val="clear" w:color="auto" w:fill="auto"/>
            <w:vAlign w:val="center"/>
          </w:tcPr>
          <w:p w14:paraId="59E2F415"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lang w:eastAsia="en-GB"/>
              </w:rPr>
            </w:pPr>
          </w:p>
        </w:tc>
        <w:tc>
          <w:tcPr>
            <w:tcW w:w="2378" w:type="dxa"/>
            <w:shd w:val="clear" w:color="auto" w:fill="auto"/>
            <w:vAlign w:val="center"/>
          </w:tcPr>
          <w:p w14:paraId="72BA9DB2"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b/>
                <w:noProof/>
                <w:sz w:val="16"/>
                <w:szCs w:val="16"/>
              </w:rPr>
            </w:pPr>
            <w:r w:rsidRPr="0018578C">
              <w:rPr>
                <w:noProof/>
                <w:sz w:val="16"/>
              </w:rPr>
              <w:t xml:space="preserve">- nelle delegazioni </w:t>
            </w:r>
          </w:p>
        </w:tc>
        <w:tc>
          <w:tcPr>
            <w:tcW w:w="731" w:type="dxa"/>
            <w:shd w:val="clear" w:color="auto" w:fill="auto"/>
            <w:vAlign w:val="center"/>
          </w:tcPr>
          <w:p w14:paraId="7C40AE38" w14:textId="77777777" w:rsidR="00C87E1E" w:rsidRPr="0018578C" w:rsidRDefault="00C87E1E" w:rsidP="00362810">
            <w:pPr>
              <w:numPr>
                <w:ilvl w:val="0"/>
                <w:numId w:val="10"/>
              </w:numPr>
              <w:tabs>
                <w:tab w:val="clear" w:pos="1134"/>
                <w:tab w:val="num" w:pos="360"/>
              </w:tabs>
              <w:spacing w:beforeLines="20" w:before="48" w:afterLines="20" w:after="48"/>
              <w:ind w:left="0" w:firstLine="0"/>
              <w:rPr>
                <w:noProof/>
                <w:sz w:val="16"/>
                <w:szCs w:val="16"/>
                <w:lang w:eastAsia="en-GB"/>
              </w:rPr>
            </w:pPr>
          </w:p>
        </w:tc>
        <w:tc>
          <w:tcPr>
            <w:tcW w:w="731" w:type="dxa"/>
            <w:shd w:val="clear" w:color="auto" w:fill="auto"/>
            <w:vAlign w:val="center"/>
          </w:tcPr>
          <w:p w14:paraId="5868A496"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17EED47"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D618E0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2920565"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6E5DAA5"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01B573"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15D842BF" w14:textId="77777777" w:rsidTr="00C87E1E">
        <w:trPr>
          <w:gridBefore w:val="1"/>
          <w:wBefore w:w="15" w:type="dxa"/>
          <w:trHeight w:val="289"/>
          <w:jc w:val="center"/>
        </w:trPr>
        <w:tc>
          <w:tcPr>
            <w:tcW w:w="4754" w:type="dxa"/>
            <w:gridSpan w:val="2"/>
            <w:shd w:val="clear" w:color="auto" w:fill="auto"/>
            <w:vAlign w:val="center"/>
          </w:tcPr>
          <w:p w14:paraId="597F52BD"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18578C">
              <w:rPr>
                <w:noProof/>
                <w:sz w:val="16"/>
              </w:rPr>
              <w:t>01 01 01 02</w:t>
            </w:r>
            <w:r w:rsidRPr="0018578C">
              <w:rPr>
                <w:rFonts w:ascii="Arial Narrow" w:hAnsi="Arial Narrow"/>
                <w:noProof/>
                <w:color w:val="000000"/>
                <w:sz w:val="20"/>
              </w:rPr>
              <w:t xml:space="preserve"> </w:t>
            </w:r>
            <w:r w:rsidRPr="0018578C">
              <w:rPr>
                <w:noProof/>
                <w:sz w:val="16"/>
              </w:rPr>
              <w:t>(AC, END, INT - ricerca indiretta)</w:t>
            </w:r>
          </w:p>
        </w:tc>
        <w:tc>
          <w:tcPr>
            <w:tcW w:w="731" w:type="dxa"/>
            <w:shd w:val="clear" w:color="auto" w:fill="auto"/>
            <w:vAlign w:val="center"/>
          </w:tcPr>
          <w:p w14:paraId="04960C4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B62D88B"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A19F58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0EE371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DC4DD93"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4753748"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FD69327"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734D9F74" w14:textId="77777777" w:rsidTr="00C87E1E">
        <w:trPr>
          <w:gridBefore w:val="1"/>
          <w:wBefore w:w="15" w:type="dxa"/>
          <w:trHeight w:val="289"/>
          <w:jc w:val="center"/>
        </w:trPr>
        <w:tc>
          <w:tcPr>
            <w:tcW w:w="4754" w:type="dxa"/>
            <w:gridSpan w:val="2"/>
            <w:shd w:val="clear" w:color="auto" w:fill="auto"/>
            <w:vAlign w:val="center"/>
          </w:tcPr>
          <w:p w14:paraId="24854B5E"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noProof/>
                <w:color w:val="FF0000"/>
                <w:sz w:val="16"/>
                <w:szCs w:val="16"/>
              </w:rPr>
            </w:pPr>
            <w:r w:rsidRPr="0018578C">
              <w:rPr>
                <w:noProof/>
                <w:sz w:val="16"/>
              </w:rPr>
              <w:t xml:space="preserve"> 01 01 01 12 (AC, END, INT - ricerca diretta)</w:t>
            </w:r>
          </w:p>
        </w:tc>
        <w:tc>
          <w:tcPr>
            <w:tcW w:w="731" w:type="dxa"/>
            <w:shd w:val="clear" w:color="auto" w:fill="auto"/>
            <w:vAlign w:val="center"/>
          </w:tcPr>
          <w:p w14:paraId="28A90E8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9FC994"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25051FDD"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0A426BE"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446F2F7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87D16BC"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71DE2C12"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4F0DCD3F" w14:textId="77777777" w:rsidTr="00C87E1E">
        <w:trPr>
          <w:gridBefore w:val="1"/>
          <w:wBefore w:w="15" w:type="dxa"/>
          <w:trHeight w:val="289"/>
          <w:jc w:val="center"/>
        </w:trPr>
        <w:tc>
          <w:tcPr>
            <w:tcW w:w="4754" w:type="dxa"/>
            <w:gridSpan w:val="2"/>
            <w:shd w:val="clear" w:color="auto" w:fill="auto"/>
            <w:vAlign w:val="center"/>
          </w:tcPr>
          <w:p w14:paraId="03EB1B28"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noProof/>
                <w:sz w:val="16"/>
              </w:rPr>
            </w:pPr>
            <w:r w:rsidRPr="0018578C">
              <w:rPr>
                <w:noProof/>
                <w:sz w:val="16"/>
              </w:rPr>
              <w:t>Altre linee di bilancio (specificare)</w:t>
            </w:r>
          </w:p>
        </w:tc>
        <w:tc>
          <w:tcPr>
            <w:tcW w:w="731" w:type="dxa"/>
            <w:shd w:val="clear" w:color="auto" w:fill="auto"/>
            <w:vAlign w:val="center"/>
          </w:tcPr>
          <w:p w14:paraId="6D7D844D"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34975B6"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343584C9"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0433D94F"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54245E5A"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12447472" w14:textId="77777777" w:rsidR="00C87E1E" w:rsidRPr="0018578C" w:rsidRDefault="00C87E1E" w:rsidP="00C87E1E">
            <w:pPr>
              <w:spacing w:beforeLines="20" w:before="48" w:afterLines="20" w:after="48"/>
              <w:jc w:val="center"/>
              <w:rPr>
                <w:noProof/>
                <w:sz w:val="16"/>
                <w:szCs w:val="16"/>
                <w:lang w:eastAsia="en-GB"/>
              </w:rPr>
            </w:pPr>
          </w:p>
        </w:tc>
        <w:tc>
          <w:tcPr>
            <w:tcW w:w="731" w:type="dxa"/>
            <w:shd w:val="clear" w:color="auto" w:fill="auto"/>
            <w:vAlign w:val="center"/>
          </w:tcPr>
          <w:p w14:paraId="6733F368" w14:textId="77777777" w:rsidR="00C87E1E" w:rsidRPr="0018578C" w:rsidRDefault="00C87E1E" w:rsidP="00C87E1E">
            <w:pPr>
              <w:spacing w:beforeLines="20" w:before="48" w:afterLines="20" w:after="48"/>
              <w:jc w:val="center"/>
              <w:rPr>
                <w:noProof/>
                <w:sz w:val="16"/>
                <w:szCs w:val="16"/>
                <w:lang w:eastAsia="en-GB"/>
              </w:rPr>
            </w:pPr>
          </w:p>
        </w:tc>
      </w:tr>
      <w:tr w:rsidR="00C87E1E" w:rsidRPr="0018578C" w14:paraId="080C7D12" w14:textId="77777777" w:rsidTr="00C87E1E">
        <w:trPr>
          <w:gridBefore w:val="1"/>
          <w:wBefore w:w="15" w:type="dxa"/>
          <w:trHeight w:val="289"/>
          <w:jc w:val="center"/>
        </w:trPr>
        <w:tc>
          <w:tcPr>
            <w:tcW w:w="4754" w:type="dxa"/>
            <w:gridSpan w:val="2"/>
            <w:tcBorders>
              <w:top w:val="double" w:sz="4" w:space="0" w:color="auto"/>
            </w:tcBorders>
            <w:shd w:val="clear" w:color="auto" w:fill="auto"/>
            <w:vAlign w:val="center"/>
          </w:tcPr>
          <w:p w14:paraId="5F87DC60" w14:textId="77777777" w:rsidR="00C87E1E" w:rsidRPr="0018578C" w:rsidRDefault="00C87E1E" w:rsidP="00362810">
            <w:pPr>
              <w:numPr>
                <w:ilvl w:val="0"/>
                <w:numId w:val="10"/>
              </w:numPr>
              <w:tabs>
                <w:tab w:val="clear" w:pos="1134"/>
                <w:tab w:val="num" w:pos="360"/>
              </w:tabs>
              <w:spacing w:beforeLines="20" w:before="48" w:afterLines="20" w:after="48"/>
              <w:ind w:left="136" w:firstLine="0"/>
              <w:jc w:val="left"/>
              <w:rPr>
                <w:noProof/>
                <w:sz w:val="16"/>
                <w:szCs w:val="16"/>
              </w:rPr>
            </w:pPr>
            <w:r w:rsidRPr="0018578C">
              <w:rPr>
                <w:b/>
                <w:noProof/>
                <w:sz w:val="16"/>
              </w:rPr>
              <w:t>TOTALE</w:t>
            </w:r>
          </w:p>
        </w:tc>
        <w:tc>
          <w:tcPr>
            <w:tcW w:w="731" w:type="dxa"/>
            <w:tcBorders>
              <w:top w:val="double" w:sz="4" w:space="0" w:color="auto"/>
            </w:tcBorders>
            <w:shd w:val="clear" w:color="auto" w:fill="auto"/>
            <w:vAlign w:val="center"/>
          </w:tcPr>
          <w:p w14:paraId="7A1E3DB1"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7531A1F0"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C1E7119"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06E577C5"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2C307013"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59484285" w14:textId="77777777" w:rsidR="00C87E1E" w:rsidRPr="0018578C" w:rsidRDefault="00C87E1E" w:rsidP="00C87E1E">
            <w:pPr>
              <w:spacing w:beforeLines="20" w:before="48" w:afterLines="20" w:after="48"/>
              <w:jc w:val="center"/>
              <w:rPr>
                <w:b/>
                <w:noProof/>
                <w:sz w:val="16"/>
                <w:szCs w:val="16"/>
                <w:lang w:eastAsia="en-GB"/>
              </w:rPr>
            </w:pPr>
          </w:p>
        </w:tc>
        <w:tc>
          <w:tcPr>
            <w:tcW w:w="731" w:type="dxa"/>
            <w:tcBorders>
              <w:top w:val="double" w:sz="4" w:space="0" w:color="auto"/>
            </w:tcBorders>
            <w:shd w:val="clear" w:color="auto" w:fill="auto"/>
            <w:vAlign w:val="center"/>
          </w:tcPr>
          <w:p w14:paraId="442CDC4E" w14:textId="77777777" w:rsidR="00C87E1E" w:rsidRPr="0018578C" w:rsidRDefault="00C87E1E" w:rsidP="00C87E1E">
            <w:pPr>
              <w:spacing w:beforeLines="20" w:before="48" w:afterLines="20" w:after="48"/>
              <w:jc w:val="center"/>
              <w:rPr>
                <w:b/>
                <w:noProof/>
                <w:sz w:val="16"/>
                <w:szCs w:val="16"/>
                <w:lang w:eastAsia="en-GB"/>
              </w:rPr>
            </w:pPr>
          </w:p>
        </w:tc>
      </w:tr>
    </w:tbl>
    <w:p w14:paraId="6226E21F" w14:textId="77777777" w:rsidR="00C87E1E" w:rsidRPr="0018578C" w:rsidRDefault="00C87E1E" w:rsidP="00FB18F4">
      <w:pPr>
        <w:spacing w:before="60" w:after="60"/>
        <w:rPr>
          <w:noProof/>
          <w:sz w:val="18"/>
          <w:szCs w:val="18"/>
        </w:rPr>
      </w:pPr>
      <w:r w:rsidRPr="0018578C">
        <w:rPr>
          <w:b/>
          <w:noProof/>
          <w:sz w:val="18"/>
        </w:rPr>
        <w:t>XX</w:t>
      </w:r>
      <w:r w:rsidRPr="0018578C">
        <w:rPr>
          <w:noProof/>
          <w:sz w:val="18"/>
        </w:rPr>
        <w:t xml:space="preserve"> è il settore o il titolo di bilancio interessato.</w:t>
      </w:r>
    </w:p>
    <w:p w14:paraId="08BD9D27" w14:textId="77777777" w:rsidR="00C87E1E" w:rsidRPr="0018578C" w:rsidRDefault="00C87E1E" w:rsidP="00FB18F4">
      <w:pPr>
        <w:rPr>
          <w:noProof/>
          <w:sz w:val="18"/>
          <w:szCs w:val="18"/>
        </w:rPr>
      </w:pPr>
      <w:r w:rsidRPr="0018578C">
        <w:rPr>
          <w:noProof/>
          <w:sz w:val="18"/>
        </w:rPr>
        <w:t>Il fabbisogno di risorse umane è coperto dal personale della DG già assegnato alla gestione dell'azione e/o riassegnato all'interno della stessa DG, integrato dall'eventuale dotazione supplementare concessa alla DG responsabile nell'ambito della procedura annuale di assegnazione, tenendo conto dei vincoli di bilancio.</w:t>
      </w:r>
    </w:p>
    <w:p w14:paraId="6D428522" w14:textId="77777777" w:rsidR="00C87E1E" w:rsidRPr="0018578C" w:rsidRDefault="00C87E1E" w:rsidP="00C87E1E">
      <w:pPr>
        <w:rPr>
          <w:noProof/>
          <w:sz w:val="20"/>
        </w:rPr>
      </w:pPr>
      <w:r w:rsidRPr="0018578C">
        <w:rPr>
          <w:noProof/>
          <w:sz w:val="20"/>
        </w:rPr>
        <w:t>Descrizione dei compiti da svolgere: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87E1E" w:rsidRPr="0018578C" w14:paraId="11E810B9" w14:textId="77777777" w:rsidTr="00C87E1E">
        <w:tc>
          <w:tcPr>
            <w:tcW w:w="3240" w:type="dxa"/>
          </w:tcPr>
          <w:p w14:paraId="2BFA4A63" w14:textId="77777777" w:rsidR="00C87E1E" w:rsidRPr="0018578C" w:rsidRDefault="00C87E1E" w:rsidP="00C87E1E">
            <w:pPr>
              <w:rPr>
                <w:noProof/>
                <w:sz w:val="20"/>
              </w:rPr>
            </w:pPr>
            <w:r w:rsidRPr="0018578C">
              <w:rPr>
                <w:noProof/>
                <w:sz w:val="20"/>
              </w:rPr>
              <w:t>Funzionari e agenti temporanei</w:t>
            </w:r>
          </w:p>
        </w:tc>
        <w:tc>
          <w:tcPr>
            <w:tcW w:w="7200" w:type="dxa"/>
          </w:tcPr>
          <w:p w14:paraId="3C047422" w14:textId="77777777" w:rsidR="00C87E1E" w:rsidRPr="0018578C" w:rsidRDefault="00C87E1E" w:rsidP="00C87E1E">
            <w:pPr>
              <w:rPr>
                <w:noProof/>
                <w:sz w:val="20"/>
                <w:lang w:eastAsia="en-GB"/>
              </w:rPr>
            </w:pPr>
          </w:p>
        </w:tc>
      </w:tr>
      <w:tr w:rsidR="00C87E1E" w:rsidRPr="0018578C" w14:paraId="26AC13C2" w14:textId="77777777" w:rsidTr="00C87E1E">
        <w:tc>
          <w:tcPr>
            <w:tcW w:w="3240" w:type="dxa"/>
          </w:tcPr>
          <w:p w14:paraId="0ED650EB" w14:textId="77777777" w:rsidR="00C87E1E" w:rsidRPr="0018578C" w:rsidRDefault="00C87E1E" w:rsidP="00C87E1E">
            <w:pPr>
              <w:spacing w:before="60" w:after="60"/>
              <w:rPr>
                <w:noProof/>
                <w:sz w:val="20"/>
              </w:rPr>
            </w:pPr>
            <w:r w:rsidRPr="0018578C">
              <w:rPr>
                <w:noProof/>
                <w:sz w:val="20"/>
              </w:rPr>
              <w:t>Personale esterno</w:t>
            </w:r>
          </w:p>
        </w:tc>
        <w:tc>
          <w:tcPr>
            <w:tcW w:w="7200" w:type="dxa"/>
          </w:tcPr>
          <w:p w14:paraId="4EEAF454" w14:textId="77777777" w:rsidR="00C87E1E" w:rsidRPr="0018578C" w:rsidRDefault="00C87E1E" w:rsidP="00C87E1E">
            <w:pPr>
              <w:rPr>
                <w:noProof/>
                <w:sz w:val="20"/>
                <w:lang w:eastAsia="en-GB"/>
              </w:rPr>
            </w:pPr>
          </w:p>
        </w:tc>
      </w:tr>
    </w:tbl>
    <w:p w14:paraId="327EB9C4" w14:textId="77777777" w:rsidR="00C87E1E" w:rsidRPr="0018578C" w:rsidRDefault="00C87E1E" w:rsidP="00C87E1E">
      <w:pPr>
        <w:rPr>
          <w:noProof/>
          <w:lang w:eastAsia="en-GB"/>
        </w:rPr>
        <w:sectPr w:rsidR="00C87E1E" w:rsidRPr="0018578C" w:rsidSect="0005544D">
          <w:pgSz w:w="11907" w:h="16840"/>
          <w:pgMar w:top="1134" w:right="1418" w:bottom="1134" w:left="1418" w:header="709" w:footer="709" w:gutter="0"/>
          <w:cols w:space="708"/>
          <w:docGrid w:linePitch="360"/>
        </w:sectPr>
      </w:pPr>
    </w:p>
    <w:p w14:paraId="42A96833" w14:textId="77777777" w:rsidR="00C87E1E" w:rsidRPr="0018578C" w:rsidRDefault="00C87E1E" w:rsidP="00FB18F4">
      <w:pPr>
        <w:keepNext/>
        <w:outlineLvl w:val="2"/>
        <w:rPr>
          <w:rFonts w:eastAsiaTheme="majorEastAsia"/>
          <w:bCs/>
          <w:i/>
          <w:noProof/>
        </w:rPr>
      </w:pPr>
      <w:bookmarkStart w:id="61" w:name="_Toc514938056"/>
      <w:bookmarkStart w:id="62" w:name="_Toc520485055"/>
      <w:r w:rsidRPr="0018578C">
        <w:rPr>
          <w:i/>
          <w:noProof/>
        </w:rPr>
        <w:t>Compatibilità con il quadro finanziario pluriennale attuale</w:t>
      </w:r>
      <w:bookmarkEnd w:id="61"/>
      <w:bookmarkEnd w:id="62"/>
      <w:r w:rsidRPr="0018578C">
        <w:rPr>
          <w:i/>
          <w:noProof/>
        </w:rPr>
        <w:t xml:space="preserve"> </w:t>
      </w:r>
    </w:p>
    <w:p w14:paraId="780F37C1" w14:textId="77777777" w:rsidR="00C87E1E" w:rsidRPr="0018578C" w:rsidRDefault="00C87E1E" w:rsidP="00C87E1E">
      <w:pPr>
        <w:tabs>
          <w:tab w:val="num" w:pos="1134"/>
        </w:tabs>
        <w:ind w:left="1134" w:hanging="283"/>
        <w:rPr>
          <w:noProof/>
        </w:rPr>
      </w:pPr>
      <w:r w:rsidRPr="0018578C">
        <w:rPr>
          <w:noProof/>
        </w:rPr>
        <w:t>La proposta/iniziativa è compatibile con il quadro finanziario pluriennale attuale.</w:t>
      </w:r>
    </w:p>
    <w:p w14:paraId="7ADACF09" w14:textId="77777777" w:rsidR="00C87E1E" w:rsidRPr="0018578C" w:rsidRDefault="00C87E1E" w:rsidP="00FB18F4">
      <w:pPr>
        <w:rPr>
          <w:noProof/>
          <w:lang w:eastAsia="en-GB"/>
        </w:rPr>
      </w:pPr>
    </w:p>
    <w:p w14:paraId="37458A13" w14:textId="77777777" w:rsidR="00C87E1E" w:rsidRPr="0018578C" w:rsidRDefault="00C87E1E" w:rsidP="00FB18F4">
      <w:pPr>
        <w:rPr>
          <w:noProof/>
        </w:rPr>
      </w:pPr>
      <w:r w:rsidRPr="0018578C">
        <w:rPr>
          <w:noProof/>
        </w:rPr>
        <w:t>La proposta/iniziativa:</w:t>
      </w:r>
    </w:p>
    <w:p w14:paraId="01CED3D9"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può essere interamente finanziata mediante riassegnazione all'interno della pertinente rubrica del quadro finanziario pluriennale (QFP).</w:t>
      </w:r>
    </w:p>
    <w:p w14:paraId="76A1D03F" w14:textId="77777777" w:rsidR="00C87E1E" w:rsidRPr="0018578C" w:rsidRDefault="00C87E1E" w:rsidP="00FB18F4">
      <w:pPr>
        <w:pBdr>
          <w:top w:val="single" w:sz="4" w:space="1" w:color="auto"/>
          <w:left w:val="single" w:sz="4" w:space="4" w:color="auto"/>
          <w:bottom w:val="single" w:sz="4" w:space="1" w:color="auto"/>
          <w:right w:val="single" w:sz="4" w:space="4" w:color="auto"/>
        </w:pBdr>
        <w:rPr>
          <w:noProof/>
          <w:sz w:val="20"/>
        </w:rPr>
      </w:pPr>
      <w:r w:rsidRPr="0018578C">
        <w:rPr>
          <w:noProof/>
          <w:sz w:val="20"/>
        </w:rPr>
        <w:t>Spiegare la riprogrammazione richiesta, precisando le linee di bilancio interessate e gli importi corrispondenti.</w:t>
      </w:r>
      <w:r w:rsidRPr="0018578C">
        <w:rPr>
          <w:noProof/>
        </w:rPr>
        <w:t xml:space="preserve"> </w:t>
      </w:r>
      <w:r w:rsidRPr="0018578C">
        <w:rPr>
          <w:noProof/>
          <w:sz w:val="20"/>
        </w:rPr>
        <w:t>Allegare una tabella Excel in caso di riprogrammazione maggiore.</w:t>
      </w:r>
    </w:p>
    <w:p w14:paraId="38BEE55E"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comporta l'uso del margine non assegnato della pertinente rubrica del QFP e/o l'uso degli strumenti speciali definiti nel regolamento QFP.</w:t>
      </w:r>
    </w:p>
    <w:p w14:paraId="0E7227E2" w14:textId="77777777" w:rsidR="00C87E1E" w:rsidRPr="0018578C" w:rsidRDefault="00C87E1E" w:rsidP="00FB18F4">
      <w:pPr>
        <w:pBdr>
          <w:top w:val="single" w:sz="4" w:space="1" w:color="auto"/>
          <w:left w:val="single" w:sz="4" w:space="4" w:color="auto"/>
          <w:bottom w:val="single" w:sz="4" w:space="1" w:color="auto"/>
          <w:right w:val="single" w:sz="4" w:space="4" w:color="auto"/>
        </w:pBdr>
        <w:rPr>
          <w:noProof/>
          <w:sz w:val="20"/>
        </w:rPr>
      </w:pPr>
      <w:r w:rsidRPr="0018578C">
        <w:rPr>
          <w:noProof/>
          <w:sz w:val="20"/>
        </w:rPr>
        <w:t>Spiegare la necessità, precisando le rubriche e le linee di bilancio interessate, gli importi corrispondenti e gli strumenti proposti.</w:t>
      </w:r>
    </w:p>
    <w:p w14:paraId="4C70CFAF"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comporta una revisione del QFP.</w:t>
      </w:r>
    </w:p>
    <w:p w14:paraId="1EDC4A76" w14:textId="77777777" w:rsidR="00C87E1E" w:rsidRPr="0018578C" w:rsidRDefault="00C87E1E" w:rsidP="00FB18F4">
      <w:pPr>
        <w:pBdr>
          <w:top w:val="single" w:sz="4" w:space="1" w:color="auto"/>
          <w:left w:val="single" w:sz="4" w:space="4" w:color="auto"/>
          <w:bottom w:val="single" w:sz="4" w:space="1" w:color="auto"/>
          <w:right w:val="single" w:sz="4" w:space="4" w:color="auto"/>
        </w:pBdr>
        <w:rPr>
          <w:noProof/>
          <w:sz w:val="20"/>
        </w:rPr>
      </w:pPr>
      <w:r w:rsidRPr="0018578C">
        <w:rPr>
          <w:noProof/>
          <w:sz w:val="20"/>
        </w:rPr>
        <w:t>Spiegare la necessità, precisando le rubriche e le linee di bilancio interessate e gli importi corrispondenti.</w:t>
      </w:r>
    </w:p>
    <w:p w14:paraId="04215B33" w14:textId="77777777" w:rsidR="00C87E1E" w:rsidRPr="0018578C" w:rsidRDefault="00C87E1E" w:rsidP="00FB18F4">
      <w:pPr>
        <w:keepNext/>
        <w:outlineLvl w:val="2"/>
        <w:rPr>
          <w:rFonts w:eastAsiaTheme="majorEastAsia"/>
          <w:i/>
          <w:noProof/>
          <w:szCs w:val="24"/>
        </w:rPr>
      </w:pPr>
      <w:bookmarkStart w:id="63" w:name="_Toc514938058"/>
      <w:bookmarkStart w:id="64" w:name="_Toc520485056"/>
      <w:r w:rsidRPr="0018578C">
        <w:rPr>
          <w:i/>
          <w:noProof/>
        </w:rPr>
        <w:t>Partecipazione di terzi al finanziamento</w:t>
      </w:r>
      <w:bookmarkEnd w:id="63"/>
      <w:bookmarkEnd w:id="64"/>
      <w:r w:rsidRPr="0018578C">
        <w:rPr>
          <w:i/>
          <w:noProof/>
        </w:rPr>
        <w:t xml:space="preserve"> </w:t>
      </w:r>
    </w:p>
    <w:p w14:paraId="0EB46E33" w14:textId="77777777" w:rsidR="00C87E1E" w:rsidRPr="0018578C" w:rsidRDefault="00C87E1E" w:rsidP="00FB18F4">
      <w:pPr>
        <w:rPr>
          <w:noProof/>
        </w:rPr>
      </w:pPr>
      <w:r w:rsidRPr="0018578C">
        <w:rPr>
          <w:noProof/>
        </w:rPr>
        <w:t>La proposta/iniziativa:</w:t>
      </w:r>
    </w:p>
    <w:p w14:paraId="3AF4569F" w14:textId="77777777" w:rsidR="00C87E1E" w:rsidRPr="0018578C" w:rsidRDefault="00C87E1E" w:rsidP="00C87E1E">
      <w:pPr>
        <w:tabs>
          <w:tab w:val="num" w:pos="1134"/>
        </w:tabs>
        <w:ind w:left="1134" w:hanging="283"/>
        <w:rPr>
          <w:noProof/>
        </w:rPr>
      </w:pPr>
      <w:r w:rsidRPr="0018578C">
        <w:rPr>
          <w:b/>
          <w:noProof/>
        </w:rPr>
        <w:t>X</w:t>
      </w:r>
      <w:r w:rsidRPr="0018578C">
        <w:rPr>
          <w:noProof/>
        </w:rPr>
        <w:tab/>
        <w:t>non prevede cofinanziamenti da terzi</w:t>
      </w:r>
    </w:p>
    <w:p w14:paraId="4AABDF2A" w14:textId="77777777" w:rsidR="00C87E1E" w:rsidRPr="0018578C" w:rsidRDefault="00C87E1E" w:rsidP="00C87E1E">
      <w:pPr>
        <w:tabs>
          <w:tab w:val="num" w:pos="1134"/>
        </w:tabs>
        <w:ind w:left="1134" w:hanging="283"/>
        <w:rPr>
          <w:noProof/>
        </w:rPr>
      </w:pPr>
      <w:r w:rsidRPr="0018578C">
        <w:rPr>
          <w:noProof/>
        </w:rPr>
        <w:sym w:font="Wingdings" w:char="F0A8"/>
      </w:r>
      <w:r w:rsidRPr="0018578C">
        <w:rPr>
          <w:noProof/>
        </w:rPr>
        <w:tab/>
        <w:t>prevede il cofinanziamento da terzi indicato di seguito:</w:t>
      </w:r>
    </w:p>
    <w:p w14:paraId="3E9D1A16" w14:textId="77777777" w:rsidR="00C87E1E" w:rsidRPr="0018578C" w:rsidRDefault="00C87E1E" w:rsidP="00C87E1E">
      <w:pPr>
        <w:jc w:val="right"/>
        <w:rPr>
          <w:noProof/>
          <w:sz w:val="20"/>
        </w:rPr>
      </w:pPr>
      <w:r w:rsidRPr="0018578C">
        <w:rPr>
          <w:noProof/>
          <w:sz w:val="20"/>
        </w:rPr>
        <w:t>Stanziamenti in Mio EUR (al terzo decimale)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87E1E" w:rsidRPr="0018578C" w14:paraId="1490F7B3" w14:textId="77777777" w:rsidTr="00C87E1E">
        <w:trPr>
          <w:cantSplit/>
        </w:trPr>
        <w:tc>
          <w:tcPr>
            <w:tcW w:w="2340" w:type="dxa"/>
          </w:tcPr>
          <w:p w14:paraId="2BFE90F0" w14:textId="77777777" w:rsidR="00C87E1E" w:rsidRPr="0018578C" w:rsidRDefault="00C87E1E" w:rsidP="00C87E1E">
            <w:pPr>
              <w:spacing w:before="60" w:after="60"/>
              <w:rPr>
                <w:noProof/>
                <w:sz w:val="20"/>
                <w:lang w:eastAsia="en-GB"/>
              </w:rPr>
            </w:pPr>
          </w:p>
        </w:tc>
        <w:tc>
          <w:tcPr>
            <w:tcW w:w="964" w:type="dxa"/>
            <w:vAlign w:val="center"/>
          </w:tcPr>
          <w:p w14:paraId="600B23F2"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w:t>
            </w:r>
            <w:r w:rsidRPr="0018578C">
              <w:rPr>
                <w:rStyle w:val="FootnoteReference"/>
                <w:noProof/>
              </w:rPr>
              <w:footnoteReference w:id="32"/>
            </w:r>
          </w:p>
        </w:tc>
        <w:tc>
          <w:tcPr>
            <w:tcW w:w="964" w:type="dxa"/>
            <w:vAlign w:val="center"/>
          </w:tcPr>
          <w:p w14:paraId="266EF62C"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N+1</w:t>
            </w:r>
          </w:p>
        </w:tc>
        <w:tc>
          <w:tcPr>
            <w:tcW w:w="964" w:type="dxa"/>
            <w:vAlign w:val="center"/>
          </w:tcPr>
          <w:p w14:paraId="09E6C81C"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N+2</w:t>
            </w:r>
          </w:p>
        </w:tc>
        <w:tc>
          <w:tcPr>
            <w:tcW w:w="964" w:type="dxa"/>
            <w:vAlign w:val="center"/>
          </w:tcPr>
          <w:p w14:paraId="759790A4" w14:textId="77777777" w:rsidR="00C87E1E" w:rsidRPr="0018578C" w:rsidRDefault="00C87E1E" w:rsidP="00C87E1E">
            <w:pPr>
              <w:jc w:val="center"/>
              <w:rPr>
                <w:noProof/>
                <w:sz w:val="20"/>
              </w:rPr>
            </w:pPr>
            <w:r w:rsidRPr="0018578C">
              <w:rPr>
                <w:noProof/>
                <w:sz w:val="20"/>
              </w:rPr>
              <w:t>Anno</w:t>
            </w:r>
            <w:r w:rsidRPr="0018578C">
              <w:rPr>
                <w:noProof/>
              </w:rPr>
              <w:t xml:space="preserve"> </w:t>
            </w:r>
            <w:r w:rsidRPr="0018578C">
              <w:rPr>
                <w:noProof/>
              </w:rPr>
              <w:br/>
            </w:r>
            <w:r w:rsidRPr="0018578C">
              <w:rPr>
                <w:b/>
                <w:noProof/>
                <w:sz w:val="20"/>
              </w:rPr>
              <w:t>N+3</w:t>
            </w:r>
          </w:p>
        </w:tc>
        <w:tc>
          <w:tcPr>
            <w:tcW w:w="2892" w:type="dxa"/>
            <w:gridSpan w:val="3"/>
            <w:vAlign w:val="center"/>
          </w:tcPr>
          <w:p w14:paraId="5294E5CD" w14:textId="77777777" w:rsidR="00C87E1E" w:rsidRPr="0018578C" w:rsidRDefault="00C87E1E" w:rsidP="00C87E1E">
            <w:pPr>
              <w:jc w:val="center"/>
              <w:rPr>
                <w:b/>
                <w:noProof/>
                <w:sz w:val="20"/>
              </w:rPr>
            </w:pPr>
            <w:r w:rsidRPr="0018578C">
              <w:rPr>
                <w:noProof/>
                <w:sz w:val="20"/>
              </w:rPr>
              <w:t>Inserire gli anni necessari per evidenziare la durata dell'incidenza (cfr. punto 1.6)</w:t>
            </w:r>
          </w:p>
        </w:tc>
        <w:tc>
          <w:tcPr>
            <w:tcW w:w="1158" w:type="dxa"/>
            <w:vAlign w:val="center"/>
          </w:tcPr>
          <w:p w14:paraId="3540DDFD" w14:textId="77777777" w:rsidR="00C87E1E" w:rsidRPr="0018578C" w:rsidRDefault="00C87E1E" w:rsidP="00C87E1E">
            <w:pPr>
              <w:spacing w:before="60" w:after="60"/>
              <w:jc w:val="center"/>
              <w:rPr>
                <w:noProof/>
                <w:sz w:val="20"/>
              </w:rPr>
            </w:pPr>
            <w:r w:rsidRPr="0018578C">
              <w:rPr>
                <w:noProof/>
                <w:sz w:val="20"/>
              </w:rPr>
              <w:t>Totale</w:t>
            </w:r>
          </w:p>
        </w:tc>
      </w:tr>
      <w:tr w:rsidR="00C87E1E" w:rsidRPr="0018578C" w14:paraId="5D4C700B" w14:textId="77777777" w:rsidTr="00C87E1E">
        <w:trPr>
          <w:cantSplit/>
        </w:trPr>
        <w:tc>
          <w:tcPr>
            <w:tcW w:w="2340" w:type="dxa"/>
          </w:tcPr>
          <w:p w14:paraId="187B37C4" w14:textId="77777777" w:rsidR="00C87E1E" w:rsidRPr="0018578C" w:rsidRDefault="00C87E1E" w:rsidP="00C87E1E">
            <w:pPr>
              <w:rPr>
                <w:noProof/>
              </w:rPr>
            </w:pPr>
            <w:r w:rsidRPr="0018578C">
              <w:rPr>
                <w:noProof/>
                <w:sz w:val="20"/>
              </w:rPr>
              <w:t>Specificare l'organismo di cofinanziamento</w:t>
            </w:r>
            <w:r w:rsidRPr="0018578C">
              <w:rPr>
                <w:i/>
                <w:noProof/>
                <w:sz w:val="20"/>
              </w:rPr>
              <w:t xml:space="preserve"> </w:t>
            </w:r>
          </w:p>
        </w:tc>
        <w:tc>
          <w:tcPr>
            <w:tcW w:w="964" w:type="dxa"/>
            <w:vAlign w:val="center"/>
          </w:tcPr>
          <w:p w14:paraId="4A171459" w14:textId="77777777" w:rsidR="00C87E1E" w:rsidRPr="0018578C" w:rsidRDefault="00C87E1E" w:rsidP="00C87E1E">
            <w:pPr>
              <w:spacing w:before="60" w:after="60"/>
              <w:jc w:val="center"/>
              <w:rPr>
                <w:noProof/>
                <w:sz w:val="20"/>
                <w:lang w:eastAsia="en-GB"/>
              </w:rPr>
            </w:pPr>
          </w:p>
        </w:tc>
        <w:tc>
          <w:tcPr>
            <w:tcW w:w="964" w:type="dxa"/>
            <w:vAlign w:val="center"/>
          </w:tcPr>
          <w:p w14:paraId="7274725F" w14:textId="77777777" w:rsidR="00C87E1E" w:rsidRPr="0018578C" w:rsidRDefault="00C87E1E" w:rsidP="00C87E1E">
            <w:pPr>
              <w:spacing w:before="60" w:after="60"/>
              <w:jc w:val="center"/>
              <w:rPr>
                <w:noProof/>
                <w:sz w:val="20"/>
                <w:lang w:eastAsia="en-GB"/>
              </w:rPr>
            </w:pPr>
          </w:p>
        </w:tc>
        <w:tc>
          <w:tcPr>
            <w:tcW w:w="964" w:type="dxa"/>
            <w:vAlign w:val="center"/>
          </w:tcPr>
          <w:p w14:paraId="785490C2" w14:textId="77777777" w:rsidR="00C87E1E" w:rsidRPr="0018578C" w:rsidRDefault="00C87E1E" w:rsidP="00C87E1E">
            <w:pPr>
              <w:spacing w:before="60" w:after="60"/>
              <w:jc w:val="center"/>
              <w:rPr>
                <w:noProof/>
                <w:sz w:val="20"/>
                <w:lang w:eastAsia="en-GB"/>
              </w:rPr>
            </w:pPr>
          </w:p>
        </w:tc>
        <w:tc>
          <w:tcPr>
            <w:tcW w:w="964" w:type="dxa"/>
            <w:vAlign w:val="center"/>
          </w:tcPr>
          <w:p w14:paraId="5F425231" w14:textId="77777777" w:rsidR="00C87E1E" w:rsidRPr="0018578C" w:rsidRDefault="00C87E1E" w:rsidP="00C87E1E">
            <w:pPr>
              <w:spacing w:before="60" w:after="60"/>
              <w:jc w:val="center"/>
              <w:rPr>
                <w:noProof/>
                <w:sz w:val="20"/>
                <w:lang w:eastAsia="en-GB"/>
              </w:rPr>
            </w:pPr>
          </w:p>
        </w:tc>
        <w:tc>
          <w:tcPr>
            <w:tcW w:w="964" w:type="dxa"/>
            <w:vAlign w:val="center"/>
          </w:tcPr>
          <w:p w14:paraId="0E581B6A" w14:textId="77777777" w:rsidR="00C87E1E" w:rsidRPr="0018578C" w:rsidRDefault="00C87E1E" w:rsidP="00C87E1E">
            <w:pPr>
              <w:spacing w:before="60" w:after="60"/>
              <w:jc w:val="center"/>
              <w:rPr>
                <w:noProof/>
                <w:sz w:val="20"/>
                <w:lang w:eastAsia="en-GB"/>
              </w:rPr>
            </w:pPr>
          </w:p>
        </w:tc>
        <w:tc>
          <w:tcPr>
            <w:tcW w:w="964" w:type="dxa"/>
            <w:vAlign w:val="center"/>
          </w:tcPr>
          <w:p w14:paraId="65205D6A" w14:textId="77777777" w:rsidR="00C87E1E" w:rsidRPr="0018578C" w:rsidRDefault="00C87E1E" w:rsidP="00C87E1E">
            <w:pPr>
              <w:spacing w:before="60" w:after="60"/>
              <w:jc w:val="center"/>
              <w:rPr>
                <w:noProof/>
                <w:sz w:val="20"/>
                <w:lang w:eastAsia="en-GB"/>
              </w:rPr>
            </w:pPr>
          </w:p>
        </w:tc>
        <w:tc>
          <w:tcPr>
            <w:tcW w:w="964" w:type="dxa"/>
            <w:vAlign w:val="center"/>
          </w:tcPr>
          <w:p w14:paraId="25AC9648" w14:textId="77777777" w:rsidR="00C87E1E" w:rsidRPr="0018578C" w:rsidRDefault="00C87E1E" w:rsidP="00C87E1E">
            <w:pPr>
              <w:spacing w:before="60" w:after="60"/>
              <w:jc w:val="center"/>
              <w:rPr>
                <w:noProof/>
                <w:sz w:val="20"/>
                <w:lang w:eastAsia="en-GB"/>
              </w:rPr>
            </w:pPr>
          </w:p>
        </w:tc>
        <w:tc>
          <w:tcPr>
            <w:tcW w:w="1158" w:type="dxa"/>
            <w:vAlign w:val="center"/>
          </w:tcPr>
          <w:p w14:paraId="690E1BC6" w14:textId="77777777" w:rsidR="00C87E1E" w:rsidRPr="0018578C" w:rsidRDefault="00C87E1E" w:rsidP="00C87E1E">
            <w:pPr>
              <w:spacing w:before="60" w:after="60"/>
              <w:jc w:val="center"/>
              <w:rPr>
                <w:noProof/>
                <w:sz w:val="20"/>
                <w:lang w:eastAsia="en-GB"/>
              </w:rPr>
            </w:pPr>
          </w:p>
        </w:tc>
      </w:tr>
      <w:tr w:rsidR="00C87E1E" w:rsidRPr="0018578C" w14:paraId="7A639D05" w14:textId="77777777" w:rsidTr="00C87E1E">
        <w:trPr>
          <w:cantSplit/>
        </w:trPr>
        <w:tc>
          <w:tcPr>
            <w:tcW w:w="2340" w:type="dxa"/>
          </w:tcPr>
          <w:p w14:paraId="58732C2A" w14:textId="77777777" w:rsidR="00C87E1E" w:rsidRPr="0018578C" w:rsidRDefault="00C87E1E" w:rsidP="00C87E1E">
            <w:pPr>
              <w:spacing w:before="60" w:after="60"/>
              <w:jc w:val="left"/>
              <w:rPr>
                <w:noProof/>
                <w:sz w:val="20"/>
              </w:rPr>
            </w:pPr>
            <w:r w:rsidRPr="0018578C">
              <w:rPr>
                <w:noProof/>
                <w:sz w:val="20"/>
              </w:rPr>
              <w:t xml:space="preserve">TOTALE stanziamenti cofinanziati </w:t>
            </w:r>
          </w:p>
        </w:tc>
        <w:tc>
          <w:tcPr>
            <w:tcW w:w="964" w:type="dxa"/>
            <w:vAlign w:val="center"/>
          </w:tcPr>
          <w:p w14:paraId="55721CC0" w14:textId="77777777" w:rsidR="00C87E1E" w:rsidRPr="0018578C" w:rsidRDefault="00C87E1E" w:rsidP="00C87E1E">
            <w:pPr>
              <w:spacing w:before="60" w:after="60"/>
              <w:jc w:val="center"/>
              <w:rPr>
                <w:noProof/>
                <w:sz w:val="20"/>
                <w:lang w:eastAsia="en-GB"/>
              </w:rPr>
            </w:pPr>
          </w:p>
        </w:tc>
        <w:tc>
          <w:tcPr>
            <w:tcW w:w="964" w:type="dxa"/>
            <w:vAlign w:val="center"/>
          </w:tcPr>
          <w:p w14:paraId="15C5D542" w14:textId="77777777" w:rsidR="00C87E1E" w:rsidRPr="0018578C" w:rsidRDefault="00C87E1E" w:rsidP="00C87E1E">
            <w:pPr>
              <w:spacing w:before="60" w:after="60"/>
              <w:jc w:val="center"/>
              <w:rPr>
                <w:noProof/>
                <w:sz w:val="20"/>
                <w:lang w:eastAsia="en-GB"/>
              </w:rPr>
            </w:pPr>
          </w:p>
        </w:tc>
        <w:tc>
          <w:tcPr>
            <w:tcW w:w="964" w:type="dxa"/>
            <w:vAlign w:val="center"/>
          </w:tcPr>
          <w:p w14:paraId="619300D8" w14:textId="77777777" w:rsidR="00C87E1E" w:rsidRPr="0018578C" w:rsidRDefault="00C87E1E" w:rsidP="00C87E1E">
            <w:pPr>
              <w:spacing w:before="60" w:after="60"/>
              <w:jc w:val="center"/>
              <w:rPr>
                <w:noProof/>
                <w:sz w:val="20"/>
                <w:lang w:eastAsia="en-GB"/>
              </w:rPr>
            </w:pPr>
          </w:p>
        </w:tc>
        <w:tc>
          <w:tcPr>
            <w:tcW w:w="964" w:type="dxa"/>
            <w:vAlign w:val="center"/>
          </w:tcPr>
          <w:p w14:paraId="5F943D54" w14:textId="77777777" w:rsidR="00C87E1E" w:rsidRPr="0018578C" w:rsidRDefault="00C87E1E" w:rsidP="00C87E1E">
            <w:pPr>
              <w:spacing w:before="60" w:after="60"/>
              <w:jc w:val="center"/>
              <w:rPr>
                <w:noProof/>
                <w:sz w:val="20"/>
                <w:lang w:eastAsia="en-GB"/>
              </w:rPr>
            </w:pPr>
          </w:p>
        </w:tc>
        <w:tc>
          <w:tcPr>
            <w:tcW w:w="964" w:type="dxa"/>
            <w:vAlign w:val="center"/>
          </w:tcPr>
          <w:p w14:paraId="550197B5" w14:textId="77777777" w:rsidR="00C87E1E" w:rsidRPr="0018578C" w:rsidRDefault="00C87E1E" w:rsidP="00C87E1E">
            <w:pPr>
              <w:spacing w:before="60" w:after="60"/>
              <w:jc w:val="center"/>
              <w:rPr>
                <w:noProof/>
                <w:sz w:val="20"/>
                <w:lang w:eastAsia="en-GB"/>
              </w:rPr>
            </w:pPr>
          </w:p>
        </w:tc>
        <w:tc>
          <w:tcPr>
            <w:tcW w:w="964" w:type="dxa"/>
            <w:vAlign w:val="center"/>
          </w:tcPr>
          <w:p w14:paraId="3925CC94" w14:textId="77777777" w:rsidR="00C87E1E" w:rsidRPr="0018578C" w:rsidRDefault="00C87E1E" w:rsidP="00C87E1E">
            <w:pPr>
              <w:spacing w:before="60" w:after="60"/>
              <w:jc w:val="center"/>
              <w:rPr>
                <w:noProof/>
                <w:sz w:val="20"/>
                <w:lang w:eastAsia="en-GB"/>
              </w:rPr>
            </w:pPr>
          </w:p>
        </w:tc>
        <w:tc>
          <w:tcPr>
            <w:tcW w:w="964" w:type="dxa"/>
            <w:vAlign w:val="center"/>
          </w:tcPr>
          <w:p w14:paraId="7A260ABA" w14:textId="77777777" w:rsidR="00C87E1E" w:rsidRPr="0018578C" w:rsidRDefault="00C87E1E" w:rsidP="00C87E1E">
            <w:pPr>
              <w:spacing w:before="60" w:after="60"/>
              <w:jc w:val="center"/>
              <w:rPr>
                <w:noProof/>
                <w:sz w:val="20"/>
                <w:lang w:eastAsia="en-GB"/>
              </w:rPr>
            </w:pPr>
          </w:p>
        </w:tc>
        <w:tc>
          <w:tcPr>
            <w:tcW w:w="1158" w:type="dxa"/>
            <w:vAlign w:val="center"/>
          </w:tcPr>
          <w:p w14:paraId="20766DEB" w14:textId="77777777" w:rsidR="00C87E1E" w:rsidRPr="0018578C" w:rsidRDefault="00C87E1E" w:rsidP="00C87E1E">
            <w:pPr>
              <w:spacing w:before="60" w:after="60"/>
              <w:jc w:val="center"/>
              <w:rPr>
                <w:noProof/>
                <w:sz w:val="20"/>
                <w:lang w:eastAsia="en-GB"/>
              </w:rPr>
            </w:pPr>
          </w:p>
        </w:tc>
      </w:tr>
    </w:tbl>
    <w:p w14:paraId="5A8BC20D" w14:textId="77777777" w:rsidR="00C87E1E" w:rsidRPr="0018578C" w:rsidRDefault="00C87E1E" w:rsidP="00C87E1E">
      <w:pPr>
        <w:rPr>
          <w:noProof/>
        </w:rPr>
      </w:pPr>
      <w:r w:rsidRPr="0018578C">
        <w:rPr>
          <w:noProof/>
        </w:rPr>
        <w:t xml:space="preserve"> </w:t>
      </w:r>
      <w:r w:rsidRPr="0018578C">
        <w:rPr>
          <w:noProof/>
        </w:rPr>
        <w:br/>
      </w:r>
    </w:p>
    <w:p w14:paraId="3EA042AA" w14:textId="77777777" w:rsidR="00C87E1E" w:rsidRPr="0018578C" w:rsidRDefault="00C87E1E" w:rsidP="00FB18F4">
      <w:pPr>
        <w:keepNext/>
        <w:outlineLvl w:val="1"/>
        <w:rPr>
          <w:rFonts w:eastAsiaTheme="majorEastAsia"/>
          <w:b/>
          <w:noProof/>
          <w:szCs w:val="24"/>
        </w:rPr>
      </w:pPr>
      <w:r w:rsidRPr="0018578C">
        <w:rPr>
          <w:noProof/>
        </w:rPr>
        <w:br w:type="page"/>
      </w:r>
      <w:bookmarkStart w:id="65" w:name="_Toc514938059"/>
      <w:bookmarkStart w:id="66" w:name="_Toc520485057"/>
      <w:r w:rsidRPr="0018578C">
        <w:rPr>
          <w:b/>
          <w:noProof/>
        </w:rPr>
        <w:t>Incidenza prevista sulle entrate</w:t>
      </w:r>
      <w:bookmarkEnd w:id="65"/>
      <w:bookmarkEnd w:id="66"/>
      <w:r w:rsidRPr="0018578C">
        <w:rPr>
          <w:b/>
          <w:noProof/>
        </w:rPr>
        <w:t xml:space="preserve"> </w:t>
      </w:r>
    </w:p>
    <w:p w14:paraId="252A5AB6" w14:textId="77777777" w:rsidR="00E41E7D" w:rsidRPr="0018578C" w:rsidRDefault="00137AA4" w:rsidP="00E41E7D">
      <w:pPr>
        <w:pStyle w:val="ListDash1"/>
        <w:rPr>
          <w:noProof/>
        </w:rPr>
      </w:pPr>
      <w:r w:rsidRPr="0018578C">
        <w:rPr>
          <w:b/>
          <w:noProof/>
        </w:rPr>
        <w:t>X</w:t>
      </w:r>
      <w:r w:rsidRPr="0018578C">
        <w:rPr>
          <w:noProof/>
        </w:rPr>
        <w:t xml:space="preserve"> La proposta/iniziativa non ha incidenza finanziaria sulle entrate.</w:t>
      </w:r>
    </w:p>
    <w:p w14:paraId="64E6C19F" w14:textId="77777777" w:rsidR="00E41E7D" w:rsidRPr="0018578C" w:rsidRDefault="00E41E7D" w:rsidP="00E41E7D">
      <w:pPr>
        <w:pStyle w:val="ListDash1"/>
        <w:rPr>
          <w:noProof/>
        </w:rPr>
      </w:pPr>
      <w:r w:rsidRPr="0018578C">
        <w:rPr>
          <w:noProof/>
        </w:rPr>
        <w:sym w:font="Wingdings" w:char="F0A8"/>
      </w:r>
      <w:r w:rsidRPr="0018578C">
        <w:rPr>
          <w:noProof/>
        </w:rPr>
        <w:tab/>
        <w:t>La proposta/iniziativa ha la seguente incidenza finanziaria:</w:t>
      </w:r>
    </w:p>
    <w:p w14:paraId="039ED1DF" w14:textId="77777777" w:rsidR="00E41E7D" w:rsidRPr="0018578C" w:rsidRDefault="00E41E7D" w:rsidP="00855A8A">
      <w:pPr>
        <w:ind w:left="697" w:firstLine="720"/>
        <w:rPr>
          <w:noProof/>
        </w:rPr>
      </w:pPr>
      <w:r w:rsidRPr="0018578C">
        <w:rPr>
          <w:noProof/>
        </w:rPr>
        <w:sym w:font="Wingdings" w:char="F0A8"/>
      </w:r>
      <w:r w:rsidRPr="0018578C">
        <w:rPr>
          <w:noProof/>
        </w:rPr>
        <w:tab/>
        <w:t xml:space="preserve">sulle risorse proprie </w:t>
      </w:r>
    </w:p>
    <w:p w14:paraId="7EE61B12" w14:textId="77777777" w:rsidR="00E41E7D" w:rsidRPr="0018578C" w:rsidRDefault="00137AA4" w:rsidP="00855A8A">
      <w:pPr>
        <w:ind w:left="697" w:firstLine="720"/>
        <w:rPr>
          <w:noProof/>
        </w:rPr>
      </w:pPr>
      <w:r w:rsidRPr="0018578C">
        <w:rPr>
          <w:noProof/>
        </w:rPr>
        <w:sym w:font="Wingdings" w:char="F0A8"/>
      </w:r>
      <w:r w:rsidRPr="0018578C">
        <w:rPr>
          <w:noProof/>
        </w:rPr>
        <w:tab/>
        <w:t>su altre entrate</w:t>
      </w:r>
    </w:p>
    <w:p w14:paraId="5CA9712E" w14:textId="77777777" w:rsidR="00E41E7D" w:rsidRPr="0018578C" w:rsidRDefault="00E41E7D" w:rsidP="00E41E7D">
      <w:pPr>
        <w:pStyle w:val="ListNumberLevel3"/>
        <w:tabs>
          <w:tab w:val="clear" w:pos="2126"/>
        </w:tabs>
        <w:ind w:left="1417" w:firstLine="0"/>
        <w:rPr>
          <w:noProof/>
        </w:rPr>
      </w:pPr>
    </w:p>
    <w:p w14:paraId="6B67E46C" w14:textId="77777777" w:rsidR="00C87E1E" w:rsidRPr="0018578C" w:rsidRDefault="00C87E1E" w:rsidP="00C87E1E">
      <w:pPr>
        <w:numPr>
          <w:ilvl w:val="2"/>
          <w:numId w:val="0"/>
        </w:numPr>
        <w:tabs>
          <w:tab w:val="num" w:pos="2126"/>
        </w:tabs>
        <w:ind w:left="2126" w:hanging="709"/>
        <w:rPr>
          <w:noProof/>
        </w:rPr>
      </w:pPr>
      <w:r w:rsidRPr="0018578C">
        <w:rPr>
          <w:noProof/>
        </w:rPr>
        <w:t xml:space="preserve">indicare se le entrate sono destinate a linee di spesa specifiche </w:t>
      </w:r>
      <w:r w:rsidRPr="0018578C">
        <w:rPr>
          <w:noProof/>
        </w:rPr>
        <w:sym w:font="Wingdings" w:char="F0A8"/>
      </w:r>
      <w:r w:rsidRPr="0018578C">
        <w:rPr>
          <w:noProof/>
        </w:rPr>
        <w:tab/>
      </w:r>
    </w:p>
    <w:p w14:paraId="0BB306F6" w14:textId="77777777" w:rsidR="00C87E1E" w:rsidRPr="0018578C" w:rsidRDefault="00C87E1E" w:rsidP="00C87E1E">
      <w:pPr>
        <w:ind w:left="4320"/>
        <w:rPr>
          <w:i/>
          <w:noProof/>
          <w:sz w:val="20"/>
        </w:rPr>
      </w:pPr>
      <w:r w:rsidRPr="0018578C">
        <w:rPr>
          <w:noProof/>
        </w:rPr>
        <w:t xml:space="preserve">     Mio EUR (al terzo decimale)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87E1E" w:rsidRPr="0018578C" w14:paraId="180217A1" w14:textId="77777777" w:rsidTr="00C87E1E">
        <w:trPr>
          <w:trHeight w:val="388"/>
        </w:trPr>
        <w:tc>
          <w:tcPr>
            <w:tcW w:w="2144" w:type="dxa"/>
            <w:vMerge w:val="restart"/>
            <w:vAlign w:val="center"/>
          </w:tcPr>
          <w:p w14:paraId="6E1ECB6E" w14:textId="77777777" w:rsidR="00C87E1E" w:rsidRPr="0018578C" w:rsidRDefault="00C87E1E" w:rsidP="00C87E1E">
            <w:pPr>
              <w:spacing w:before="40" w:after="40"/>
              <w:rPr>
                <w:noProof/>
                <w:sz w:val="18"/>
              </w:rPr>
            </w:pPr>
            <w:r w:rsidRPr="0018578C">
              <w:rPr>
                <w:noProof/>
                <w:sz w:val="18"/>
              </w:rPr>
              <w:t>Linea di bilancio delle entrate:</w:t>
            </w:r>
          </w:p>
        </w:tc>
        <w:tc>
          <w:tcPr>
            <w:tcW w:w="1325" w:type="dxa"/>
            <w:vMerge w:val="restart"/>
            <w:vAlign w:val="center"/>
          </w:tcPr>
          <w:p w14:paraId="2E6F206A" w14:textId="77777777" w:rsidR="00C87E1E" w:rsidRPr="0018578C" w:rsidRDefault="00C87E1E" w:rsidP="00C87E1E">
            <w:pPr>
              <w:jc w:val="center"/>
              <w:rPr>
                <w:noProof/>
                <w:sz w:val="18"/>
              </w:rPr>
            </w:pPr>
            <w:r w:rsidRPr="0018578C">
              <w:rPr>
                <w:noProof/>
                <w:sz w:val="18"/>
              </w:rPr>
              <w:t>Stanziamenti disponibili per l'esercizio in corso</w:t>
            </w:r>
          </w:p>
        </w:tc>
        <w:tc>
          <w:tcPr>
            <w:tcW w:w="7151" w:type="dxa"/>
            <w:gridSpan w:val="7"/>
            <w:vAlign w:val="center"/>
          </w:tcPr>
          <w:p w14:paraId="783B5A3F" w14:textId="77777777" w:rsidR="00C87E1E" w:rsidRPr="0018578C" w:rsidRDefault="00C87E1E" w:rsidP="00C87E1E">
            <w:pPr>
              <w:jc w:val="center"/>
              <w:rPr>
                <w:noProof/>
                <w:sz w:val="18"/>
              </w:rPr>
            </w:pPr>
            <w:r w:rsidRPr="0018578C">
              <w:rPr>
                <w:noProof/>
                <w:sz w:val="18"/>
              </w:rPr>
              <w:t>Incidenza della proposta/iniziativa</w:t>
            </w:r>
            <w:r w:rsidRPr="0018578C">
              <w:rPr>
                <w:rStyle w:val="FootnoteReference"/>
                <w:noProof/>
              </w:rPr>
              <w:footnoteReference w:id="33"/>
            </w:r>
          </w:p>
        </w:tc>
      </w:tr>
      <w:tr w:rsidR="00C87E1E" w:rsidRPr="0018578C" w14:paraId="5E381809" w14:textId="77777777" w:rsidTr="00C87E1E">
        <w:trPr>
          <w:trHeight w:val="388"/>
        </w:trPr>
        <w:tc>
          <w:tcPr>
            <w:tcW w:w="2144" w:type="dxa"/>
            <w:vMerge/>
          </w:tcPr>
          <w:p w14:paraId="23512EF7" w14:textId="77777777" w:rsidR="00C87E1E" w:rsidRPr="0018578C" w:rsidRDefault="00C87E1E" w:rsidP="00C87E1E">
            <w:pPr>
              <w:spacing w:before="40" w:after="40"/>
              <w:rPr>
                <w:noProof/>
                <w:sz w:val="18"/>
                <w:lang w:eastAsia="en-GB"/>
              </w:rPr>
            </w:pPr>
          </w:p>
        </w:tc>
        <w:tc>
          <w:tcPr>
            <w:tcW w:w="1325" w:type="dxa"/>
            <w:vMerge/>
          </w:tcPr>
          <w:p w14:paraId="7C838B66" w14:textId="77777777" w:rsidR="00C87E1E" w:rsidRPr="0018578C" w:rsidRDefault="00C87E1E" w:rsidP="00C87E1E">
            <w:pPr>
              <w:spacing w:beforeLines="40" w:before="96" w:afterLines="40" w:after="96"/>
              <w:rPr>
                <w:i/>
                <w:noProof/>
                <w:sz w:val="18"/>
                <w:lang w:eastAsia="en-GB"/>
              </w:rPr>
            </w:pPr>
          </w:p>
        </w:tc>
        <w:tc>
          <w:tcPr>
            <w:tcW w:w="1031" w:type="dxa"/>
            <w:vAlign w:val="center"/>
          </w:tcPr>
          <w:p w14:paraId="5D87C7CE" w14:textId="77777777" w:rsidR="00C87E1E" w:rsidRPr="0018578C" w:rsidRDefault="00C87E1E" w:rsidP="00C87E1E">
            <w:pPr>
              <w:jc w:val="center"/>
              <w:rPr>
                <w:noProof/>
                <w:sz w:val="18"/>
              </w:rPr>
            </w:pPr>
            <w:r w:rsidRPr="0018578C">
              <w:rPr>
                <w:noProof/>
                <w:sz w:val="18"/>
              </w:rPr>
              <w:t>Anno</w:t>
            </w:r>
            <w:r w:rsidRPr="0018578C">
              <w:rPr>
                <w:noProof/>
              </w:rPr>
              <w:t xml:space="preserve"> </w:t>
            </w:r>
            <w:r w:rsidRPr="0018578C">
              <w:rPr>
                <w:noProof/>
              </w:rPr>
              <w:br/>
            </w:r>
            <w:r w:rsidRPr="0018578C">
              <w:rPr>
                <w:b/>
                <w:noProof/>
                <w:sz w:val="18"/>
              </w:rPr>
              <w:t>N</w:t>
            </w:r>
          </w:p>
        </w:tc>
        <w:tc>
          <w:tcPr>
            <w:tcW w:w="900" w:type="dxa"/>
            <w:vAlign w:val="center"/>
          </w:tcPr>
          <w:p w14:paraId="3D091E80" w14:textId="77777777" w:rsidR="00C87E1E" w:rsidRPr="0018578C" w:rsidRDefault="00C87E1E" w:rsidP="00C87E1E">
            <w:pPr>
              <w:jc w:val="center"/>
              <w:rPr>
                <w:noProof/>
                <w:sz w:val="18"/>
              </w:rPr>
            </w:pPr>
            <w:r w:rsidRPr="0018578C">
              <w:rPr>
                <w:noProof/>
                <w:sz w:val="18"/>
              </w:rPr>
              <w:t>Anno</w:t>
            </w:r>
            <w:r w:rsidRPr="0018578C">
              <w:rPr>
                <w:noProof/>
              </w:rPr>
              <w:t xml:space="preserve"> </w:t>
            </w:r>
            <w:r w:rsidRPr="0018578C">
              <w:rPr>
                <w:noProof/>
              </w:rPr>
              <w:br/>
            </w:r>
            <w:r w:rsidRPr="0018578C">
              <w:rPr>
                <w:b/>
                <w:noProof/>
                <w:sz w:val="18"/>
              </w:rPr>
              <w:t>N+1</w:t>
            </w:r>
          </w:p>
        </w:tc>
        <w:tc>
          <w:tcPr>
            <w:tcW w:w="900" w:type="dxa"/>
            <w:vAlign w:val="center"/>
          </w:tcPr>
          <w:p w14:paraId="21E3E739" w14:textId="77777777" w:rsidR="00C87E1E" w:rsidRPr="0018578C" w:rsidRDefault="00C87E1E" w:rsidP="00C87E1E">
            <w:pPr>
              <w:jc w:val="center"/>
              <w:rPr>
                <w:noProof/>
                <w:sz w:val="18"/>
              </w:rPr>
            </w:pPr>
            <w:r w:rsidRPr="0018578C">
              <w:rPr>
                <w:noProof/>
                <w:sz w:val="18"/>
              </w:rPr>
              <w:t>Anno</w:t>
            </w:r>
            <w:r w:rsidRPr="0018578C">
              <w:rPr>
                <w:noProof/>
              </w:rPr>
              <w:t xml:space="preserve"> </w:t>
            </w:r>
            <w:r w:rsidRPr="0018578C">
              <w:rPr>
                <w:noProof/>
              </w:rPr>
              <w:br/>
            </w:r>
            <w:r w:rsidRPr="0018578C">
              <w:rPr>
                <w:b/>
                <w:noProof/>
                <w:sz w:val="18"/>
              </w:rPr>
              <w:t>N+2</w:t>
            </w:r>
          </w:p>
        </w:tc>
        <w:tc>
          <w:tcPr>
            <w:tcW w:w="1080" w:type="dxa"/>
            <w:vAlign w:val="center"/>
          </w:tcPr>
          <w:p w14:paraId="3F2A3D90" w14:textId="77777777" w:rsidR="00C87E1E" w:rsidRPr="0018578C" w:rsidRDefault="00C87E1E" w:rsidP="00C87E1E">
            <w:pPr>
              <w:jc w:val="center"/>
              <w:rPr>
                <w:noProof/>
                <w:sz w:val="18"/>
              </w:rPr>
            </w:pPr>
            <w:r w:rsidRPr="0018578C">
              <w:rPr>
                <w:noProof/>
                <w:sz w:val="18"/>
              </w:rPr>
              <w:t>Anno</w:t>
            </w:r>
            <w:r w:rsidRPr="0018578C">
              <w:rPr>
                <w:noProof/>
              </w:rPr>
              <w:t xml:space="preserve"> </w:t>
            </w:r>
            <w:r w:rsidRPr="0018578C">
              <w:rPr>
                <w:noProof/>
              </w:rPr>
              <w:br/>
            </w:r>
            <w:r w:rsidRPr="0018578C">
              <w:rPr>
                <w:b/>
                <w:noProof/>
                <w:sz w:val="18"/>
              </w:rPr>
              <w:t>N+3</w:t>
            </w:r>
          </w:p>
        </w:tc>
        <w:tc>
          <w:tcPr>
            <w:tcW w:w="3240" w:type="dxa"/>
            <w:gridSpan w:val="3"/>
            <w:vAlign w:val="center"/>
          </w:tcPr>
          <w:p w14:paraId="52889E92" w14:textId="77777777" w:rsidR="00C87E1E" w:rsidRPr="0018578C" w:rsidRDefault="00C87E1E" w:rsidP="00C87E1E">
            <w:pPr>
              <w:jc w:val="center"/>
              <w:rPr>
                <w:b/>
                <w:noProof/>
                <w:sz w:val="18"/>
              </w:rPr>
            </w:pPr>
            <w:r w:rsidRPr="0018578C">
              <w:rPr>
                <w:noProof/>
                <w:sz w:val="18"/>
              </w:rPr>
              <w:t>Inserire gli anni necessari per evidenziare la durata dell'incidenza (cfr. punto 1.6)</w:t>
            </w:r>
          </w:p>
        </w:tc>
      </w:tr>
      <w:tr w:rsidR="00C87E1E" w:rsidRPr="0018578C" w14:paraId="13CB5366" w14:textId="77777777" w:rsidTr="00C87E1E">
        <w:trPr>
          <w:trHeight w:val="388"/>
        </w:trPr>
        <w:tc>
          <w:tcPr>
            <w:tcW w:w="2144" w:type="dxa"/>
            <w:vAlign w:val="center"/>
          </w:tcPr>
          <w:p w14:paraId="28FEF8AC" w14:textId="77777777" w:rsidR="00C87E1E" w:rsidRPr="0018578C" w:rsidRDefault="00C87E1E" w:rsidP="00C87E1E">
            <w:pPr>
              <w:spacing w:before="40" w:after="40"/>
              <w:rPr>
                <w:noProof/>
                <w:sz w:val="18"/>
              </w:rPr>
            </w:pPr>
            <w:r w:rsidRPr="0018578C">
              <w:rPr>
                <w:noProof/>
                <w:sz w:val="18"/>
              </w:rPr>
              <w:t>Articolo ………….</w:t>
            </w:r>
          </w:p>
        </w:tc>
        <w:tc>
          <w:tcPr>
            <w:tcW w:w="1325" w:type="dxa"/>
          </w:tcPr>
          <w:p w14:paraId="5896AB6F" w14:textId="77777777" w:rsidR="00C87E1E" w:rsidRPr="0018578C" w:rsidRDefault="00C87E1E" w:rsidP="00C87E1E">
            <w:pPr>
              <w:spacing w:beforeLines="40" w:before="96" w:afterLines="40" w:after="96"/>
              <w:jc w:val="center"/>
              <w:rPr>
                <w:i/>
                <w:noProof/>
                <w:sz w:val="18"/>
                <w:lang w:eastAsia="en-GB"/>
              </w:rPr>
            </w:pPr>
          </w:p>
        </w:tc>
        <w:tc>
          <w:tcPr>
            <w:tcW w:w="1031" w:type="dxa"/>
          </w:tcPr>
          <w:p w14:paraId="273BB012" w14:textId="77777777" w:rsidR="00C87E1E" w:rsidRPr="0018578C" w:rsidRDefault="00C87E1E" w:rsidP="00C87E1E">
            <w:pPr>
              <w:spacing w:beforeLines="40" w:before="96" w:afterLines="40" w:after="96"/>
              <w:jc w:val="center"/>
              <w:rPr>
                <w:noProof/>
                <w:sz w:val="18"/>
                <w:lang w:eastAsia="en-GB"/>
              </w:rPr>
            </w:pPr>
          </w:p>
        </w:tc>
        <w:tc>
          <w:tcPr>
            <w:tcW w:w="900" w:type="dxa"/>
          </w:tcPr>
          <w:p w14:paraId="37DE67D9" w14:textId="77777777" w:rsidR="00C87E1E" w:rsidRPr="0018578C" w:rsidRDefault="00C87E1E" w:rsidP="00C87E1E">
            <w:pPr>
              <w:spacing w:beforeLines="40" w:before="96" w:afterLines="40" w:after="96"/>
              <w:jc w:val="center"/>
              <w:rPr>
                <w:noProof/>
                <w:sz w:val="18"/>
                <w:lang w:eastAsia="en-GB"/>
              </w:rPr>
            </w:pPr>
          </w:p>
        </w:tc>
        <w:tc>
          <w:tcPr>
            <w:tcW w:w="900" w:type="dxa"/>
          </w:tcPr>
          <w:p w14:paraId="6A42CA58" w14:textId="77777777" w:rsidR="00C87E1E" w:rsidRPr="0018578C" w:rsidRDefault="00C87E1E" w:rsidP="00C87E1E">
            <w:pPr>
              <w:spacing w:beforeLines="40" w:before="96" w:afterLines="40" w:after="96"/>
              <w:jc w:val="center"/>
              <w:rPr>
                <w:noProof/>
                <w:sz w:val="18"/>
                <w:lang w:eastAsia="en-GB"/>
              </w:rPr>
            </w:pPr>
          </w:p>
        </w:tc>
        <w:tc>
          <w:tcPr>
            <w:tcW w:w="1080" w:type="dxa"/>
          </w:tcPr>
          <w:p w14:paraId="1F597BFF" w14:textId="77777777" w:rsidR="00C87E1E" w:rsidRPr="0018578C" w:rsidRDefault="00C87E1E" w:rsidP="00C87E1E">
            <w:pPr>
              <w:spacing w:beforeLines="40" w:before="96" w:afterLines="40" w:after="96"/>
              <w:jc w:val="center"/>
              <w:rPr>
                <w:noProof/>
                <w:sz w:val="18"/>
                <w:lang w:eastAsia="en-GB"/>
              </w:rPr>
            </w:pPr>
          </w:p>
        </w:tc>
        <w:tc>
          <w:tcPr>
            <w:tcW w:w="1080" w:type="dxa"/>
          </w:tcPr>
          <w:p w14:paraId="46F699F0" w14:textId="77777777" w:rsidR="00C87E1E" w:rsidRPr="0018578C" w:rsidRDefault="00C87E1E" w:rsidP="00C87E1E">
            <w:pPr>
              <w:spacing w:beforeLines="40" w:before="96" w:afterLines="40" w:after="96"/>
              <w:jc w:val="center"/>
              <w:rPr>
                <w:noProof/>
                <w:sz w:val="18"/>
                <w:lang w:eastAsia="en-GB"/>
              </w:rPr>
            </w:pPr>
          </w:p>
        </w:tc>
        <w:tc>
          <w:tcPr>
            <w:tcW w:w="1080" w:type="dxa"/>
          </w:tcPr>
          <w:p w14:paraId="7D7C5DC8" w14:textId="77777777" w:rsidR="00C87E1E" w:rsidRPr="0018578C" w:rsidRDefault="00C87E1E" w:rsidP="00C87E1E">
            <w:pPr>
              <w:spacing w:beforeLines="40" w:before="96" w:afterLines="40" w:after="96"/>
              <w:jc w:val="center"/>
              <w:rPr>
                <w:noProof/>
                <w:sz w:val="18"/>
                <w:lang w:eastAsia="en-GB"/>
              </w:rPr>
            </w:pPr>
          </w:p>
        </w:tc>
        <w:tc>
          <w:tcPr>
            <w:tcW w:w="1080" w:type="dxa"/>
          </w:tcPr>
          <w:p w14:paraId="2726BA71" w14:textId="77777777" w:rsidR="00C87E1E" w:rsidRPr="0018578C" w:rsidRDefault="00C87E1E" w:rsidP="00C87E1E">
            <w:pPr>
              <w:spacing w:beforeLines="40" w:before="96" w:afterLines="40" w:after="96"/>
              <w:jc w:val="center"/>
              <w:rPr>
                <w:noProof/>
                <w:sz w:val="18"/>
                <w:lang w:eastAsia="en-GB"/>
              </w:rPr>
            </w:pPr>
          </w:p>
        </w:tc>
      </w:tr>
    </w:tbl>
    <w:p w14:paraId="7A4B3B6E" w14:textId="77777777" w:rsidR="00C87E1E" w:rsidRPr="0018578C" w:rsidRDefault="00C87E1E" w:rsidP="00FB18F4">
      <w:pPr>
        <w:rPr>
          <w:noProof/>
          <w:sz w:val="20"/>
        </w:rPr>
      </w:pPr>
      <w:r w:rsidRPr="0018578C">
        <w:rPr>
          <w:noProof/>
          <w:sz w:val="20"/>
        </w:rPr>
        <w:t>Per quanto riguarda le entrate con destinazione specifica, precisare la o le linee di spesa interessate.</w:t>
      </w:r>
    </w:p>
    <w:p w14:paraId="3333E0D3" w14:textId="77777777" w:rsidR="00C87E1E" w:rsidRPr="0018578C" w:rsidRDefault="00C87E1E" w:rsidP="00FB18F4">
      <w:pPr>
        <w:pBdr>
          <w:top w:val="single" w:sz="4" w:space="1" w:color="auto"/>
          <w:left w:val="single" w:sz="4" w:space="4" w:color="auto"/>
          <w:bottom w:val="single" w:sz="4" w:space="1" w:color="auto"/>
          <w:right w:val="single" w:sz="4" w:space="4" w:color="auto"/>
        </w:pBdr>
        <w:rPr>
          <w:noProof/>
        </w:rPr>
      </w:pPr>
      <w:r w:rsidRPr="0018578C">
        <w:rPr>
          <w:noProof/>
          <w:color w:val="0000FF"/>
        </w:rPr>
        <w:t>[…]</w:t>
      </w:r>
    </w:p>
    <w:p w14:paraId="6844CDD9" w14:textId="77777777" w:rsidR="00C87E1E" w:rsidRPr="0018578C" w:rsidRDefault="00C87E1E" w:rsidP="00FB18F4">
      <w:pPr>
        <w:rPr>
          <w:noProof/>
          <w:sz w:val="20"/>
        </w:rPr>
      </w:pPr>
      <w:r w:rsidRPr="0018578C">
        <w:rPr>
          <w:noProof/>
          <w:sz w:val="20"/>
        </w:rPr>
        <w:t>Altre osservazioni (ad es. formula/metodo per calcolare l'incidenza sulle entrate o altre informazioni)</w:t>
      </w:r>
    </w:p>
    <w:p w14:paraId="3299FDD0" w14:textId="77777777" w:rsidR="00C1332E" w:rsidRPr="0018578C" w:rsidRDefault="00C87E1E" w:rsidP="004B3EAF">
      <w:pPr>
        <w:pBdr>
          <w:top w:val="single" w:sz="4" w:space="1" w:color="auto"/>
          <w:left w:val="single" w:sz="4" w:space="4" w:color="auto"/>
          <w:bottom w:val="single" w:sz="4" w:space="1" w:color="auto"/>
          <w:right w:val="single" w:sz="4" w:space="4" w:color="auto"/>
        </w:pBdr>
        <w:rPr>
          <w:noProof/>
        </w:rPr>
      </w:pPr>
      <w:r w:rsidRPr="0018578C">
        <w:rPr>
          <w:noProof/>
          <w:color w:val="0000FF"/>
        </w:rPr>
        <w:t>[…]</w:t>
      </w:r>
    </w:p>
    <w:sectPr w:rsidR="00C1332E" w:rsidRPr="0018578C" w:rsidSect="0005544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63A1" w14:textId="77777777" w:rsidR="00475666" w:rsidRDefault="00475666">
      <w:pPr>
        <w:spacing w:before="0" w:after="0"/>
      </w:pPr>
      <w:r>
        <w:separator/>
      </w:r>
    </w:p>
  </w:endnote>
  <w:endnote w:type="continuationSeparator" w:id="0">
    <w:p w14:paraId="7F6B33A6" w14:textId="77777777" w:rsidR="00475666" w:rsidRDefault="00475666">
      <w:pPr>
        <w:spacing w:before="0" w:after="0"/>
      </w:pPr>
      <w:r>
        <w:continuationSeparator/>
      </w:r>
    </w:p>
  </w:endnote>
  <w:endnote w:type="continuationNotice" w:id="1">
    <w:p w14:paraId="53694E48" w14:textId="77777777" w:rsidR="00475666" w:rsidRDefault="004756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B1D2" w14:textId="4A9B72C4" w:rsidR="00D44E27" w:rsidRPr="0005544D" w:rsidRDefault="0005544D" w:rsidP="0005544D">
    <w:pPr>
      <w:pStyle w:val="Footer"/>
      <w:rPr>
        <w:rFonts w:ascii="Arial" w:hAnsi="Arial" w:cs="Arial"/>
        <w:b/>
        <w:sz w:val="48"/>
      </w:rPr>
    </w:pPr>
    <w:r w:rsidRPr="0005544D">
      <w:rPr>
        <w:rFonts w:ascii="Arial" w:hAnsi="Arial" w:cs="Arial"/>
        <w:b/>
        <w:sz w:val="48"/>
      </w:rPr>
      <w:t>IT</w:t>
    </w:r>
    <w:r w:rsidRPr="0005544D">
      <w:rPr>
        <w:rFonts w:ascii="Arial" w:hAnsi="Arial" w:cs="Arial"/>
        <w:b/>
        <w:sz w:val="48"/>
      </w:rPr>
      <w:tab/>
    </w:r>
    <w:r w:rsidRPr="0005544D">
      <w:rPr>
        <w:rFonts w:ascii="Arial" w:hAnsi="Arial" w:cs="Arial"/>
        <w:b/>
        <w:sz w:val="48"/>
      </w:rPr>
      <w:tab/>
    </w:r>
    <w:r w:rsidRPr="0005544D">
      <w:tab/>
    </w:r>
    <w:r w:rsidRPr="0005544D">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56F0" w14:textId="5A25CDC5" w:rsidR="0005544D" w:rsidRPr="0005544D" w:rsidRDefault="0005544D" w:rsidP="0005544D">
    <w:pPr>
      <w:pStyle w:val="Footer"/>
      <w:rPr>
        <w:rFonts w:ascii="Arial" w:hAnsi="Arial" w:cs="Arial"/>
        <w:b/>
        <w:sz w:val="48"/>
      </w:rPr>
    </w:pPr>
    <w:r w:rsidRPr="0005544D">
      <w:rPr>
        <w:rFonts w:ascii="Arial" w:hAnsi="Arial" w:cs="Arial"/>
        <w:b/>
        <w:sz w:val="48"/>
      </w:rPr>
      <w:t>IT</w:t>
    </w:r>
    <w:r w:rsidRPr="0005544D">
      <w:rPr>
        <w:rFonts w:ascii="Arial" w:hAnsi="Arial" w:cs="Arial"/>
        <w:b/>
        <w:sz w:val="48"/>
      </w:rPr>
      <w:tab/>
    </w:r>
    <w:r>
      <w:fldChar w:fldCharType="begin"/>
    </w:r>
    <w:r>
      <w:instrText xml:space="preserve"> PAGE  \* MERGEFORMAT </w:instrText>
    </w:r>
    <w:r>
      <w:fldChar w:fldCharType="separate"/>
    </w:r>
    <w:r w:rsidR="00C41C02">
      <w:rPr>
        <w:noProof/>
      </w:rPr>
      <w:t>16</w:t>
    </w:r>
    <w:r>
      <w:fldChar w:fldCharType="end"/>
    </w:r>
    <w:r>
      <w:tab/>
    </w:r>
    <w:r w:rsidRPr="0005544D">
      <w:tab/>
    </w:r>
    <w:r w:rsidRPr="0005544D">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C597" w14:textId="77777777" w:rsidR="0005544D" w:rsidRPr="0005544D" w:rsidRDefault="0005544D" w:rsidP="00055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BF36" w14:textId="02068AA3" w:rsidR="0005544D" w:rsidRPr="0005544D" w:rsidRDefault="0005544D" w:rsidP="0005544D">
    <w:pPr>
      <w:pStyle w:val="FooterLandscape"/>
      <w:rPr>
        <w:rFonts w:ascii="Arial" w:hAnsi="Arial" w:cs="Arial"/>
        <w:b/>
        <w:sz w:val="48"/>
      </w:rPr>
    </w:pPr>
    <w:r w:rsidRPr="0005544D">
      <w:rPr>
        <w:rFonts w:ascii="Arial" w:hAnsi="Arial" w:cs="Arial"/>
        <w:b/>
        <w:sz w:val="48"/>
      </w:rPr>
      <w:t>IT</w:t>
    </w:r>
    <w:r w:rsidRPr="0005544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5544D">
      <w:tab/>
    </w:r>
    <w:r w:rsidRPr="0005544D">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3E71" w14:textId="77777777" w:rsidR="0005544D" w:rsidRPr="0005544D" w:rsidRDefault="0005544D" w:rsidP="0005544D">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7687" w14:textId="790A5532" w:rsidR="00475666" w:rsidRPr="0005544D" w:rsidRDefault="0005544D" w:rsidP="0005544D">
    <w:pPr>
      <w:pStyle w:val="Footer"/>
      <w:rPr>
        <w:rFonts w:ascii="Arial" w:hAnsi="Arial" w:cs="Arial"/>
        <w:b/>
        <w:sz w:val="48"/>
      </w:rPr>
    </w:pPr>
    <w:r w:rsidRPr="0005544D">
      <w:rPr>
        <w:rFonts w:ascii="Arial" w:hAnsi="Arial" w:cs="Arial"/>
        <w:b/>
        <w:sz w:val="48"/>
      </w:rPr>
      <w:t>IT</w:t>
    </w:r>
    <w:r w:rsidRPr="0005544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5544D">
      <w:tab/>
    </w:r>
    <w:r w:rsidRPr="0005544D">
      <w:rPr>
        <w:rFonts w:ascii="Arial" w:hAnsi="Arial" w:cs="Arial"/>
        <w:b/>
        <w:sz w:val="48"/>
      </w:rPr>
      <w:t>IT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F14A" w14:textId="77777777" w:rsidR="0005544D" w:rsidRPr="0005544D" w:rsidRDefault="0005544D" w:rsidP="0005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6D3DD" w14:textId="77777777" w:rsidR="00475666" w:rsidRDefault="00475666">
      <w:pPr>
        <w:spacing w:before="0" w:after="0"/>
      </w:pPr>
      <w:r>
        <w:separator/>
      </w:r>
    </w:p>
  </w:footnote>
  <w:footnote w:type="continuationSeparator" w:id="0">
    <w:p w14:paraId="47B04C87" w14:textId="77777777" w:rsidR="00475666" w:rsidRDefault="00475666">
      <w:pPr>
        <w:spacing w:before="0" w:after="0"/>
      </w:pPr>
      <w:r>
        <w:continuationSeparator/>
      </w:r>
    </w:p>
  </w:footnote>
  <w:footnote w:type="continuationNotice" w:id="1">
    <w:p w14:paraId="032031E2" w14:textId="77777777" w:rsidR="00475666" w:rsidRDefault="00475666">
      <w:pPr>
        <w:spacing w:before="0" w:after="0"/>
      </w:pPr>
    </w:p>
  </w:footnote>
  <w:footnote w:id="2">
    <w:p w14:paraId="3A27C33F" w14:textId="77777777" w:rsidR="00475666" w:rsidRPr="00475666" w:rsidRDefault="00475666" w:rsidP="002D130D">
      <w:pPr>
        <w:pStyle w:val="FootnoteText"/>
      </w:pPr>
      <w:r>
        <w:rPr>
          <w:rStyle w:val="FootnoteReference"/>
        </w:rPr>
        <w:footnoteRef/>
      </w:r>
      <w:r w:rsidRPr="00475666">
        <w:tab/>
        <w:t>Decisione di esecuzione (UE) 2022/382 del Consiglio, del 4 marzo 2022, che accerta l'esistenza di un afflusso massiccio di sfollati dall'Ucraina ai sensi dell'articolo 5 della direttiva 2001/55/CE e che ha come effetto l'introduzione di una protezione temporanea (GU L 71 del 4.3.2022, pag. 1).</w:t>
      </w:r>
    </w:p>
  </w:footnote>
  <w:footnote w:id="3">
    <w:p w14:paraId="227A0C60" w14:textId="77777777" w:rsidR="00475666" w:rsidRPr="00475666" w:rsidRDefault="00475666" w:rsidP="002D130D">
      <w:pPr>
        <w:pStyle w:val="FootnoteText"/>
      </w:pPr>
      <w:r>
        <w:rPr>
          <w:rStyle w:val="FootnoteReference"/>
        </w:rPr>
        <w:footnoteRef/>
      </w:r>
      <w:r w:rsidRPr="00475666">
        <w:tab/>
        <w:t>Direttiva 2001/55/CE del Consiglio, del 20 luglio 2001, sulle norme minime per la concessione della protezione temporanea in caso di afflusso massiccio di sfollati e sulla promozione dell'equilibrio degli sforzi tra gli Stati membri che ricevono gli sfollati e subiscono le conseguenze dell'accoglienza degli stessi (GU L 212 del 7.8.2001, pag. 12).</w:t>
      </w:r>
    </w:p>
  </w:footnote>
  <w:footnote w:id="4">
    <w:p w14:paraId="3C3151AE" w14:textId="5D8D98EE" w:rsidR="00475666" w:rsidRPr="00475666" w:rsidRDefault="00475666">
      <w:pPr>
        <w:pStyle w:val="FootnoteText"/>
      </w:pPr>
      <w:r>
        <w:rPr>
          <w:rStyle w:val="FootnoteReference"/>
        </w:rPr>
        <w:footnoteRef/>
      </w:r>
      <w:r w:rsidRPr="00475666">
        <w:tab/>
        <w:t>Regolamento (UE) 2022/562 del Parlamento europeo e del Consiglio del 6 aprile 2022 recante modifica dei regolamenti (UE) n. 1303/2013 e (UE) n. 223/2014 per quanto riguarda l'azione di coesione a favore dei rifugiati in Europa (CARE) (GU L 109 dell'8.4.2022, pag. 1).</w:t>
      </w:r>
    </w:p>
  </w:footnote>
  <w:footnote w:id="5">
    <w:p w14:paraId="1A017714" w14:textId="77777777" w:rsidR="00475666" w:rsidRPr="00475666" w:rsidRDefault="00475666">
      <w:pPr>
        <w:pStyle w:val="FootnoteText"/>
      </w:pPr>
      <w:r>
        <w:rPr>
          <w:rStyle w:val="FootnoteReference"/>
        </w:rPr>
        <w:footnoteRef/>
      </w:r>
      <w:r w:rsidRPr="00475666">
        <w:tab/>
        <w:t>GU C [...] del [...], pag. [...].</w:t>
      </w:r>
    </w:p>
  </w:footnote>
  <w:footnote w:id="6">
    <w:p w14:paraId="4541EA72" w14:textId="77777777" w:rsidR="00475666" w:rsidRPr="00475666" w:rsidRDefault="00475666">
      <w:pPr>
        <w:pStyle w:val="FootnoteText"/>
      </w:pPr>
      <w:r>
        <w:rPr>
          <w:rStyle w:val="FootnoteReference"/>
        </w:rPr>
        <w:footnoteRef/>
      </w:r>
      <w:r w:rsidRPr="00475666">
        <w:tab/>
        <w:t>GU C [...] del [...], pag. [...].</w:t>
      </w:r>
    </w:p>
  </w:footnote>
  <w:footnote w:id="7">
    <w:p w14:paraId="0CCBE964" w14:textId="77777777" w:rsidR="00475666" w:rsidRPr="00475666" w:rsidRDefault="00475666" w:rsidP="0011607E">
      <w:pPr>
        <w:pStyle w:val="FootnoteText"/>
      </w:pPr>
      <w:r>
        <w:rPr>
          <w:rStyle w:val="FootnoteReference"/>
        </w:rPr>
        <w:footnoteRef/>
      </w:r>
      <w:r w:rsidRPr="00475666">
        <w:tab/>
        <w:t>Regolamento (UE, Euratom) 2020/2093 del Consiglio del 17 dicembre 2020 che stabilisce il quadro finanziario pluriennale per il periodo 2021-2027 (GU L 433I del 22.12.2020, pag. 11).</w:t>
      </w:r>
    </w:p>
  </w:footnote>
  <w:footnote w:id="8">
    <w:p w14:paraId="6461B69B" w14:textId="46FD0582" w:rsidR="00475666" w:rsidRPr="00475666" w:rsidRDefault="00475666">
      <w:pPr>
        <w:pStyle w:val="FootnoteText"/>
      </w:pPr>
      <w:r>
        <w:rPr>
          <w:rStyle w:val="FootnoteReference"/>
        </w:rPr>
        <w:footnoteRef/>
      </w:r>
      <w:r w:rsidRPr="00475666">
        <w:tab/>
        <w:t>Regolamento (UE) 2022/562 del Parlamento europeo e del Consiglio del 6 aprile 2022 recante modifica dei regolamenti (UE) n. 1303/2013 e (UE) n. 223/2014 per quanto riguarda l'azione di coesione a favore dei rifugiati in Europa (CARE) (GU L 109 dell'8.4.2022, pag. 1).</w:t>
      </w:r>
    </w:p>
  </w:footnote>
  <w:footnote w:id="9">
    <w:p w14:paraId="7CAF8763" w14:textId="77777777" w:rsidR="00475666" w:rsidRPr="00475666" w:rsidRDefault="00475666" w:rsidP="0011607E">
      <w:pPr>
        <w:pStyle w:val="FootnoteText"/>
      </w:pPr>
      <w:r>
        <w:rPr>
          <w:rStyle w:val="FootnoteReference"/>
        </w:rPr>
        <w:footnoteRef/>
      </w:r>
      <w:r w:rsidRPr="00475666">
        <w:tab/>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(GU L 347 del 20.12.2013, pag. 320).</w:t>
      </w:r>
    </w:p>
  </w:footnote>
  <w:footnote w:id="10">
    <w:p w14:paraId="74E9D494" w14:textId="752D1FB3" w:rsidR="00475666" w:rsidRPr="00475666" w:rsidRDefault="00475666" w:rsidP="0011607E">
      <w:pPr>
        <w:pStyle w:val="FootnoteText"/>
      </w:pPr>
      <w:r>
        <w:rPr>
          <w:rStyle w:val="FootnoteReference"/>
        </w:rPr>
        <w:footnoteRef/>
      </w:r>
      <w:r w:rsidRPr="00475666">
        <w:tab/>
        <w:t xml:space="preserve">Regolamento (UE) n. 223/2014 del Parlamento europeo e del Consiglio, </w:t>
      </w:r>
      <w:r w:rsidR="00D44E27" w:rsidRPr="00475666">
        <w:t>dell’11</w:t>
      </w:r>
      <w:r w:rsidRPr="00475666">
        <w:t xml:space="preserve"> marzo 2014, relativo al Fondo di aiuti europei agli indigenti (</w:t>
      </w:r>
      <w:r w:rsidRPr="00475666">
        <w:rPr>
          <w:rStyle w:val="Emphasis"/>
          <w:i w:val="0"/>
          <w:color w:val="333333"/>
          <w:shd w:val="clear" w:color="auto" w:fill="FFFFFF"/>
        </w:rPr>
        <w:t>GU L 72 del 12.3.2014, pag. 1).</w:t>
      </w:r>
    </w:p>
  </w:footnote>
  <w:footnote w:id="11">
    <w:p w14:paraId="23CE5C80" w14:textId="4BC2600E" w:rsidR="00475666" w:rsidRPr="00475666" w:rsidRDefault="00475666">
      <w:pPr>
        <w:pStyle w:val="FootnoteText"/>
      </w:pPr>
      <w:r>
        <w:rPr>
          <w:rStyle w:val="FootnoteReference"/>
        </w:rPr>
        <w:footnoteRef/>
      </w:r>
      <w:r w:rsidRPr="00475666">
        <w:tab/>
        <w:t>Regolamento (UE) 2022/613 del Parlamento europeo e del Consiglio del 12 aprile 2022 recante modifica dei regolamenti (UE) n. 1303/2013 e (UE) n. 223/2014 per quanto riguarda l'aumento del prefinanziamento a titolo delle risorse REACT-EU e l'istituzione di un costo unitario (GU L 115 del 13.4.2022, pag. 38).</w:t>
      </w:r>
    </w:p>
  </w:footnote>
  <w:footnote w:id="12">
    <w:p w14:paraId="449578F3" w14:textId="77777777" w:rsidR="00475666" w:rsidRPr="00475666" w:rsidRDefault="00475666" w:rsidP="00FE6BBA">
      <w:pPr>
        <w:pStyle w:val="FootnoteText"/>
      </w:pPr>
      <w:r>
        <w:rPr>
          <w:rStyle w:val="FootnoteReference"/>
        </w:rPr>
        <w:footnoteRef/>
      </w:r>
      <w:r w:rsidRPr="00475666">
        <w:tab/>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 (GU L 231 del 30.6.2021, pag. 159).</w:t>
      </w:r>
    </w:p>
  </w:footnote>
  <w:footnote w:id="13">
    <w:p w14:paraId="414453F0" w14:textId="34C35DBE" w:rsidR="00475666" w:rsidRPr="00475666" w:rsidRDefault="00475666">
      <w:pPr>
        <w:pStyle w:val="FootnoteText"/>
      </w:pPr>
      <w:r>
        <w:rPr>
          <w:rStyle w:val="FootnoteReference"/>
        </w:rPr>
        <w:footnoteRef/>
      </w:r>
      <w:r w:rsidRPr="00475666">
        <w:tab/>
        <w:t>Decisione di esecuzione (UE) 2022/382 del Consiglio, del 4 marzo 2022, che accerta l'esistenza di un afflusso massiccio di sfollati dall'Ucraina ai sensi dell'articolo 5 della direttiva 2001/55/CE e che ha come effetto l'introduzione di una protezione temporanea (GU L 71 del 4.3.2022, pag. 1).</w:t>
      </w:r>
    </w:p>
  </w:footnote>
  <w:footnote w:id="14">
    <w:p w14:paraId="54544248" w14:textId="2D213DD1" w:rsidR="00475666" w:rsidRPr="00475666" w:rsidRDefault="00475666">
      <w:pPr>
        <w:pStyle w:val="FootnoteText"/>
      </w:pPr>
      <w:r>
        <w:rPr>
          <w:rStyle w:val="FootnoteReference"/>
        </w:rPr>
        <w:footnoteRef/>
      </w:r>
      <w:r w:rsidRPr="00475666">
        <w:tab/>
        <w:t>Direttiva 2001/55/CE del Consiglio, del 20 luglio 2001, sulle norme minime per la concessione della protezione temporanea in caso di afflusso massiccio di sfollati e sulla promozione dell'equilibrio degli sforzi tra gli Stati membri che ricevono gli sfollati e subiscono le conseguenze dell'accoglienza degli stessi (GU L 212 del 7.8.2001, pag. 12).</w:t>
      </w:r>
    </w:p>
  </w:footnote>
  <w:footnote w:id="15">
    <w:p w14:paraId="58483D1A" w14:textId="77777777" w:rsidR="00475666" w:rsidRPr="00475666" w:rsidRDefault="00475666">
      <w:pPr>
        <w:pStyle w:val="FootnoteText"/>
      </w:pPr>
      <w:r>
        <w:rPr>
          <w:rStyle w:val="FootnoteReference"/>
        </w:rPr>
        <w:footnoteRef/>
      </w:r>
      <w:r w:rsidRPr="00475666">
        <w:tab/>
        <w:t>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 (GU L 347 del 20.12.2013, pag. 289).</w:t>
      </w:r>
    </w:p>
  </w:footnote>
  <w:footnote w:id="16">
    <w:p w14:paraId="665CF5C5" w14:textId="77777777" w:rsidR="00475666" w:rsidRPr="00475666" w:rsidRDefault="00475666">
      <w:pPr>
        <w:pStyle w:val="FootnoteText"/>
      </w:pPr>
      <w:r>
        <w:rPr>
          <w:rStyle w:val="FootnoteReference"/>
        </w:rPr>
        <w:footnoteRef/>
      </w:r>
      <w:r w:rsidRPr="00475666">
        <w:tab/>
        <w:t>Regolamento (UE) n. 1304/2013 del Parlamento europeo e del Consiglio, del 17 dicembre 2013, relativo al Fondo sociale europeo e che abroga il regolamento (CE) n. 1081/2006 del Consiglio (GU L 347 del 20.12.2013, pag. 470).</w:t>
      </w:r>
    </w:p>
  </w:footnote>
  <w:footnote w:id="17">
    <w:p w14:paraId="174D72EA" w14:textId="77777777" w:rsidR="00475666" w:rsidRPr="00475666" w:rsidRDefault="00475666">
      <w:pPr>
        <w:pStyle w:val="FootnoteText"/>
      </w:pPr>
      <w:r>
        <w:rPr>
          <w:rStyle w:val="FootnoteReference"/>
        </w:rPr>
        <w:footnoteRef/>
      </w:r>
      <w:r w:rsidRPr="00475666">
        <w:tab/>
        <w:t>Regolamento (UE) n. 1300/2013 del Parlamento europeo e del Consiglio, del 17 dicembre 2013, relativo al Fondo di coesione e che abroga il regolamento (CE) n. 1084/2006 del Consiglio (GU L 347 del 20.12.2013, pag. 281).</w:t>
      </w:r>
    </w:p>
  </w:footnote>
  <w:footnote w:id="18">
    <w:p w14:paraId="113E4783" w14:textId="77777777" w:rsidR="00475666" w:rsidRPr="00475666" w:rsidRDefault="00475666">
      <w:pPr>
        <w:pStyle w:val="FootnoteText"/>
      </w:pPr>
      <w:r>
        <w:rPr>
          <w:rStyle w:val="FootnoteReference"/>
        </w:rPr>
        <w:footnoteRef/>
      </w:r>
      <w:r w:rsidRPr="00475666">
        <w:tab/>
        <w:t>Regolamento (UE) n. 1299/2013 del Parlamento europeo e del Consiglio, del 17 dicembre 2013, recante disposizioni specifiche per il sostegno del Fondo europeo di sviluppo regionale all'obiettivo di cooperazione territoriale europea (GU L 347 del 20.12.2013, pag. 259).</w:t>
      </w:r>
    </w:p>
  </w:footnote>
  <w:footnote w:id="19">
    <w:p w14:paraId="1D4A3187" w14:textId="77777777" w:rsidR="00475666" w:rsidRPr="00475666" w:rsidRDefault="00475666">
      <w:pPr>
        <w:pStyle w:val="FootnoteText"/>
      </w:pPr>
      <w:r>
        <w:rPr>
          <w:rStyle w:val="FootnoteReference"/>
        </w:rPr>
        <w:footnoteRef/>
      </w:r>
      <w:r w:rsidRPr="00475666">
        <w:tab/>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(GU L 149 del 20.5.2014, pag. 1).</w:t>
      </w:r>
    </w:p>
  </w:footnote>
  <w:footnote w:id="20">
    <w:p w14:paraId="425ABFB7" w14:textId="77777777" w:rsidR="00475666" w:rsidRPr="00475666" w:rsidRDefault="00475666" w:rsidP="00E41E7D">
      <w:pPr>
        <w:pStyle w:val="FootnoteText"/>
        <w:rPr>
          <w:szCs w:val="24"/>
        </w:rPr>
      </w:pPr>
      <w:r>
        <w:rPr>
          <w:rStyle w:val="FootnoteReference"/>
        </w:rPr>
        <w:footnoteRef/>
      </w:r>
      <w:r w:rsidRPr="00475666">
        <w:tab/>
        <w:t>A norma dell'articolo 58, paragrafo 2, lettera a) o b), del regolamento finanziario.</w:t>
      </w:r>
    </w:p>
  </w:footnote>
  <w:footnote w:id="21">
    <w:p w14:paraId="2E79A7BF" w14:textId="77777777" w:rsidR="00475666" w:rsidRPr="00475666" w:rsidRDefault="00475666" w:rsidP="00E41E7D">
      <w:pPr>
        <w:pStyle w:val="FootnoteText"/>
        <w:jc w:val="left"/>
        <w:rPr>
          <w:szCs w:val="24"/>
        </w:rPr>
      </w:pPr>
      <w:r>
        <w:rPr>
          <w:rStyle w:val="FootnoteReference"/>
        </w:rPr>
        <w:footnoteRef/>
      </w:r>
      <w:r w:rsidRPr="00475666">
        <w:tab/>
        <w:t xml:space="preserve">Le spiegazioni sulle modalità di gestione e i riferimenti al regolamento finanziario sono disponibili sul sito BudgWeb: </w:t>
      </w:r>
      <w:hyperlink r:id="rId1" w:history="1">
        <w:r w:rsidRPr="00475666">
          <w:rPr>
            <w:rStyle w:val="Hyperlink"/>
          </w:rPr>
          <w:t>https://myintracomm.ec.europa.eu/budgweb/EN/man/budgmanag/Pages/budgmanag.aspx</w:t>
        </w:r>
      </w:hyperlink>
      <w:r w:rsidRPr="00475666">
        <w:t xml:space="preserve"> </w:t>
      </w:r>
    </w:p>
  </w:footnote>
  <w:footnote w:id="22">
    <w:p w14:paraId="0C25232E" w14:textId="77777777" w:rsidR="00475666" w:rsidRPr="00475666" w:rsidRDefault="00475666" w:rsidP="00C87E1E">
      <w:pPr>
        <w:pStyle w:val="FootnoteText"/>
        <w:rPr>
          <w:szCs w:val="24"/>
        </w:rPr>
      </w:pPr>
      <w:r>
        <w:rPr>
          <w:rStyle w:val="FootnoteReference"/>
        </w:rPr>
        <w:footnoteRef/>
      </w:r>
      <w:r w:rsidRPr="00475666">
        <w:tab/>
        <w:t>Diss. = stanziamenti dissociati / Non diss. = stanziamenti non dissociati.</w:t>
      </w:r>
    </w:p>
  </w:footnote>
  <w:footnote w:id="23">
    <w:p w14:paraId="07C3588E" w14:textId="77777777" w:rsidR="00475666" w:rsidRPr="00475666" w:rsidRDefault="00475666" w:rsidP="00C87E1E">
      <w:pPr>
        <w:pStyle w:val="FootnoteText"/>
        <w:rPr>
          <w:szCs w:val="24"/>
        </w:rPr>
      </w:pPr>
      <w:r>
        <w:rPr>
          <w:rStyle w:val="FootnoteReference"/>
        </w:rPr>
        <w:footnoteRef/>
      </w:r>
      <w:r w:rsidRPr="00475666">
        <w:tab/>
        <w:t xml:space="preserve">EFTA: Associazione europea di libero scambio. </w:t>
      </w:r>
    </w:p>
  </w:footnote>
  <w:footnote w:id="24">
    <w:p w14:paraId="6C2905F1" w14:textId="77777777" w:rsidR="00475666" w:rsidRPr="00475666" w:rsidRDefault="00475666" w:rsidP="00C87E1E">
      <w:pPr>
        <w:pStyle w:val="FootnoteText"/>
        <w:rPr>
          <w:szCs w:val="24"/>
        </w:rPr>
      </w:pPr>
      <w:r>
        <w:rPr>
          <w:rStyle w:val="FootnoteReference"/>
        </w:rPr>
        <w:footnoteRef/>
      </w:r>
      <w:r w:rsidRPr="00475666">
        <w:tab/>
        <w:t>Paesi candidati e, se del caso, potenziali candidati dei Balcani occidentali.</w:t>
      </w:r>
    </w:p>
  </w:footnote>
  <w:footnote w:id="25">
    <w:p w14:paraId="7CD5DDE4" w14:textId="77777777" w:rsidR="00475666" w:rsidRPr="00475666" w:rsidRDefault="00475666" w:rsidP="00431F4F">
      <w:pPr>
        <w:pStyle w:val="FootnoteText"/>
        <w:rPr>
          <w:szCs w:val="24"/>
        </w:rPr>
      </w:pPr>
      <w:r>
        <w:rPr>
          <w:rStyle w:val="FootnoteReference"/>
        </w:rPr>
        <w:footnoteRef/>
      </w:r>
      <w:r w:rsidRPr="00475666">
        <w:rPr>
          <w:sz w:val="18"/>
        </w:rPr>
        <w:tab/>
        <w:t>Assistenza tecnica e/o amministrativa e spese di sostegno all'attuazione di programmi e/o azioni dell'UE (ex linee "BA"), ricerca indiretta, ricerca diretta.</w:t>
      </w:r>
    </w:p>
  </w:footnote>
  <w:footnote w:id="26">
    <w:p w14:paraId="33AE7109" w14:textId="77777777" w:rsidR="00475666" w:rsidRPr="00475666" w:rsidRDefault="00475666" w:rsidP="00C87E1E">
      <w:pPr>
        <w:pStyle w:val="FootnoteText"/>
        <w:rPr>
          <w:szCs w:val="24"/>
        </w:rPr>
      </w:pPr>
      <w:r>
        <w:rPr>
          <w:rStyle w:val="FootnoteReference"/>
        </w:rPr>
        <w:footnoteRef/>
      </w:r>
      <w:r w:rsidRPr="00475666">
        <w:tab/>
        <w:t>I risultati sono i prodotti e i servizi da fornire (ad esempio: numero di scambi di studenti finanziati, numero di km di strada costruiti ecc.).</w:t>
      </w:r>
    </w:p>
  </w:footnote>
  <w:footnote w:id="27">
    <w:p w14:paraId="46332DD3" w14:textId="77777777" w:rsidR="00475666" w:rsidRPr="00475666" w:rsidRDefault="00475666" w:rsidP="00C87E1E">
      <w:pPr>
        <w:pStyle w:val="FootnoteText"/>
        <w:rPr>
          <w:szCs w:val="24"/>
        </w:rPr>
      </w:pPr>
      <w:r>
        <w:rPr>
          <w:rStyle w:val="FootnoteReference"/>
        </w:rPr>
        <w:footnoteRef/>
      </w:r>
      <w:r w:rsidRPr="00475666">
        <w:tab/>
        <w:t xml:space="preserve">Come descritto nella sezione 1.4.2. "Obiettivi specifici..." </w:t>
      </w:r>
    </w:p>
  </w:footnote>
  <w:footnote w:id="28">
    <w:p w14:paraId="3471E366" w14:textId="77777777" w:rsidR="00475666" w:rsidRPr="00475666" w:rsidRDefault="00475666" w:rsidP="00C87E1E">
      <w:pPr>
        <w:pStyle w:val="FootnoteText"/>
        <w:rPr>
          <w:sz w:val="18"/>
          <w:szCs w:val="18"/>
        </w:rPr>
      </w:pPr>
      <w:r>
        <w:rPr>
          <w:rStyle w:val="FootnoteReference"/>
        </w:rPr>
        <w:footnoteRef/>
      </w:r>
      <w:r w:rsidRPr="00475666">
        <w:tab/>
      </w:r>
      <w:r w:rsidRPr="00475666">
        <w:rPr>
          <w:sz w:val="18"/>
        </w:rPr>
        <w:t>L'anno N è l'anno in cui inizia a essere attuata la proposta/iniziativa. Sostituire "N" con il primo anno di attuazione previsto (ad esempio: 2021) e così per gli anni a seguire.</w:t>
      </w:r>
    </w:p>
  </w:footnote>
  <w:footnote w:id="29">
    <w:p w14:paraId="102DA18A" w14:textId="77777777" w:rsidR="00475666" w:rsidRPr="00475666" w:rsidRDefault="00475666" w:rsidP="00C87E1E">
      <w:pPr>
        <w:pStyle w:val="FootnoteText"/>
        <w:rPr>
          <w:szCs w:val="24"/>
        </w:rPr>
      </w:pPr>
      <w:r>
        <w:rPr>
          <w:rStyle w:val="FootnoteReference"/>
        </w:rPr>
        <w:footnoteRef/>
      </w:r>
      <w:r w:rsidRPr="00475666">
        <w:rPr>
          <w:sz w:val="18"/>
        </w:rPr>
        <w:tab/>
        <w:t>Assistenza tecnica e/o amministrativa e spese di sostegno all'attuazione di programmi e/o azioni dell'UE (ex linee "BA"), ricerca indiretta, ricerca diretta.</w:t>
      </w:r>
    </w:p>
  </w:footnote>
  <w:footnote w:id="30">
    <w:p w14:paraId="419AEAAC" w14:textId="77777777" w:rsidR="00475666" w:rsidRPr="00475666" w:rsidRDefault="00475666" w:rsidP="00C87E1E">
      <w:pPr>
        <w:pStyle w:val="FootnoteText"/>
        <w:rPr>
          <w:szCs w:val="24"/>
        </w:rPr>
      </w:pPr>
      <w:r>
        <w:rPr>
          <w:rStyle w:val="FootnoteReference"/>
        </w:rPr>
        <w:footnoteRef/>
      </w:r>
      <w:r w:rsidRPr="00475666">
        <w:tab/>
        <w:t xml:space="preserve">AC = agente contrattuale; AL = agente locale; END = esperto nazionale distaccato; INT = personale interinale (intérimaire); JPD = giovane professionista in delegazione. </w:t>
      </w:r>
    </w:p>
  </w:footnote>
  <w:footnote w:id="31">
    <w:p w14:paraId="6F29A385" w14:textId="77777777" w:rsidR="00475666" w:rsidRPr="00475666" w:rsidRDefault="00475666" w:rsidP="00C87E1E">
      <w:pPr>
        <w:pStyle w:val="FootnoteText"/>
        <w:rPr>
          <w:szCs w:val="24"/>
        </w:rPr>
      </w:pPr>
      <w:r>
        <w:rPr>
          <w:rStyle w:val="FootnoteReference"/>
        </w:rPr>
        <w:footnoteRef/>
      </w:r>
      <w:r w:rsidRPr="00475666">
        <w:tab/>
        <w:t>Sottomassimale per il personale esterno previsto dagli stanziamenti operativi (ex linee "BA").</w:t>
      </w:r>
    </w:p>
  </w:footnote>
  <w:footnote w:id="32">
    <w:p w14:paraId="2B7319C2" w14:textId="77777777" w:rsidR="00475666" w:rsidRPr="00475666" w:rsidRDefault="00475666" w:rsidP="00C87E1E">
      <w:pPr>
        <w:pStyle w:val="FootnoteText"/>
      </w:pPr>
      <w:r>
        <w:rPr>
          <w:rStyle w:val="FootnoteReference"/>
        </w:rPr>
        <w:footnoteRef/>
      </w:r>
      <w:r w:rsidRPr="00475666">
        <w:tab/>
        <w:t>L'anno N è l'anno in cui inizia a essere attuata la proposta/iniziativa. Sostituire "N" con il primo anno di attuazione previsto (ad esempio: 2021) e così per gli anni a seguire.</w:t>
      </w:r>
    </w:p>
  </w:footnote>
  <w:footnote w:id="33">
    <w:p w14:paraId="79AFE570" w14:textId="77777777" w:rsidR="00475666" w:rsidRPr="00475666" w:rsidRDefault="00475666" w:rsidP="00C87E1E">
      <w:pPr>
        <w:pStyle w:val="FootnoteText"/>
        <w:rPr>
          <w:szCs w:val="24"/>
        </w:rPr>
      </w:pPr>
      <w:r>
        <w:rPr>
          <w:rStyle w:val="FootnoteReference"/>
        </w:rPr>
        <w:footnoteRef/>
      </w:r>
      <w:r w:rsidRPr="00475666">
        <w:tab/>
        <w:t>Per le risorse proprie tradizionali (dazi doganali, contributi zucchero), indicare gli importi netti, cioè gli importi lordi al netto del 20 %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83" w14:textId="77777777" w:rsidR="0005544D" w:rsidRPr="0005544D" w:rsidRDefault="0005544D" w:rsidP="0005544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8B19" w14:textId="77777777" w:rsidR="0005544D" w:rsidRPr="0005544D" w:rsidRDefault="0005544D" w:rsidP="0005544D">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03317" w14:textId="77777777" w:rsidR="00475666" w:rsidRPr="00C36AA6" w:rsidRDefault="00475666" w:rsidP="00055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DFDE" w14:textId="77777777" w:rsidR="0005544D" w:rsidRPr="0005544D" w:rsidRDefault="0005544D" w:rsidP="00055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94E0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7EF0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93AAAC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BA98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C48330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70E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C06B2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7F659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20"/>
  </w:num>
  <w:num w:numId="11">
    <w:abstractNumId w:val="19"/>
  </w:num>
  <w:num w:numId="12">
    <w:abstractNumId w:val="14"/>
  </w:num>
  <w:num w:numId="13">
    <w:abstractNumId w:val="13"/>
  </w:num>
  <w:num w:numId="14">
    <w:abstractNumId w:val="22"/>
    <w:lvlOverride w:ilvl="0">
      <w:startOverride w:val="1"/>
    </w:lvlOverride>
  </w:num>
  <w:num w:numId="15">
    <w:abstractNumId w:val="27"/>
    <w:lvlOverride w:ilvl="0">
      <w:startOverride w:val="1"/>
    </w:lvlOverride>
  </w:num>
  <w:num w:numId="16">
    <w:abstractNumId w:val="24"/>
  </w:num>
  <w:num w:numId="17">
    <w:abstractNumId w:val="15"/>
  </w:num>
  <w:num w:numId="18">
    <w:abstractNumId w:val="26"/>
  </w:num>
  <w:num w:numId="19">
    <w:abstractNumId w:val="12"/>
  </w:num>
  <w:num w:numId="20">
    <w:abstractNumId w:val="16"/>
  </w:num>
  <w:num w:numId="21">
    <w:abstractNumId w:val="17"/>
  </w:num>
  <w:num w:numId="22">
    <w:abstractNumId w:val="10"/>
  </w:num>
  <w:num w:numId="23">
    <w:abstractNumId w:val="25"/>
  </w:num>
  <w:num w:numId="24">
    <w:abstractNumId w:val="9"/>
  </w:num>
  <w:num w:numId="25">
    <w:abstractNumId w:val="18"/>
  </w:num>
  <w:num w:numId="26">
    <w:abstractNumId w:val="22"/>
  </w:num>
  <w:num w:numId="27">
    <w:abstractNumId w:val="23"/>
  </w:num>
  <w:num w:numId="28">
    <w:abstractNumId w:val="11"/>
  </w:num>
  <w:num w:numId="29">
    <w:abstractNumId w:val="21"/>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7-01 10:49:15"/>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EFB3770-9A7E-4852-9455-285846D98D3E"/>
    <w:docVar w:name="LW_COVERPAGE_TYPE" w:val="1"/>
    <w:docVar w:name="LW_CROSSREFERENCE" w:val="&lt;UNUSED&gt;"/>
    <w:docVar w:name="LW_DocType" w:val="COM"/>
    <w:docVar w:name="LW_EMISSION" w:val="29.6.2022"/>
    <w:docVar w:name="LW_EMISSION_ISODATE" w:val="2022-06-29"/>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208"/>
    <w:docVar w:name="LW_REF.II.NEW.CP_YEAR" w:val="2022"/>
    <w:docVar w:name="LW_REF.INST.NEW" w:val="COM"/>
    <w:docVar w:name="LW_REF.INST.NEW_ADOPTED" w:val="final"/>
    <w:docVar w:name="LW_REF.INST.NEW_TEXT" w:val="(2022)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cante modifica del regolamento (UE) n. 1303/2013 e del regolamento (UE) 2021/1060 per quanto concerne un'ulteriore flessibilità per affrontare le conseguenze dell'aggressione militare da parte della Federazione russa _x000b_FAST (assistenza flessibile ai territori) - CARE"/>
    <w:docVar w:name="LW_TYPE.DOC.CP" w:val="REGOLAMENTO DEL PARLAMENTO EUROPEO E DEL CONSIGLIO"/>
    <w:docVar w:name="LwApiVersions" w:val="LW4CoDe 1.23.2.0; LW 8.0, Build 20211117"/>
  </w:docVars>
  <w:rsids>
    <w:rsidRoot w:val="00C1332E"/>
    <w:rsid w:val="0000018F"/>
    <w:rsid w:val="00000438"/>
    <w:rsid w:val="00000D80"/>
    <w:rsid w:val="000013B8"/>
    <w:rsid w:val="00002070"/>
    <w:rsid w:val="00002B5D"/>
    <w:rsid w:val="0000561F"/>
    <w:rsid w:val="00007482"/>
    <w:rsid w:val="00007FCC"/>
    <w:rsid w:val="00010016"/>
    <w:rsid w:val="00011A54"/>
    <w:rsid w:val="00012F1F"/>
    <w:rsid w:val="000144CA"/>
    <w:rsid w:val="00016C39"/>
    <w:rsid w:val="00017758"/>
    <w:rsid w:val="00020FF8"/>
    <w:rsid w:val="0002102A"/>
    <w:rsid w:val="00021FA3"/>
    <w:rsid w:val="00027C97"/>
    <w:rsid w:val="000307C8"/>
    <w:rsid w:val="000314FC"/>
    <w:rsid w:val="00032C70"/>
    <w:rsid w:val="00035429"/>
    <w:rsid w:val="000426FD"/>
    <w:rsid w:val="0004555E"/>
    <w:rsid w:val="000467FB"/>
    <w:rsid w:val="00046C9E"/>
    <w:rsid w:val="00050B68"/>
    <w:rsid w:val="00052646"/>
    <w:rsid w:val="000542B4"/>
    <w:rsid w:val="0005544D"/>
    <w:rsid w:val="00063A22"/>
    <w:rsid w:val="00065883"/>
    <w:rsid w:val="00070C9F"/>
    <w:rsid w:val="00075498"/>
    <w:rsid w:val="0008111C"/>
    <w:rsid w:val="000819DB"/>
    <w:rsid w:val="00085318"/>
    <w:rsid w:val="0008649A"/>
    <w:rsid w:val="000938DE"/>
    <w:rsid w:val="00095928"/>
    <w:rsid w:val="00096C59"/>
    <w:rsid w:val="000970BF"/>
    <w:rsid w:val="000A1216"/>
    <w:rsid w:val="000A195F"/>
    <w:rsid w:val="000A352E"/>
    <w:rsid w:val="000A6742"/>
    <w:rsid w:val="000B20C4"/>
    <w:rsid w:val="000C2BB7"/>
    <w:rsid w:val="000C42C5"/>
    <w:rsid w:val="000C59FD"/>
    <w:rsid w:val="000D4125"/>
    <w:rsid w:val="000D58DE"/>
    <w:rsid w:val="000D75D4"/>
    <w:rsid w:val="000E055F"/>
    <w:rsid w:val="000E5EF5"/>
    <w:rsid w:val="000E6CE2"/>
    <w:rsid w:val="000F0BB3"/>
    <w:rsid w:val="000F7C63"/>
    <w:rsid w:val="00104D2B"/>
    <w:rsid w:val="00104FE3"/>
    <w:rsid w:val="00105416"/>
    <w:rsid w:val="0010591B"/>
    <w:rsid w:val="00106314"/>
    <w:rsid w:val="00107C7D"/>
    <w:rsid w:val="00111C25"/>
    <w:rsid w:val="0011388B"/>
    <w:rsid w:val="00113C50"/>
    <w:rsid w:val="0011458E"/>
    <w:rsid w:val="00115AF9"/>
    <w:rsid w:val="0011607E"/>
    <w:rsid w:val="00116216"/>
    <w:rsid w:val="00121158"/>
    <w:rsid w:val="00130556"/>
    <w:rsid w:val="001325FC"/>
    <w:rsid w:val="0013335C"/>
    <w:rsid w:val="00133C77"/>
    <w:rsid w:val="001357C0"/>
    <w:rsid w:val="001359C9"/>
    <w:rsid w:val="00136CB4"/>
    <w:rsid w:val="00137595"/>
    <w:rsid w:val="00137AA4"/>
    <w:rsid w:val="001414D1"/>
    <w:rsid w:val="00143278"/>
    <w:rsid w:val="00146C76"/>
    <w:rsid w:val="00151187"/>
    <w:rsid w:val="00155312"/>
    <w:rsid w:val="001555B2"/>
    <w:rsid w:val="00161BA8"/>
    <w:rsid w:val="00163578"/>
    <w:rsid w:val="00164E78"/>
    <w:rsid w:val="00166416"/>
    <w:rsid w:val="001709B1"/>
    <w:rsid w:val="00171099"/>
    <w:rsid w:val="0017323E"/>
    <w:rsid w:val="0017445D"/>
    <w:rsid w:val="001765BE"/>
    <w:rsid w:val="00182F8D"/>
    <w:rsid w:val="00183B08"/>
    <w:rsid w:val="0018578C"/>
    <w:rsid w:val="00187529"/>
    <w:rsid w:val="00194A92"/>
    <w:rsid w:val="001971C4"/>
    <w:rsid w:val="001A0977"/>
    <w:rsid w:val="001A599E"/>
    <w:rsid w:val="001B03F8"/>
    <w:rsid w:val="001B0677"/>
    <w:rsid w:val="001B084D"/>
    <w:rsid w:val="001B19CB"/>
    <w:rsid w:val="001C42E9"/>
    <w:rsid w:val="001C5F76"/>
    <w:rsid w:val="001C64D8"/>
    <w:rsid w:val="001D03A2"/>
    <w:rsid w:val="001D2C74"/>
    <w:rsid w:val="001D48CE"/>
    <w:rsid w:val="001D5BF4"/>
    <w:rsid w:val="001D77AA"/>
    <w:rsid w:val="001E602C"/>
    <w:rsid w:val="001E674C"/>
    <w:rsid w:val="001E71F7"/>
    <w:rsid w:val="001E7AAB"/>
    <w:rsid w:val="001F0EDA"/>
    <w:rsid w:val="001F30AD"/>
    <w:rsid w:val="001F63B3"/>
    <w:rsid w:val="00202AA0"/>
    <w:rsid w:val="002062E7"/>
    <w:rsid w:val="00206E18"/>
    <w:rsid w:val="00206E78"/>
    <w:rsid w:val="002103A3"/>
    <w:rsid w:val="00210B15"/>
    <w:rsid w:val="00210F98"/>
    <w:rsid w:val="002118DA"/>
    <w:rsid w:val="00212B56"/>
    <w:rsid w:val="00212D2A"/>
    <w:rsid w:val="00214A4C"/>
    <w:rsid w:val="00215403"/>
    <w:rsid w:val="002169D9"/>
    <w:rsid w:val="00217EB4"/>
    <w:rsid w:val="002222E2"/>
    <w:rsid w:val="00222CEF"/>
    <w:rsid w:val="00226351"/>
    <w:rsid w:val="002275C4"/>
    <w:rsid w:val="002313F4"/>
    <w:rsid w:val="00231D18"/>
    <w:rsid w:val="00232992"/>
    <w:rsid w:val="002463FA"/>
    <w:rsid w:val="00250720"/>
    <w:rsid w:val="00252328"/>
    <w:rsid w:val="00252E6C"/>
    <w:rsid w:val="00255132"/>
    <w:rsid w:val="00255416"/>
    <w:rsid w:val="00257806"/>
    <w:rsid w:val="00271C42"/>
    <w:rsid w:val="002726CD"/>
    <w:rsid w:val="002763E9"/>
    <w:rsid w:val="0027658B"/>
    <w:rsid w:val="00277226"/>
    <w:rsid w:val="00277A05"/>
    <w:rsid w:val="00281195"/>
    <w:rsid w:val="002812B3"/>
    <w:rsid w:val="0028218C"/>
    <w:rsid w:val="00284CBF"/>
    <w:rsid w:val="00291600"/>
    <w:rsid w:val="00292208"/>
    <w:rsid w:val="0029365C"/>
    <w:rsid w:val="00295334"/>
    <w:rsid w:val="002967E3"/>
    <w:rsid w:val="002A3ED6"/>
    <w:rsid w:val="002A50BA"/>
    <w:rsid w:val="002A5EC6"/>
    <w:rsid w:val="002A66CF"/>
    <w:rsid w:val="002B1527"/>
    <w:rsid w:val="002B168F"/>
    <w:rsid w:val="002B629F"/>
    <w:rsid w:val="002C0859"/>
    <w:rsid w:val="002C3696"/>
    <w:rsid w:val="002C58C3"/>
    <w:rsid w:val="002D0E2E"/>
    <w:rsid w:val="002D130D"/>
    <w:rsid w:val="002D2B41"/>
    <w:rsid w:val="002D44A5"/>
    <w:rsid w:val="002D6338"/>
    <w:rsid w:val="002E0753"/>
    <w:rsid w:val="002E533D"/>
    <w:rsid w:val="002E537C"/>
    <w:rsid w:val="002E6841"/>
    <w:rsid w:val="002F2810"/>
    <w:rsid w:val="002F3ABB"/>
    <w:rsid w:val="002F3FFE"/>
    <w:rsid w:val="002F54C3"/>
    <w:rsid w:val="002F554A"/>
    <w:rsid w:val="00301AC6"/>
    <w:rsid w:val="003039C0"/>
    <w:rsid w:val="00304116"/>
    <w:rsid w:val="003062E4"/>
    <w:rsid w:val="00312293"/>
    <w:rsid w:val="003147B2"/>
    <w:rsid w:val="00324790"/>
    <w:rsid w:val="003261E3"/>
    <w:rsid w:val="003273A3"/>
    <w:rsid w:val="00327C7A"/>
    <w:rsid w:val="00332DE2"/>
    <w:rsid w:val="00333908"/>
    <w:rsid w:val="0033410D"/>
    <w:rsid w:val="00336174"/>
    <w:rsid w:val="00340EA6"/>
    <w:rsid w:val="00341575"/>
    <w:rsid w:val="003418E7"/>
    <w:rsid w:val="003432A2"/>
    <w:rsid w:val="003472E3"/>
    <w:rsid w:val="003503DC"/>
    <w:rsid w:val="00352EDC"/>
    <w:rsid w:val="003535D8"/>
    <w:rsid w:val="0035593D"/>
    <w:rsid w:val="00355B16"/>
    <w:rsid w:val="00360F56"/>
    <w:rsid w:val="00362751"/>
    <w:rsid w:val="00362810"/>
    <w:rsid w:val="00363583"/>
    <w:rsid w:val="00363B80"/>
    <w:rsid w:val="00365833"/>
    <w:rsid w:val="00367795"/>
    <w:rsid w:val="00375E07"/>
    <w:rsid w:val="00377B56"/>
    <w:rsid w:val="00383264"/>
    <w:rsid w:val="003901C8"/>
    <w:rsid w:val="00390E35"/>
    <w:rsid w:val="00393C6B"/>
    <w:rsid w:val="00395481"/>
    <w:rsid w:val="00396995"/>
    <w:rsid w:val="003A3FDE"/>
    <w:rsid w:val="003A6B7D"/>
    <w:rsid w:val="003B08B3"/>
    <w:rsid w:val="003B136D"/>
    <w:rsid w:val="003B6493"/>
    <w:rsid w:val="003B6A3C"/>
    <w:rsid w:val="003B7094"/>
    <w:rsid w:val="003C0C5B"/>
    <w:rsid w:val="003C1853"/>
    <w:rsid w:val="003C2E36"/>
    <w:rsid w:val="003C6D77"/>
    <w:rsid w:val="003D19EB"/>
    <w:rsid w:val="003D2470"/>
    <w:rsid w:val="003E082F"/>
    <w:rsid w:val="003E0E5F"/>
    <w:rsid w:val="003E1A2D"/>
    <w:rsid w:val="003F1C4C"/>
    <w:rsid w:val="003F1FB5"/>
    <w:rsid w:val="003F6F89"/>
    <w:rsid w:val="00402C8B"/>
    <w:rsid w:val="00403FFD"/>
    <w:rsid w:val="00404DB4"/>
    <w:rsid w:val="00406A17"/>
    <w:rsid w:val="004079F0"/>
    <w:rsid w:val="004110E5"/>
    <w:rsid w:val="00416DDF"/>
    <w:rsid w:val="0042067E"/>
    <w:rsid w:val="00424456"/>
    <w:rsid w:val="00424DFB"/>
    <w:rsid w:val="004300AB"/>
    <w:rsid w:val="004308EA"/>
    <w:rsid w:val="00431DB6"/>
    <w:rsid w:val="00431DCD"/>
    <w:rsid w:val="00431F4F"/>
    <w:rsid w:val="004413FE"/>
    <w:rsid w:val="00445D67"/>
    <w:rsid w:val="00456B01"/>
    <w:rsid w:val="00456DB0"/>
    <w:rsid w:val="00460C2D"/>
    <w:rsid w:val="00462411"/>
    <w:rsid w:val="0046493A"/>
    <w:rsid w:val="004700C1"/>
    <w:rsid w:val="0047294E"/>
    <w:rsid w:val="004749B7"/>
    <w:rsid w:val="00475666"/>
    <w:rsid w:val="004760A2"/>
    <w:rsid w:val="004777BD"/>
    <w:rsid w:val="00490C14"/>
    <w:rsid w:val="004953F4"/>
    <w:rsid w:val="004A429E"/>
    <w:rsid w:val="004A5208"/>
    <w:rsid w:val="004B3EAF"/>
    <w:rsid w:val="004B7CEC"/>
    <w:rsid w:val="004C19FB"/>
    <w:rsid w:val="004C35A1"/>
    <w:rsid w:val="004C6D45"/>
    <w:rsid w:val="004D0A81"/>
    <w:rsid w:val="004D233E"/>
    <w:rsid w:val="004D525F"/>
    <w:rsid w:val="004D6CFE"/>
    <w:rsid w:val="004D6D43"/>
    <w:rsid w:val="004D7859"/>
    <w:rsid w:val="004E05FA"/>
    <w:rsid w:val="004E0DDA"/>
    <w:rsid w:val="004E43DD"/>
    <w:rsid w:val="004E542B"/>
    <w:rsid w:val="004F05AF"/>
    <w:rsid w:val="004F1EC4"/>
    <w:rsid w:val="004F1EEF"/>
    <w:rsid w:val="004F527C"/>
    <w:rsid w:val="00505D28"/>
    <w:rsid w:val="00507B51"/>
    <w:rsid w:val="00507FF2"/>
    <w:rsid w:val="0051008E"/>
    <w:rsid w:val="0051257A"/>
    <w:rsid w:val="00516948"/>
    <w:rsid w:val="005314BD"/>
    <w:rsid w:val="00533237"/>
    <w:rsid w:val="00536525"/>
    <w:rsid w:val="005367E7"/>
    <w:rsid w:val="005431A5"/>
    <w:rsid w:val="005442E3"/>
    <w:rsid w:val="0054591C"/>
    <w:rsid w:val="00547E8D"/>
    <w:rsid w:val="005541A2"/>
    <w:rsid w:val="00555DAC"/>
    <w:rsid w:val="00560751"/>
    <w:rsid w:val="00562067"/>
    <w:rsid w:val="00563B97"/>
    <w:rsid w:val="00565149"/>
    <w:rsid w:val="00566267"/>
    <w:rsid w:val="00566A6D"/>
    <w:rsid w:val="00567E10"/>
    <w:rsid w:val="00570F43"/>
    <w:rsid w:val="00574DD5"/>
    <w:rsid w:val="00576C98"/>
    <w:rsid w:val="00582703"/>
    <w:rsid w:val="00582788"/>
    <w:rsid w:val="00586419"/>
    <w:rsid w:val="00586D7D"/>
    <w:rsid w:val="0059485C"/>
    <w:rsid w:val="005972C2"/>
    <w:rsid w:val="005A06C8"/>
    <w:rsid w:val="005A158B"/>
    <w:rsid w:val="005A3934"/>
    <w:rsid w:val="005A57CB"/>
    <w:rsid w:val="005A6F12"/>
    <w:rsid w:val="005B119A"/>
    <w:rsid w:val="005B22EF"/>
    <w:rsid w:val="005B7937"/>
    <w:rsid w:val="005C0252"/>
    <w:rsid w:val="005C248E"/>
    <w:rsid w:val="005C2C63"/>
    <w:rsid w:val="005C3DED"/>
    <w:rsid w:val="005D0538"/>
    <w:rsid w:val="005D3171"/>
    <w:rsid w:val="005D4A07"/>
    <w:rsid w:val="005D4FBC"/>
    <w:rsid w:val="005E19C0"/>
    <w:rsid w:val="005E7799"/>
    <w:rsid w:val="005F14A3"/>
    <w:rsid w:val="005F2EEF"/>
    <w:rsid w:val="005F437D"/>
    <w:rsid w:val="005F4A44"/>
    <w:rsid w:val="005F6027"/>
    <w:rsid w:val="005F656C"/>
    <w:rsid w:val="00601839"/>
    <w:rsid w:val="00610796"/>
    <w:rsid w:val="00616AEC"/>
    <w:rsid w:val="0061723B"/>
    <w:rsid w:val="00620CD6"/>
    <w:rsid w:val="006227FD"/>
    <w:rsid w:val="00623C3F"/>
    <w:rsid w:val="00625FA8"/>
    <w:rsid w:val="00630582"/>
    <w:rsid w:val="00630B52"/>
    <w:rsid w:val="00637447"/>
    <w:rsid w:val="00644EEB"/>
    <w:rsid w:val="006528DC"/>
    <w:rsid w:val="00653678"/>
    <w:rsid w:val="00654E80"/>
    <w:rsid w:val="00655BE3"/>
    <w:rsid w:val="006573D1"/>
    <w:rsid w:val="00661C8C"/>
    <w:rsid w:val="00664403"/>
    <w:rsid w:val="00667A88"/>
    <w:rsid w:val="0067241D"/>
    <w:rsid w:val="00675CCF"/>
    <w:rsid w:val="00676147"/>
    <w:rsid w:val="00676680"/>
    <w:rsid w:val="006801A3"/>
    <w:rsid w:val="00680A27"/>
    <w:rsid w:val="00680B87"/>
    <w:rsid w:val="00682DA7"/>
    <w:rsid w:val="006832B4"/>
    <w:rsid w:val="006839D4"/>
    <w:rsid w:val="0068659C"/>
    <w:rsid w:val="00686B03"/>
    <w:rsid w:val="00687B90"/>
    <w:rsid w:val="00693763"/>
    <w:rsid w:val="006941F3"/>
    <w:rsid w:val="00695F04"/>
    <w:rsid w:val="0069768A"/>
    <w:rsid w:val="006A36FE"/>
    <w:rsid w:val="006A7615"/>
    <w:rsid w:val="006A79D3"/>
    <w:rsid w:val="006B5C4B"/>
    <w:rsid w:val="006C0365"/>
    <w:rsid w:val="006C2DA8"/>
    <w:rsid w:val="006C2F62"/>
    <w:rsid w:val="006C3B7F"/>
    <w:rsid w:val="006C4DCE"/>
    <w:rsid w:val="006D07A9"/>
    <w:rsid w:val="006D2E24"/>
    <w:rsid w:val="006D3E64"/>
    <w:rsid w:val="006D5ABF"/>
    <w:rsid w:val="006D6D3A"/>
    <w:rsid w:val="006E0D84"/>
    <w:rsid w:val="006E1F7F"/>
    <w:rsid w:val="006E782F"/>
    <w:rsid w:val="006F0ABA"/>
    <w:rsid w:val="006F0E07"/>
    <w:rsid w:val="006F591B"/>
    <w:rsid w:val="006F5AA2"/>
    <w:rsid w:val="006F7F18"/>
    <w:rsid w:val="00705DF8"/>
    <w:rsid w:val="00706F1F"/>
    <w:rsid w:val="00707576"/>
    <w:rsid w:val="0071189A"/>
    <w:rsid w:val="00713710"/>
    <w:rsid w:val="00715C41"/>
    <w:rsid w:val="00716035"/>
    <w:rsid w:val="007167A1"/>
    <w:rsid w:val="00717D0F"/>
    <w:rsid w:val="00720B9E"/>
    <w:rsid w:val="00721154"/>
    <w:rsid w:val="00722A58"/>
    <w:rsid w:val="007325D7"/>
    <w:rsid w:val="007341EF"/>
    <w:rsid w:val="00734475"/>
    <w:rsid w:val="00736D2D"/>
    <w:rsid w:val="00741FD2"/>
    <w:rsid w:val="00745DA6"/>
    <w:rsid w:val="00746CBC"/>
    <w:rsid w:val="007516DD"/>
    <w:rsid w:val="007521D1"/>
    <w:rsid w:val="00752FDF"/>
    <w:rsid w:val="00762F28"/>
    <w:rsid w:val="00766D52"/>
    <w:rsid w:val="00770BB5"/>
    <w:rsid w:val="007909C9"/>
    <w:rsid w:val="007941D8"/>
    <w:rsid w:val="007968CD"/>
    <w:rsid w:val="00797D27"/>
    <w:rsid w:val="007A5D44"/>
    <w:rsid w:val="007A7D2D"/>
    <w:rsid w:val="007B09E8"/>
    <w:rsid w:val="007C42FD"/>
    <w:rsid w:val="007D4CDA"/>
    <w:rsid w:val="007D59DE"/>
    <w:rsid w:val="007E15AB"/>
    <w:rsid w:val="007E2D4A"/>
    <w:rsid w:val="007E541D"/>
    <w:rsid w:val="007E5F2A"/>
    <w:rsid w:val="007E6066"/>
    <w:rsid w:val="007F049D"/>
    <w:rsid w:val="007F3592"/>
    <w:rsid w:val="007F59EC"/>
    <w:rsid w:val="007F5F26"/>
    <w:rsid w:val="00800AC1"/>
    <w:rsid w:val="00802F3B"/>
    <w:rsid w:val="0080688A"/>
    <w:rsid w:val="00811283"/>
    <w:rsid w:val="00816421"/>
    <w:rsid w:val="00820A97"/>
    <w:rsid w:val="00821190"/>
    <w:rsid w:val="00821969"/>
    <w:rsid w:val="008221D5"/>
    <w:rsid w:val="0083171B"/>
    <w:rsid w:val="0083364F"/>
    <w:rsid w:val="008406EE"/>
    <w:rsid w:val="0084104E"/>
    <w:rsid w:val="00841AC1"/>
    <w:rsid w:val="00851EAF"/>
    <w:rsid w:val="008524A7"/>
    <w:rsid w:val="00855A8A"/>
    <w:rsid w:val="0086029D"/>
    <w:rsid w:val="0086040B"/>
    <w:rsid w:val="008623B2"/>
    <w:rsid w:val="00863574"/>
    <w:rsid w:val="0086744E"/>
    <w:rsid w:val="00872A2D"/>
    <w:rsid w:val="008730BC"/>
    <w:rsid w:val="00873E97"/>
    <w:rsid w:val="008741BF"/>
    <w:rsid w:val="00875845"/>
    <w:rsid w:val="00875927"/>
    <w:rsid w:val="00876654"/>
    <w:rsid w:val="00882D42"/>
    <w:rsid w:val="0088349C"/>
    <w:rsid w:val="00884E8F"/>
    <w:rsid w:val="008854F0"/>
    <w:rsid w:val="00885C1C"/>
    <w:rsid w:val="008872C1"/>
    <w:rsid w:val="00892800"/>
    <w:rsid w:val="008937FA"/>
    <w:rsid w:val="008A39EC"/>
    <w:rsid w:val="008A5FB8"/>
    <w:rsid w:val="008B061D"/>
    <w:rsid w:val="008B52E5"/>
    <w:rsid w:val="008C5510"/>
    <w:rsid w:val="008C59E0"/>
    <w:rsid w:val="008C5EC3"/>
    <w:rsid w:val="008C6C87"/>
    <w:rsid w:val="008D530A"/>
    <w:rsid w:val="008D7001"/>
    <w:rsid w:val="008D702D"/>
    <w:rsid w:val="008E08D9"/>
    <w:rsid w:val="008E36F8"/>
    <w:rsid w:val="008E4312"/>
    <w:rsid w:val="008E53F9"/>
    <w:rsid w:val="008E6B21"/>
    <w:rsid w:val="008F0915"/>
    <w:rsid w:val="008F2BD6"/>
    <w:rsid w:val="008F454F"/>
    <w:rsid w:val="008F6004"/>
    <w:rsid w:val="00903613"/>
    <w:rsid w:val="0090485C"/>
    <w:rsid w:val="00907553"/>
    <w:rsid w:val="00911BF5"/>
    <w:rsid w:val="00913E3F"/>
    <w:rsid w:val="009154A2"/>
    <w:rsid w:val="00920A6C"/>
    <w:rsid w:val="00920A73"/>
    <w:rsid w:val="00925880"/>
    <w:rsid w:val="00931288"/>
    <w:rsid w:val="009347DF"/>
    <w:rsid w:val="00936901"/>
    <w:rsid w:val="00936F61"/>
    <w:rsid w:val="00940DA1"/>
    <w:rsid w:val="00942383"/>
    <w:rsid w:val="00943666"/>
    <w:rsid w:val="00944661"/>
    <w:rsid w:val="0094611D"/>
    <w:rsid w:val="00961DB6"/>
    <w:rsid w:val="009641DE"/>
    <w:rsid w:val="0096458A"/>
    <w:rsid w:val="00972D05"/>
    <w:rsid w:val="0097374A"/>
    <w:rsid w:val="00975445"/>
    <w:rsid w:val="0098113F"/>
    <w:rsid w:val="00984D91"/>
    <w:rsid w:val="009856E2"/>
    <w:rsid w:val="009879E9"/>
    <w:rsid w:val="00991B1B"/>
    <w:rsid w:val="00993999"/>
    <w:rsid w:val="009939BC"/>
    <w:rsid w:val="009959FB"/>
    <w:rsid w:val="00995CFB"/>
    <w:rsid w:val="00997155"/>
    <w:rsid w:val="009976D9"/>
    <w:rsid w:val="009A5D00"/>
    <w:rsid w:val="009A7051"/>
    <w:rsid w:val="009B3DB9"/>
    <w:rsid w:val="009B3FCA"/>
    <w:rsid w:val="009C2580"/>
    <w:rsid w:val="009C2825"/>
    <w:rsid w:val="009C3B7F"/>
    <w:rsid w:val="009C5AC5"/>
    <w:rsid w:val="009C6F40"/>
    <w:rsid w:val="009D1E6F"/>
    <w:rsid w:val="009D2B39"/>
    <w:rsid w:val="009D3E79"/>
    <w:rsid w:val="009E0594"/>
    <w:rsid w:val="009E492D"/>
    <w:rsid w:val="009E7319"/>
    <w:rsid w:val="009E770D"/>
    <w:rsid w:val="009E7A3C"/>
    <w:rsid w:val="009F121A"/>
    <w:rsid w:val="009F2267"/>
    <w:rsid w:val="009F29E4"/>
    <w:rsid w:val="009F3671"/>
    <w:rsid w:val="009F51A3"/>
    <w:rsid w:val="009F526A"/>
    <w:rsid w:val="009F5936"/>
    <w:rsid w:val="009F6908"/>
    <w:rsid w:val="00A029D7"/>
    <w:rsid w:val="00A03A61"/>
    <w:rsid w:val="00A04B9C"/>
    <w:rsid w:val="00A071F1"/>
    <w:rsid w:val="00A07932"/>
    <w:rsid w:val="00A129A2"/>
    <w:rsid w:val="00A17E92"/>
    <w:rsid w:val="00A17F91"/>
    <w:rsid w:val="00A21149"/>
    <w:rsid w:val="00A233AB"/>
    <w:rsid w:val="00A24A2B"/>
    <w:rsid w:val="00A24C45"/>
    <w:rsid w:val="00A25BAB"/>
    <w:rsid w:val="00A26786"/>
    <w:rsid w:val="00A26851"/>
    <w:rsid w:val="00A27D48"/>
    <w:rsid w:val="00A27FB0"/>
    <w:rsid w:val="00A301E4"/>
    <w:rsid w:val="00A30C51"/>
    <w:rsid w:val="00A31E83"/>
    <w:rsid w:val="00A32C7F"/>
    <w:rsid w:val="00A34861"/>
    <w:rsid w:val="00A34AF1"/>
    <w:rsid w:val="00A40D00"/>
    <w:rsid w:val="00A4342B"/>
    <w:rsid w:val="00A43444"/>
    <w:rsid w:val="00A446A4"/>
    <w:rsid w:val="00A45FBC"/>
    <w:rsid w:val="00A47F0F"/>
    <w:rsid w:val="00A50101"/>
    <w:rsid w:val="00A5168D"/>
    <w:rsid w:val="00A54245"/>
    <w:rsid w:val="00A546CF"/>
    <w:rsid w:val="00A57E59"/>
    <w:rsid w:val="00A61337"/>
    <w:rsid w:val="00A65CB3"/>
    <w:rsid w:val="00A7155E"/>
    <w:rsid w:val="00A72829"/>
    <w:rsid w:val="00A7634C"/>
    <w:rsid w:val="00A76505"/>
    <w:rsid w:val="00A816CD"/>
    <w:rsid w:val="00A81A9C"/>
    <w:rsid w:val="00A822E1"/>
    <w:rsid w:val="00A826BA"/>
    <w:rsid w:val="00A84BC9"/>
    <w:rsid w:val="00A85A92"/>
    <w:rsid w:val="00A863A7"/>
    <w:rsid w:val="00A87678"/>
    <w:rsid w:val="00A9022D"/>
    <w:rsid w:val="00A91000"/>
    <w:rsid w:val="00A91827"/>
    <w:rsid w:val="00A91B68"/>
    <w:rsid w:val="00A9430D"/>
    <w:rsid w:val="00A9589B"/>
    <w:rsid w:val="00A961D1"/>
    <w:rsid w:val="00A96F99"/>
    <w:rsid w:val="00AA6084"/>
    <w:rsid w:val="00AA6B40"/>
    <w:rsid w:val="00AB1A3C"/>
    <w:rsid w:val="00AB3B6A"/>
    <w:rsid w:val="00AB6D32"/>
    <w:rsid w:val="00AC05C5"/>
    <w:rsid w:val="00AD6BCA"/>
    <w:rsid w:val="00AD6DCB"/>
    <w:rsid w:val="00AE37AF"/>
    <w:rsid w:val="00AE50E2"/>
    <w:rsid w:val="00AE5A2A"/>
    <w:rsid w:val="00AE6013"/>
    <w:rsid w:val="00AF117E"/>
    <w:rsid w:val="00AF1B5B"/>
    <w:rsid w:val="00AF7BC9"/>
    <w:rsid w:val="00B11792"/>
    <w:rsid w:val="00B1714A"/>
    <w:rsid w:val="00B2033A"/>
    <w:rsid w:val="00B236C6"/>
    <w:rsid w:val="00B278FF"/>
    <w:rsid w:val="00B3015B"/>
    <w:rsid w:val="00B336DF"/>
    <w:rsid w:val="00B343CA"/>
    <w:rsid w:val="00B34620"/>
    <w:rsid w:val="00B34B8B"/>
    <w:rsid w:val="00B40170"/>
    <w:rsid w:val="00B41470"/>
    <w:rsid w:val="00B45774"/>
    <w:rsid w:val="00B4693F"/>
    <w:rsid w:val="00B54971"/>
    <w:rsid w:val="00B6094A"/>
    <w:rsid w:val="00B63FCC"/>
    <w:rsid w:val="00B6770D"/>
    <w:rsid w:val="00B67BB0"/>
    <w:rsid w:val="00B716FE"/>
    <w:rsid w:val="00B832CB"/>
    <w:rsid w:val="00B83A12"/>
    <w:rsid w:val="00B83E45"/>
    <w:rsid w:val="00B87BF8"/>
    <w:rsid w:val="00B87C8E"/>
    <w:rsid w:val="00B91C9E"/>
    <w:rsid w:val="00B9351C"/>
    <w:rsid w:val="00B97103"/>
    <w:rsid w:val="00B9761C"/>
    <w:rsid w:val="00BA0754"/>
    <w:rsid w:val="00BA11AE"/>
    <w:rsid w:val="00BA2ADE"/>
    <w:rsid w:val="00BB305B"/>
    <w:rsid w:val="00BB4817"/>
    <w:rsid w:val="00BD1AB1"/>
    <w:rsid w:val="00BD5597"/>
    <w:rsid w:val="00BE176D"/>
    <w:rsid w:val="00BE48DD"/>
    <w:rsid w:val="00BF5445"/>
    <w:rsid w:val="00C01751"/>
    <w:rsid w:val="00C017A2"/>
    <w:rsid w:val="00C066DE"/>
    <w:rsid w:val="00C1089D"/>
    <w:rsid w:val="00C1332E"/>
    <w:rsid w:val="00C15C02"/>
    <w:rsid w:val="00C16980"/>
    <w:rsid w:val="00C16C03"/>
    <w:rsid w:val="00C172F0"/>
    <w:rsid w:val="00C21D25"/>
    <w:rsid w:val="00C231C8"/>
    <w:rsid w:val="00C237C9"/>
    <w:rsid w:val="00C250B2"/>
    <w:rsid w:val="00C27D70"/>
    <w:rsid w:val="00C30BF5"/>
    <w:rsid w:val="00C3146F"/>
    <w:rsid w:val="00C3178C"/>
    <w:rsid w:val="00C31B11"/>
    <w:rsid w:val="00C35C28"/>
    <w:rsid w:val="00C3688C"/>
    <w:rsid w:val="00C36AA6"/>
    <w:rsid w:val="00C41C02"/>
    <w:rsid w:val="00C43C95"/>
    <w:rsid w:val="00C45FA2"/>
    <w:rsid w:val="00C46D1B"/>
    <w:rsid w:val="00C47761"/>
    <w:rsid w:val="00C520AE"/>
    <w:rsid w:val="00C52F63"/>
    <w:rsid w:val="00C54654"/>
    <w:rsid w:val="00C5503D"/>
    <w:rsid w:val="00C55122"/>
    <w:rsid w:val="00C5557F"/>
    <w:rsid w:val="00C62A55"/>
    <w:rsid w:val="00C636B9"/>
    <w:rsid w:val="00C63B3A"/>
    <w:rsid w:val="00C6522B"/>
    <w:rsid w:val="00C6590B"/>
    <w:rsid w:val="00C71348"/>
    <w:rsid w:val="00C73AD9"/>
    <w:rsid w:val="00C755A3"/>
    <w:rsid w:val="00C837E3"/>
    <w:rsid w:val="00C84023"/>
    <w:rsid w:val="00C871F9"/>
    <w:rsid w:val="00C873F6"/>
    <w:rsid w:val="00C87D15"/>
    <w:rsid w:val="00C87E1E"/>
    <w:rsid w:val="00C90D19"/>
    <w:rsid w:val="00C93451"/>
    <w:rsid w:val="00C948E4"/>
    <w:rsid w:val="00C970E1"/>
    <w:rsid w:val="00CA1BE6"/>
    <w:rsid w:val="00CA4954"/>
    <w:rsid w:val="00CA5FF3"/>
    <w:rsid w:val="00CA71DD"/>
    <w:rsid w:val="00CA72F0"/>
    <w:rsid w:val="00CB0C2F"/>
    <w:rsid w:val="00CB184E"/>
    <w:rsid w:val="00CB4A3E"/>
    <w:rsid w:val="00CC46C1"/>
    <w:rsid w:val="00CC4F67"/>
    <w:rsid w:val="00CD0C1C"/>
    <w:rsid w:val="00CD4C21"/>
    <w:rsid w:val="00CE3297"/>
    <w:rsid w:val="00CE5072"/>
    <w:rsid w:val="00CE61F9"/>
    <w:rsid w:val="00CE696F"/>
    <w:rsid w:val="00CF2C8E"/>
    <w:rsid w:val="00CF2E7F"/>
    <w:rsid w:val="00CF3FF4"/>
    <w:rsid w:val="00CF74A7"/>
    <w:rsid w:val="00D006E7"/>
    <w:rsid w:val="00D01928"/>
    <w:rsid w:val="00D04245"/>
    <w:rsid w:val="00D06183"/>
    <w:rsid w:val="00D06C6A"/>
    <w:rsid w:val="00D14AAD"/>
    <w:rsid w:val="00D17CEE"/>
    <w:rsid w:val="00D225FD"/>
    <w:rsid w:val="00D226DB"/>
    <w:rsid w:val="00D30B02"/>
    <w:rsid w:val="00D32C0F"/>
    <w:rsid w:val="00D37277"/>
    <w:rsid w:val="00D42B7B"/>
    <w:rsid w:val="00D44E27"/>
    <w:rsid w:val="00D454CC"/>
    <w:rsid w:val="00D45CD0"/>
    <w:rsid w:val="00D4630B"/>
    <w:rsid w:val="00D46BF4"/>
    <w:rsid w:val="00D54D68"/>
    <w:rsid w:val="00D56D0E"/>
    <w:rsid w:val="00D65449"/>
    <w:rsid w:val="00D65D64"/>
    <w:rsid w:val="00D721C8"/>
    <w:rsid w:val="00D74229"/>
    <w:rsid w:val="00D74416"/>
    <w:rsid w:val="00D75195"/>
    <w:rsid w:val="00D836C3"/>
    <w:rsid w:val="00D85035"/>
    <w:rsid w:val="00D87033"/>
    <w:rsid w:val="00D9127F"/>
    <w:rsid w:val="00D91CF7"/>
    <w:rsid w:val="00D9204C"/>
    <w:rsid w:val="00DA0114"/>
    <w:rsid w:val="00DA211F"/>
    <w:rsid w:val="00DA3892"/>
    <w:rsid w:val="00DA4E0D"/>
    <w:rsid w:val="00DA6183"/>
    <w:rsid w:val="00DA7085"/>
    <w:rsid w:val="00DB0B10"/>
    <w:rsid w:val="00DB1DFF"/>
    <w:rsid w:val="00DC1588"/>
    <w:rsid w:val="00DC2C80"/>
    <w:rsid w:val="00DC3112"/>
    <w:rsid w:val="00DC5BB7"/>
    <w:rsid w:val="00DC5C58"/>
    <w:rsid w:val="00DC635E"/>
    <w:rsid w:val="00DC6CDD"/>
    <w:rsid w:val="00DC7AC7"/>
    <w:rsid w:val="00DD4B5E"/>
    <w:rsid w:val="00DD4D3E"/>
    <w:rsid w:val="00DE1480"/>
    <w:rsid w:val="00DE279F"/>
    <w:rsid w:val="00DE28F6"/>
    <w:rsid w:val="00DE5996"/>
    <w:rsid w:val="00DE6507"/>
    <w:rsid w:val="00DE6CB8"/>
    <w:rsid w:val="00DE7165"/>
    <w:rsid w:val="00DF2250"/>
    <w:rsid w:val="00DF27C8"/>
    <w:rsid w:val="00DF30BB"/>
    <w:rsid w:val="00E01F89"/>
    <w:rsid w:val="00E02C73"/>
    <w:rsid w:val="00E0301A"/>
    <w:rsid w:val="00E03943"/>
    <w:rsid w:val="00E056F0"/>
    <w:rsid w:val="00E10BE1"/>
    <w:rsid w:val="00E11891"/>
    <w:rsid w:val="00E14FB1"/>
    <w:rsid w:val="00E17F54"/>
    <w:rsid w:val="00E200F9"/>
    <w:rsid w:val="00E21E1B"/>
    <w:rsid w:val="00E220EC"/>
    <w:rsid w:val="00E22C4E"/>
    <w:rsid w:val="00E23346"/>
    <w:rsid w:val="00E2601F"/>
    <w:rsid w:val="00E33098"/>
    <w:rsid w:val="00E41E7D"/>
    <w:rsid w:val="00E43F2E"/>
    <w:rsid w:val="00E45329"/>
    <w:rsid w:val="00E464CE"/>
    <w:rsid w:val="00E46FC1"/>
    <w:rsid w:val="00E510A0"/>
    <w:rsid w:val="00E54C74"/>
    <w:rsid w:val="00E56A03"/>
    <w:rsid w:val="00E57556"/>
    <w:rsid w:val="00E61475"/>
    <w:rsid w:val="00E6613B"/>
    <w:rsid w:val="00E670A8"/>
    <w:rsid w:val="00E670FA"/>
    <w:rsid w:val="00E67E9A"/>
    <w:rsid w:val="00E751CF"/>
    <w:rsid w:val="00E7533C"/>
    <w:rsid w:val="00E7613D"/>
    <w:rsid w:val="00E76B68"/>
    <w:rsid w:val="00E80C92"/>
    <w:rsid w:val="00E8243D"/>
    <w:rsid w:val="00E82DAE"/>
    <w:rsid w:val="00E83480"/>
    <w:rsid w:val="00E863C0"/>
    <w:rsid w:val="00E86714"/>
    <w:rsid w:val="00E8673D"/>
    <w:rsid w:val="00E921C7"/>
    <w:rsid w:val="00E936DD"/>
    <w:rsid w:val="00E95F4F"/>
    <w:rsid w:val="00E9633C"/>
    <w:rsid w:val="00E97CFE"/>
    <w:rsid w:val="00EB007E"/>
    <w:rsid w:val="00EB06D9"/>
    <w:rsid w:val="00EB21A6"/>
    <w:rsid w:val="00EB25F7"/>
    <w:rsid w:val="00EB57A2"/>
    <w:rsid w:val="00EC0E4B"/>
    <w:rsid w:val="00EC3F8D"/>
    <w:rsid w:val="00EC5ABF"/>
    <w:rsid w:val="00EC5F50"/>
    <w:rsid w:val="00ED3C5E"/>
    <w:rsid w:val="00EE1190"/>
    <w:rsid w:val="00EE147E"/>
    <w:rsid w:val="00EE27A4"/>
    <w:rsid w:val="00EE4F89"/>
    <w:rsid w:val="00EE5D39"/>
    <w:rsid w:val="00EF3B10"/>
    <w:rsid w:val="00EF3D3B"/>
    <w:rsid w:val="00EF5081"/>
    <w:rsid w:val="00EF6110"/>
    <w:rsid w:val="00EF7269"/>
    <w:rsid w:val="00EF77DF"/>
    <w:rsid w:val="00F00871"/>
    <w:rsid w:val="00F10CA8"/>
    <w:rsid w:val="00F13AB6"/>
    <w:rsid w:val="00F14D03"/>
    <w:rsid w:val="00F23CE4"/>
    <w:rsid w:val="00F26B06"/>
    <w:rsid w:val="00F27244"/>
    <w:rsid w:val="00F31D74"/>
    <w:rsid w:val="00F341A5"/>
    <w:rsid w:val="00F34238"/>
    <w:rsid w:val="00F346B2"/>
    <w:rsid w:val="00F36813"/>
    <w:rsid w:val="00F36932"/>
    <w:rsid w:val="00F36C89"/>
    <w:rsid w:val="00F37677"/>
    <w:rsid w:val="00F37942"/>
    <w:rsid w:val="00F408FD"/>
    <w:rsid w:val="00F42E93"/>
    <w:rsid w:val="00F443BC"/>
    <w:rsid w:val="00F4723F"/>
    <w:rsid w:val="00F47440"/>
    <w:rsid w:val="00F50150"/>
    <w:rsid w:val="00F51510"/>
    <w:rsid w:val="00F536A2"/>
    <w:rsid w:val="00F54312"/>
    <w:rsid w:val="00F6232F"/>
    <w:rsid w:val="00F63B8E"/>
    <w:rsid w:val="00F65858"/>
    <w:rsid w:val="00F677CA"/>
    <w:rsid w:val="00F74EBB"/>
    <w:rsid w:val="00F76FAB"/>
    <w:rsid w:val="00F8187B"/>
    <w:rsid w:val="00F84700"/>
    <w:rsid w:val="00F87216"/>
    <w:rsid w:val="00F90455"/>
    <w:rsid w:val="00F90995"/>
    <w:rsid w:val="00F91ABF"/>
    <w:rsid w:val="00F92178"/>
    <w:rsid w:val="00F92C97"/>
    <w:rsid w:val="00F936C3"/>
    <w:rsid w:val="00F93F97"/>
    <w:rsid w:val="00F94579"/>
    <w:rsid w:val="00FA0E20"/>
    <w:rsid w:val="00FA4BD9"/>
    <w:rsid w:val="00FA64CA"/>
    <w:rsid w:val="00FA7F00"/>
    <w:rsid w:val="00FB18F4"/>
    <w:rsid w:val="00FB195E"/>
    <w:rsid w:val="00FB35BF"/>
    <w:rsid w:val="00FB50B6"/>
    <w:rsid w:val="00FB707B"/>
    <w:rsid w:val="00FB72EB"/>
    <w:rsid w:val="00FC2E67"/>
    <w:rsid w:val="00FC35A7"/>
    <w:rsid w:val="00FC6546"/>
    <w:rsid w:val="00FD102C"/>
    <w:rsid w:val="00FD2A15"/>
    <w:rsid w:val="00FD37F5"/>
    <w:rsid w:val="00FD5D0C"/>
    <w:rsid w:val="00FD63CD"/>
    <w:rsid w:val="00FD6E63"/>
    <w:rsid w:val="00FE364B"/>
    <w:rsid w:val="00FE53BC"/>
    <w:rsid w:val="00FE6BBA"/>
    <w:rsid w:val="00FE771C"/>
    <w:rsid w:val="00FE7FCB"/>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88BE92"/>
  <w15:docId w15:val="{DB8755A5-0B43-4CB7-B8D4-751344D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517205"/>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it-IT"/>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it-I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9"/>
      </w:numPr>
    </w:pPr>
    <w:rPr>
      <w:rFonts w:eastAsia="Times New Roman"/>
      <w:lang w:eastAsia="de-D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uiPriority w:val="99"/>
    <w:unhideWhenUsed/>
    <w:rPr>
      <w:color w:val="800080"/>
      <w:u w:val="single"/>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character" w:customStyle="1" w:styleId="bold">
    <w:name w:val="bold"/>
    <w:basedOn w:val="DefaultParagraphFont"/>
    <w:rPr>
      <w:b/>
      <w:bCs/>
    </w:rPr>
  </w:style>
  <w:style w:type="paragraph" w:customStyle="1" w:styleId="ti-grseq-12">
    <w:name w:val="ti-grseq-12"/>
    <w:basedOn w:val="Normal"/>
    <w:pPr>
      <w:spacing w:before="240" w:line="312" w:lineRule="atLeast"/>
    </w:pPr>
    <w:rPr>
      <w:rFonts w:eastAsia="Times New Roman"/>
      <w:b/>
      <w:bCs/>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customStyle="1" w:styleId="LegalNumPar">
    <w:name w:val="LegalNumPar"/>
    <w:basedOn w:val="Normal"/>
    <w:rsid w:val="00F408FD"/>
    <w:pPr>
      <w:numPr>
        <w:numId w:val="13"/>
      </w:numPr>
      <w:spacing w:line="360" w:lineRule="auto"/>
    </w:pPr>
  </w:style>
  <w:style w:type="paragraph" w:customStyle="1" w:styleId="LegalNumPar2">
    <w:name w:val="LegalNumPar2"/>
    <w:basedOn w:val="Normal"/>
    <w:rsid w:val="00F408FD"/>
    <w:pPr>
      <w:numPr>
        <w:ilvl w:val="1"/>
        <w:numId w:val="13"/>
      </w:numPr>
      <w:spacing w:line="360" w:lineRule="auto"/>
    </w:pPr>
  </w:style>
  <w:style w:type="paragraph" w:customStyle="1" w:styleId="LegalNumPar3">
    <w:name w:val="LegalNumPar3"/>
    <w:basedOn w:val="Normal"/>
    <w:rsid w:val="00F408FD"/>
    <w:pPr>
      <w:numPr>
        <w:ilvl w:val="2"/>
        <w:numId w:val="13"/>
      </w:numPr>
      <w:spacing w:line="360" w:lineRule="auto"/>
    </w:pPr>
  </w:style>
  <w:style w:type="character" w:customStyle="1" w:styleId="conf-macro">
    <w:name w:val="conf-macro"/>
    <w:basedOn w:val="DefaultParagraphFont"/>
    <w:rsid w:val="00E41E7D"/>
  </w:style>
  <w:style w:type="paragraph" w:customStyle="1" w:styleId="norm">
    <w:name w:val="norm"/>
    <w:basedOn w:val="Normal"/>
    <w:rsid w:val="0054591C"/>
    <w:pPr>
      <w:spacing w:before="100" w:beforeAutospacing="1" w:after="100" w:afterAutospacing="1"/>
      <w:jc w:val="left"/>
    </w:pPr>
    <w:rPr>
      <w:rFonts w:eastAsia="Times New Roman"/>
      <w:szCs w:val="24"/>
      <w:lang w:eastAsia="fr-BE"/>
    </w:rPr>
  </w:style>
  <w:style w:type="paragraph" w:customStyle="1" w:styleId="oj-normal">
    <w:name w:val="oj-normal"/>
    <w:basedOn w:val="Normal"/>
    <w:rsid w:val="00FF6E2E"/>
    <w:pPr>
      <w:spacing w:before="100" w:beforeAutospacing="1" w:after="100" w:afterAutospacing="1"/>
      <w:jc w:val="left"/>
    </w:pPr>
    <w:rPr>
      <w:rFonts w:eastAsia="Times New Roman"/>
      <w:szCs w:val="24"/>
      <w:lang w:eastAsia="fr-BE"/>
    </w:rPr>
  </w:style>
  <w:style w:type="character" w:customStyle="1" w:styleId="oj-super">
    <w:name w:val="oj-super"/>
    <w:basedOn w:val="DefaultParagraphFont"/>
    <w:rsid w:val="00FF6E2E"/>
  </w:style>
  <w:style w:type="paragraph" w:customStyle="1" w:styleId="italic">
    <w:name w:val="italic"/>
    <w:basedOn w:val="Normal"/>
    <w:rsid w:val="00CB4A3E"/>
    <w:pPr>
      <w:spacing w:before="100" w:beforeAutospacing="1" w:after="100" w:afterAutospacing="1"/>
      <w:jc w:val="left"/>
    </w:pPr>
    <w:rPr>
      <w:rFonts w:eastAsia="Times New Roman"/>
      <w:szCs w:val="24"/>
      <w:lang w:eastAsia="fr-BE"/>
    </w:rPr>
  </w:style>
  <w:style w:type="character" w:customStyle="1" w:styleId="italic1">
    <w:name w:val="italic1"/>
    <w:basedOn w:val="DefaultParagraphFont"/>
    <w:rsid w:val="00CB4A3E"/>
  </w:style>
  <w:style w:type="paragraph" w:customStyle="1" w:styleId="oj-ti-art">
    <w:name w:val="oj-ti-art"/>
    <w:basedOn w:val="Normal"/>
    <w:rsid w:val="00C520AE"/>
    <w:pPr>
      <w:spacing w:before="100" w:beforeAutospacing="1" w:after="100" w:afterAutospacing="1"/>
      <w:jc w:val="left"/>
    </w:pPr>
    <w:rPr>
      <w:rFonts w:eastAsia="Times New Roman"/>
      <w:szCs w:val="24"/>
      <w:lang w:eastAsia="fr-BE"/>
    </w:rPr>
  </w:style>
  <w:style w:type="paragraph" w:customStyle="1" w:styleId="oj-sti-art">
    <w:name w:val="oj-sti-art"/>
    <w:basedOn w:val="Normal"/>
    <w:rsid w:val="00C520AE"/>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05544D"/>
    <w:pPr>
      <w:tabs>
        <w:tab w:val="center" w:pos="4535"/>
        <w:tab w:val="right" w:pos="9071"/>
      </w:tabs>
      <w:spacing w:before="0"/>
    </w:pPr>
  </w:style>
  <w:style w:type="character" w:customStyle="1" w:styleId="HeaderChar">
    <w:name w:val="Header Char"/>
    <w:basedOn w:val="DefaultParagraphFont"/>
    <w:link w:val="Header"/>
    <w:uiPriority w:val="99"/>
    <w:rsid w:val="0005544D"/>
    <w:rPr>
      <w:rFonts w:ascii="Times New Roman" w:hAnsi="Times New Roman" w:cs="Times New Roman"/>
      <w:sz w:val="24"/>
      <w:lang w:val="it-IT"/>
    </w:rPr>
  </w:style>
  <w:style w:type="paragraph" w:styleId="Footer">
    <w:name w:val="footer"/>
    <w:basedOn w:val="Normal"/>
    <w:link w:val="FooterChar"/>
    <w:uiPriority w:val="99"/>
    <w:unhideWhenUsed/>
    <w:rsid w:val="0005544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5544D"/>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05544D"/>
    <w:pPr>
      <w:tabs>
        <w:tab w:val="center" w:pos="7285"/>
        <w:tab w:val="right" w:pos="14003"/>
      </w:tabs>
      <w:spacing w:before="0"/>
    </w:pPr>
  </w:style>
  <w:style w:type="paragraph" w:customStyle="1" w:styleId="FooterLandscape">
    <w:name w:val="FooterLandscape"/>
    <w:basedOn w:val="Normal"/>
    <w:rsid w:val="0005544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0554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5544D"/>
    <w:pPr>
      <w:spacing w:before="0"/>
      <w:jc w:val="right"/>
    </w:pPr>
    <w:rPr>
      <w:sz w:val="28"/>
    </w:rPr>
  </w:style>
  <w:style w:type="paragraph" w:customStyle="1" w:styleId="FooterSensitivity">
    <w:name w:val="Footer Sensitivity"/>
    <w:basedOn w:val="Normal"/>
    <w:rsid w:val="000554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6"/>
      </w:numPr>
    </w:pPr>
  </w:style>
  <w:style w:type="paragraph" w:customStyle="1" w:styleId="Tiret1">
    <w:name w:val="Tiret 1"/>
    <w:basedOn w:val="Point1"/>
    <w:rsid w:val="00517205"/>
    <w:pPr>
      <w:numPr>
        <w:numId w:val="17"/>
      </w:numPr>
    </w:pPr>
  </w:style>
  <w:style w:type="paragraph" w:customStyle="1" w:styleId="Tiret2">
    <w:name w:val="Tiret 2"/>
    <w:basedOn w:val="Point2"/>
    <w:rsid w:val="00517205"/>
    <w:pPr>
      <w:numPr>
        <w:numId w:val="18"/>
      </w:numPr>
    </w:pPr>
  </w:style>
  <w:style w:type="paragraph" w:customStyle="1" w:styleId="Tiret3">
    <w:name w:val="Tiret 3"/>
    <w:basedOn w:val="Point3"/>
    <w:rsid w:val="00517205"/>
    <w:pPr>
      <w:numPr>
        <w:numId w:val="19"/>
      </w:numPr>
    </w:pPr>
  </w:style>
  <w:style w:type="paragraph" w:customStyle="1" w:styleId="Tiret4">
    <w:name w:val="Tiret 4"/>
    <w:basedOn w:val="Point4"/>
    <w:rsid w:val="00517205"/>
    <w:pPr>
      <w:numPr>
        <w:numId w:val="20"/>
      </w:numPr>
    </w:pPr>
  </w:style>
  <w:style w:type="paragraph" w:customStyle="1" w:styleId="Tiret5">
    <w:name w:val="Tiret 5"/>
    <w:basedOn w:val="Point5"/>
    <w:rsid w:val="00517205"/>
    <w:pPr>
      <w:numPr>
        <w:numId w:val="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2"/>
      </w:numPr>
    </w:pPr>
  </w:style>
  <w:style w:type="paragraph" w:customStyle="1" w:styleId="NumPar2">
    <w:name w:val="NumPar 2"/>
    <w:basedOn w:val="Normal"/>
    <w:next w:val="Text1"/>
    <w:rsid w:val="00517205"/>
    <w:pPr>
      <w:numPr>
        <w:ilvl w:val="1"/>
        <w:numId w:val="22"/>
      </w:numPr>
    </w:pPr>
  </w:style>
  <w:style w:type="paragraph" w:customStyle="1" w:styleId="NumPar3">
    <w:name w:val="NumPar 3"/>
    <w:basedOn w:val="Normal"/>
    <w:next w:val="Text1"/>
    <w:rsid w:val="00517205"/>
    <w:pPr>
      <w:numPr>
        <w:ilvl w:val="2"/>
        <w:numId w:val="22"/>
      </w:numPr>
    </w:pPr>
  </w:style>
  <w:style w:type="paragraph" w:customStyle="1" w:styleId="NumPar4">
    <w:name w:val="NumPar 4"/>
    <w:basedOn w:val="Normal"/>
    <w:next w:val="Text1"/>
    <w:rsid w:val="00517205"/>
    <w:pPr>
      <w:numPr>
        <w:ilvl w:val="3"/>
        <w:numId w:val="22"/>
      </w:numPr>
    </w:pPr>
  </w:style>
  <w:style w:type="paragraph" w:customStyle="1" w:styleId="NumPar5">
    <w:name w:val="NumPar 5"/>
    <w:basedOn w:val="Normal"/>
    <w:next w:val="Text2"/>
    <w:rsid w:val="00517205"/>
    <w:pPr>
      <w:numPr>
        <w:ilvl w:val="4"/>
        <w:numId w:val="22"/>
      </w:numPr>
    </w:pPr>
  </w:style>
  <w:style w:type="paragraph" w:customStyle="1" w:styleId="NumPar6">
    <w:name w:val="NumPar 6"/>
    <w:basedOn w:val="Normal"/>
    <w:next w:val="Text2"/>
    <w:rsid w:val="00517205"/>
    <w:pPr>
      <w:numPr>
        <w:ilvl w:val="5"/>
        <w:numId w:val="22"/>
      </w:numPr>
    </w:pPr>
  </w:style>
  <w:style w:type="paragraph" w:customStyle="1" w:styleId="NumPar7">
    <w:name w:val="NumPar 7"/>
    <w:basedOn w:val="Normal"/>
    <w:next w:val="Text2"/>
    <w:rsid w:val="00517205"/>
    <w:pPr>
      <w:numPr>
        <w:ilvl w:val="6"/>
        <w:numId w:val="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4"/>
      </w:numPr>
    </w:pPr>
  </w:style>
  <w:style w:type="paragraph" w:customStyle="1" w:styleId="Point1number">
    <w:name w:val="Point 1 (number)"/>
    <w:basedOn w:val="Normal"/>
    <w:rsid w:val="00517205"/>
    <w:pPr>
      <w:numPr>
        <w:ilvl w:val="2"/>
        <w:numId w:val="24"/>
      </w:numPr>
    </w:pPr>
  </w:style>
  <w:style w:type="paragraph" w:customStyle="1" w:styleId="Point2number">
    <w:name w:val="Point 2 (number)"/>
    <w:basedOn w:val="Normal"/>
    <w:rsid w:val="00517205"/>
    <w:pPr>
      <w:numPr>
        <w:ilvl w:val="4"/>
        <w:numId w:val="24"/>
      </w:numPr>
    </w:pPr>
  </w:style>
  <w:style w:type="paragraph" w:customStyle="1" w:styleId="Point3number">
    <w:name w:val="Point 3 (number)"/>
    <w:basedOn w:val="Normal"/>
    <w:rsid w:val="00517205"/>
    <w:pPr>
      <w:numPr>
        <w:ilvl w:val="6"/>
        <w:numId w:val="24"/>
      </w:numPr>
    </w:pPr>
  </w:style>
  <w:style w:type="paragraph" w:customStyle="1" w:styleId="Point0letter">
    <w:name w:val="Point 0 (letter)"/>
    <w:basedOn w:val="Normal"/>
    <w:rsid w:val="00517205"/>
    <w:pPr>
      <w:numPr>
        <w:ilvl w:val="1"/>
        <w:numId w:val="24"/>
      </w:numPr>
    </w:pPr>
  </w:style>
  <w:style w:type="paragraph" w:customStyle="1" w:styleId="Point1letter">
    <w:name w:val="Point 1 (letter)"/>
    <w:basedOn w:val="Normal"/>
    <w:rsid w:val="00517205"/>
    <w:pPr>
      <w:numPr>
        <w:ilvl w:val="3"/>
        <w:numId w:val="24"/>
      </w:numPr>
    </w:pPr>
  </w:style>
  <w:style w:type="paragraph" w:customStyle="1" w:styleId="Point2letter">
    <w:name w:val="Point 2 (letter)"/>
    <w:basedOn w:val="Normal"/>
    <w:rsid w:val="00517205"/>
    <w:pPr>
      <w:numPr>
        <w:ilvl w:val="5"/>
        <w:numId w:val="24"/>
      </w:numPr>
    </w:pPr>
  </w:style>
  <w:style w:type="paragraph" w:customStyle="1" w:styleId="Point3letter">
    <w:name w:val="Point 3 (letter)"/>
    <w:basedOn w:val="Normal"/>
    <w:rsid w:val="00517205"/>
    <w:pPr>
      <w:numPr>
        <w:ilvl w:val="7"/>
        <w:numId w:val="24"/>
      </w:numPr>
    </w:pPr>
  </w:style>
  <w:style w:type="paragraph" w:customStyle="1" w:styleId="Point4letter">
    <w:name w:val="Point 4 (letter)"/>
    <w:basedOn w:val="Normal"/>
    <w:rsid w:val="00517205"/>
    <w:pPr>
      <w:numPr>
        <w:ilvl w:val="8"/>
        <w:numId w:val="24"/>
      </w:numPr>
    </w:pPr>
  </w:style>
  <w:style w:type="paragraph" w:customStyle="1" w:styleId="Bullet0">
    <w:name w:val="Bullet 0"/>
    <w:basedOn w:val="Normal"/>
    <w:rsid w:val="00517205"/>
    <w:pPr>
      <w:numPr>
        <w:numId w:val="25"/>
      </w:numPr>
    </w:pPr>
  </w:style>
  <w:style w:type="paragraph" w:customStyle="1" w:styleId="Bullet1">
    <w:name w:val="Bullet 1"/>
    <w:basedOn w:val="Normal"/>
    <w:rsid w:val="00517205"/>
    <w:pPr>
      <w:numPr>
        <w:numId w:val="26"/>
      </w:numPr>
    </w:pPr>
  </w:style>
  <w:style w:type="paragraph" w:customStyle="1" w:styleId="Bullet2">
    <w:name w:val="Bullet 2"/>
    <w:basedOn w:val="Normal"/>
    <w:rsid w:val="00517205"/>
    <w:pPr>
      <w:numPr>
        <w:numId w:val="27"/>
      </w:numPr>
    </w:pPr>
  </w:style>
  <w:style w:type="paragraph" w:customStyle="1" w:styleId="Bullet3">
    <w:name w:val="Bullet 3"/>
    <w:basedOn w:val="Normal"/>
    <w:rsid w:val="00517205"/>
    <w:pPr>
      <w:numPr>
        <w:numId w:val="28"/>
      </w:numPr>
    </w:pPr>
  </w:style>
  <w:style w:type="paragraph" w:customStyle="1" w:styleId="Bullet4">
    <w:name w:val="Bullet 4"/>
    <w:basedOn w:val="Normal"/>
    <w:rsid w:val="00517205"/>
    <w:pPr>
      <w:numPr>
        <w:numId w:val="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198">
      <w:bodyDiv w:val="1"/>
      <w:marLeft w:val="0"/>
      <w:marRight w:val="0"/>
      <w:marTop w:val="0"/>
      <w:marBottom w:val="0"/>
      <w:divBdr>
        <w:top w:val="none" w:sz="0" w:space="0" w:color="auto"/>
        <w:left w:val="none" w:sz="0" w:space="0" w:color="auto"/>
        <w:bottom w:val="none" w:sz="0" w:space="0" w:color="auto"/>
        <w:right w:val="none" w:sz="0" w:space="0" w:color="auto"/>
      </w:divBdr>
    </w:div>
    <w:div w:id="46026945">
      <w:bodyDiv w:val="1"/>
      <w:marLeft w:val="0"/>
      <w:marRight w:val="0"/>
      <w:marTop w:val="0"/>
      <w:marBottom w:val="0"/>
      <w:divBdr>
        <w:top w:val="none" w:sz="0" w:space="0" w:color="auto"/>
        <w:left w:val="none" w:sz="0" w:space="0" w:color="auto"/>
        <w:bottom w:val="none" w:sz="0" w:space="0" w:color="auto"/>
        <w:right w:val="none" w:sz="0" w:space="0" w:color="auto"/>
      </w:divBdr>
      <w:divsChild>
        <w:div w:id="1910768907">
          <w:marLeft w:val="0"/>
          <w:marRight w:val="0"/>
          <w:marTop w:val="0"/>
          <w:marBottom w:val="0"/>
          <w:divBdr>
            <w:top w:val="none" w:sz="0" w:space="0" w:color="auto"/>
            <w:left w:val="none" w:sz="0" w:space="0" w:color="auto"/>
            <w:bottom w:val="none" w:sz="0" w:space="0" w:color="auto"/>
            <w:right w:val="none" w:sz="0" w:space="0" w:color="auto"/>
          </w:divBdr>
        </w:div>
      </w:divsChild>
    </w:div>
    <w:div w:id="102769352">
      <w:bodyDiv w:val="1"/>
      <w:marLeft w:val="0"/>
      <w:marRight w:val="0"/>
      <w:marTop w:val="0"/>
      <w:marBottom w:val="0"/>
      <w:divBdr>
        <w:top w:val="none" w:sz="0" w:space="0" w:color="auto"/>
        <w:left w:val="none" w:sz="0" w:space="0" w:color="auto"/>
        <w:bottom w:val="none" w:sz="0" w:space="0" w:color="auto"/>
        <w:right w:val="none" w:sz="0" w:space="0" w:color="auto"/>
      </w:divBdr>
    </w:div>
    <w:div w:id="109515952">
      <w:bodyDiv w:val="1"/>
      <w:marLeft w:val="0"/>
      <w:marRight w:val="0"/>
      <w:marTop w:val="0"/>
      <w:marBottom w:val="0"/>
      <w:divBdr>
        <w:top w:val="none" w:sz="0" w:space="0" w:color="auto"/>
        <w:left w:val="none" w:sz="0" w:space="0" w:color="auto"/>
        <w:bottom w:val="none" w:sz="0" w:space="0" w:color="auto"/>
        <w:right w:val="none" w:sz="0" w:space="0" w:color="auto"/>
      </w:divBdr>
    </w:div>
    <w:div w:id="110514703">
      <w:bodyDiv w:val="1"/>
      <w:marLeft w:val="0"/>
      <w:marRight w:val="0"/>
      <w:marTop w:val="0"/>
      <w:marBottom w:val="0"/>
      <w:divBdr>
        <w:top w:val="none" w:sz="0" w:space="0" w:color="auto"/>
        <w:left w:val="none" w:sz="0" w:space="0" w:color="auto"/>
        <w:bottom w:val="none" w:sz="0" w:space="0" w:color="auto"/>
        <w:right w:val="none" w:sz="0" w:space="0" w:color="auto"/>
      </w:divBdr>
      <w:divsChild>
        <w:div w:id="883712604">
          <w:marLeft w:val="0"/>
          <w:marRight w:val="0"/>
          <w:marTop w:val="0"/>
          <w:marBottom w:val="0"/>
          <w:divBdr>
            <w:top w:val="none" w:sz="0" w:space="0" w:color="auto"/>
            <w:left w:val="none" w:sz="0" w:space="0" w:color="auto"/>
            <w:bottom w:val="none" w:sz="0" w:space="0" w:color="auto"/>
            <w:right w:val="none" w:sz="0" w:space="0" w:color="auto"/>
          </w:divBdr>
        </w:div>
      </w:divsChild>
    </w:div>
    <w:div w:id="144977089">
      <w:bodyDiv w:val="1"/>
      <w:marLeft w:val="0"/>
      <w:marRight w:val="0"/>
      <w:marTop w:val="0"/>
      <w:marBottom w:val="0"/>
      <w:divBdr>
        <w:top w:val="none" w:sz="0" w:space="0" w:color="auto"/>
        <w:left w:val="none" w:sz="0" w:space="0" w:color="auto"/>
        <w:bottom w:val="none" w:sz="0" w:space="0" w:color="auto"/>
        <w:right w:val="none" w:sz="0" w:space="0" w:color="auto"/>
      </w:divBdr>
      <w:divsChild>
        <w:div w:id="622229626">
          <w:marLeft w:val="0"/>
          <w:marRight w:val="0"/>
          <w:marTop w:val="0"/>
          <w:marBottom w:val="0"/>
          <w:divBdr>
            <w:top w:val="none" w:sz="0" w:space="0" w:color="auto"/>
            <w:left w:val="none" w:sz="0" w:space="0" w:color="auto"/>
            <w:bottom w:val="none" w:sz="0" w:space="0" w:color="auto"/>
            <w:right w:val="none" w:sz="0" w:space="0" w:color="auto"/>
          </w:divBdr>
        </w:div>
      </w:divsChild>
    </w:div>
    <w:div w:id="254943782">
      <w:bodyDiv w:val="1"/>
      <w:marLeft w:val="0"/>
      <w:marRight w:val="0"/>
      <w:marTop w:val="0"/>
      <w:marBottom w:val="0"/>
      <w:divBdr>
        <w:top w:val="none" w:sz="0" w:space="0" w:color="auto"/>
        <w:left w:val="none" w:sz="0" w:space="0" w:color="auto"/>
        <w:bottom w:val="none" w:sz="0" w:space="0" w:color="auto"/>
        <w:right w:val="none" w:sz="0" w:space="0" w:color="auto"/>
      </w:divBdr>
    </w:div>
    <w:div w:id="271985018">
      <w:bodyDiv w:val="1"/>
      <w:marLeft w:val="0"/>
      <w:marRight w:val="0"/>
      <w:marTop w:val="0"/>
      <w:marBottom w:val="0"/>
      <w:divBdr>
        <w:top w:val="none" w:sz="0" w:space="0" w:color="auto"/>
        <w:left w:val="none" w:sz="0" w:space="0" w:color="auto"/>
        <w:bottom w:val="none" w:sz="0" w:space="0" w:color="auto"/>
        <w:right w:val="none" w:sz="0" w:space="0" w:color="auto"/>
      </w:divBdr>
    </w:div>
    <w:div w:id="336541489">
      <w:bodyDiv w:val="1"/>
      <w:marLeft w:val="0"/>
      <w:marRight w:val="0"/>
      <w:marTop w:val="0"/>
      <w:marBottom w:val="0"/>
      <w:divBdr>
        <w:top w:val="none" w:sz="0" w:space="0" w:color="auto"/>
        <w:left w:val="none" w:sz="0" w:space="0" w:color="auto"/>
        <w:bottom w:val="none" w:sz="0" w:space="0" w:color="auto"/>
        <w:right w:val="none" w:sz="0" w:space="0" w:color="auto"/>
      </w:divBdr>
    </w:div>
    <w:div w:id="342440935">
      <w:bodyDiv w:val="1"/>
      <w:marLeft w:val="0"/>
      <w:marRight w:val="0"/>
      <w:marTop w:val="0"/>
      <w:marBottom w:val="0"/>
      <w:divBdr>
        <w:top w:val="none" w:sz="0" w:space="0" w:color="auto"/>
        <w:left w:val="none" w:sz="0" w:space="0" w:color="auto"/>
        <w:bottom w:val="none" w:sz="0" w:space="0" w:color="auto"/>
        <w:right w:val="none" w:sz="0" w:space="0" w:color="auto"/>
      </w:divBdr>
    </w:div>
    <w:div w:id="347827879">
      <w:bodyDiv w:val="1"/>
      <w:marLeft w:val="0"/>
      <w:marRight w:val="0"/>
      <w:marTop w:val="0"/>
      <w:marBottom w:val="0"/>
      <w:divBdr>
        <w:top w:val="none" w:sz="0" w:space="0" w:color="auto"/>
        <w:left w:val="none" w:sz="0" w:space="0" w:color="auto"/>
        <w:bottom w:val="none" w:sz="0" w:space="0" w:color="auto"/>
        <w:right w:val="none" w:sz="0" w:space="0" w:color="auto"/>
      </w:divBdr>
      <w:divsChild>
        <w:div w:id="967509353">
          <w:marLeft w:val="0"/>
          <w:marRight w:val="0"/>
          <w:marTop w:val="0"/>
          <w:marBottom w:val="0"/>
          <w:divBdr>
            <w:top w:val="none" w:sz="0" w:space="0" w:color="auto"/>
            <w:left w:val="none" w:sz="0" w:space="0" w:color="auto"/>
            <w:bottom w:val="none" w:sz="0" w:space="0" w:color="auto"/>
            <w:right w:val="none" w:sz="0" w:space="0" w:color="auto"/>
          </w:divBdr>
        </w:div>
      </w:divsChild>
    </w:div>
    <w:div w:id="375744408">
      <w:bodyDiv w:val="1"/>
      <w:marLeft w:val="0"/>
      <w:marRight w:val="0"/>
      <w:marTop w:val="0"/>
      <w:marBottom w:val="0"/>
      <w:divBdr>
        <w:top w:val="none" w:sz="0" w:space="0" w:color="auto"/>
        <w:left w:val="none" w:sz="0" w:space="0" w:color="auto"/>
        <w:bottom w:val="none" w:sz="0" w:space="0" w:color="auto"/>
        <w:right w:val="none" w:sz="0" w:space="0" w:color="auto"/>
      </w:divBdr>
    </w:div>
    <w:div w:id="378894176">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427969001">
      <w:bodyDiv w:val="1"/>
      <w:marLeft w:val="0"/>
      <w:marRight w:val="0"/>
      <w:marTop w:val="0"/>
      <w:marBottom w:val="0"/>
      <w:divBdr>
        <w:top w:val="none" w:sz="0" w:space="0" w:color="auto"/>
        <w:left w:val="none" w:sz="0" w:space="0" w:color="auto"/>
        <w:bottom w:val="none" w:sz="0" w:space="0" w:color="auto"/>
        <w:right w:val="none" w:sz="0" w:space="0" w:color="auto"/>
      </w:divBdr>
    </w:div>
    <w:div w:id="463742396">
      <w:bodyDiv w:val="1"/>
      <w:marLeft w:val="0"/>
      <w:marRight w:val="0"/>
      <w:marTop w:val="0"/>
      <w:marBottom w:val="0"/>
      <w:divBdr>
        <w:top w:val="none" w:sz="0" w:space="0" w:color="auto"/>
        <w:left w:val="none" w:sz="0" w:space="0" w:color="auto"/>
        <w:bottom w:val="none" w:sz="0" w:space="0" w:color="auto"/>
        <w:right w:val="none" w:sz="0" w:space="0" w:color="auto"/>
      </w:divBdr>
    </w:div>
    <w:div w:id="649292010">
      <w:bodyDiv w:val="1"/>
      <w:marLeft w:val="0"/>
      <w:marRight w:val="0"/>
      <w:marTop w:val="0"/>
      <w:marBottom w:val="0"/>
      <w:divBdr>
        <w:top w:val="none" w:sz="0" w:space="0" w:color="auto"/>
        <w:left w:val="none" w:sz="0" w:space="0" w:color="auto"/>
        <w:bottom w:val="none" w:sz="0" w:space="0" w:color="auto"/>
        <w:right w:val="none" w:sz="0" w:space="0" w:color="auto"/>
      </w:divBdr>
    </w:div>
    <w:div w:id="658193626">
      <w:bodyDiv w:val="1"/>
      <w:marLeft w:val="0"/>
      <w:marRight w:val="0"/>
      <w:marTop w:val="0"/>
      <w:marBottom w:val="0"/>
      <w:divBdr>
        <w:top w:val="none" w:sz="0" w:space="0" w:color="auto"/>
        <w:left w:val="none" w:sz="0" w:space="0" w:color="auto"/>
        <w:bottom w:val="none" w:sz="0" w:space="0" w:color="auto"/>
        <w:right w:val="none" w:sz="0" w:space="0" w:color="auto"/>
      </w:divBdr>
      <w:divsChild>
        <w:div w:id="39019151">
          <w:marLeft w:val="0"/>
          <w:marRight w:val="0"/>
          <w:marTop w:val="0"/>
          <w:marBottom w:val="0"/>
          <w:divBdr>
            <w:top w:val="none" w:sz="0" w:space="0" w:color="auto"/>
            <w:left w:val="none" w:sz="0" w:space="0" w:color="auto"/>
            <w:bottom w:val="none" w:sz="0" w:space="0" w:color="auto"/>
            <w:right w:val="none" w:sz="0" w:space="0" w:color="auto"/>
          </w:divBdr>
          <w:divsChild>
            <w:div w:id="1690065773">
              <w:marLeft w:val="0"/>
              <w:marRight w:val="0"/>
              <w:marTop w:val="0"/>
              <w:marBottom w:val="0"/>
              <w:divBdr>
                <w:top w:val="none" w:sz="0" w:space="0" w:color="auto"/>
                <w:left w:val="none" w:sz="0" w:space="0" w:color="auto"/>
                <w:bottom w:val="none" w:sz="0" w:space="0" w:color="auto"/>
                <w:right w:val="none" w:sz="0" w:space="0" w:color="auto"/>
              </w:divBdr>
            </w:div>
          </w:divsChild>
        </w:div>
        <w:div w:id="1411003199">
          <w:marLeft w:val="0"/>
          <w:marRight w:val="0"/>
          <w:marTop w:val="0"/>
          <w:marBottom w:val="0"/>
          <w:divBdr>
            <w:top w:val="none" w:sz="0" w:space="0" w:color="auto"/>
            <w:left w:val="none" w:sz="0" w:space="0" w:color="auto"/>
            <w:bottom w:val="none" w:sz="0" w:space="0" w:color="auto"/>
            <w:right w:val="none" w:sz="0" w:space="0" w:color="auto"/>
          </w:divBdr>
          <w:divsChild>
            <w:div w:id="1874607878">
              <w:marLeft w:val="0"/>
              <w:marRight w:val="0"/>
              <w:marTop w:val="0"/>
              <w:marBottom w:val="0"/>
              <w:divBdr>
                <w:top w:val="none" w:sz="0" w:space="0" w:color="auto"/>
                <w:left w:val="none" w:sz="0" w:space="0" w:color="auto"/>
                <w:bottom w:val="none" w:sz="0" w:space="0" w:color="auto"/>
                <w:right w:val="none" w:sz="0" w:space="0" w:color="auto"/>
              </w:divBdr>
            </w:div>
          </w:divsChild>
        </w:div>
        <w:div w:id="1746800817">
          <w:marLeft w:val="0"/>
          <w:marRight w:val="0"/>
          <w:marTop w:val="0"/>
          <w:marBottom w:val="0"/>
          <w:divBdr>
            <w:top w:val="none" w:sz="0" w:space="0" w:color="auto"/>
            <w:left w:val="none" w:sz="0" w:space="0" w:color="auto"/>
            <w:bottom w:val="none" w:sz="0" w:space="0" w:color="auto"/>
            <w:right w:val="none" w:sz="0" w:space="0" w:color="auto"/>
          </w:divBdr>
          <w:divsChild>
            <w:div w:id="249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8602">
      <w:bodyDiv w:val="1"/>
      <w:marLeft w:val="0"/>
      <w:marRight w:val="0"/>
      <w:marTop w:val="0"/>
      <w:marBottom w:val="0"/>
      <w:divBdr>
        <w:top w:val="none" w:sz="0" w:space="0" w:color="auto"/>
        <w:left w:val="none" w:sz="0" w:space="0" w:color="auto"/>
        <w:bottom w:val="none" w:sz="0" w:space="0" w:color="auto"/>
        <w:right w:val="none" w:sz="0" w:space="0" w:color="auto"/>
      </w:divBdr>
    </w:div>
    <w:div w:id="706106811">
      <w:bodyDiv w:val="1"/>
      <w:marLeft w:val="0"/>
      <w:marRight w:val="0"/>
      <w:marTop w:val="0"/>
      <w:marBottom w:val="0"/>
      <w:divBdr>
        <w:top w:val="none" w:sz="0" w:space="0" w:color="auto"/>
        <w:left w:val="none" w:sz="0" w:space="0" w:color="auto"/>
        <w:bottom w:val="none" w:sz="0" w:space="0" w:color="auto"/>
        <w:right w:val="none" w:sz="0" w:space="0" w:color="auto"/>
      </w:divBdr>
    </w:div>
    <w:div w:id="790831165">
      <w:bodyDiv w:val="1"/>
      <w:marLeft w:val="0"/>
      <w:marRight w:val="0"/>
      <w:marTop w:val="0"/>
      <w:marBottom w:val="0"/>
      <w:divBdr>
        <w:top w:val="none" w:sz="0" w:space="0" w:color="auto"/>
        <w:left w:val="none" w:sz="0" w:space="0" w:color="auto"/>
        <w:bottom w:val="none" w:sz="0" w:space="0" w:color="auto"/>
        <w:right w:val="none" w:sz="0" w:space="0" w:color="auto"/>
      </w:divBdr>
    </w:div>
    <w:div w:id="792333122">
      <w:bodyDiv w:val="1"/>
      <w:marLeft w:val="0"/>
      <w:marRight w:val="0"/>
      <w:marTop w:val="0"/>
      <w:marBottom w:val="0"/>
      <w:divBdr>
        <w:top w:val="none" w:sz="0" w:space="0" w:color="auto"/>
        <w:left w:val="none" w:sz="0" w:space="0" w:color="auto"/>
        <w:bottom w:val="none" w:sz="0" w:space="0" w:color="auto"/>
        <w:right w:val="none" w:sz="0" w:space="0" w:color="auto"/>
      </w:divBdr>
    </w:div>
    <w:div w:id="802888683">
      <w:bodyDiv w:val="1"/>
      <w:marLeft w:val="0"/>
      <w:marRight w:val="0"/>
      <w:marTop w:val="0"/>
      <w:marBottom w:val="0"/>
      <w:divBdr>
        <w:top w:val="none" w:sz="0" w:space="0" w:color="auto"/>
        <w:left w:val="none" w:sz="0" w:space="0" w:color="auto"/>
        <w:bottom w:val="none" w:sz="0" w:space="0" w:color="auto"/>
        <w:right w:val="none" w:sz="0" w:space="0" w:color="auto"/>
      </w:divBdr>
    </w:div>
    <w:div w:id="805901146">
      <w:bodyDiv w:val="1"/>
      <w:marLeft w:val="0"/>
      <w:marRight w:val="0"/>
      <w:marTop w:val="0"/>
      <w:marBottom w:val="0"/>
      <w:divBdr>
        <w:top w:val="none" w:sz="0" w:space="0" w:color="auto"/>
        <w:left w:val="none" w:sz="0" w:space="0" w:color="auto"/>
        <w:bottom w:val="none" w:sz="0" w:space="0" w:color="auto"/>
        <w:right w:val="none" w:sz="0" w:space="0" w:color="auto"/>
      </w:divBdr>
    </w:div>
    <w:div w:id="840584757">
      <w:bodyDiv w:val="1"/>
      <w:marLeft w:val="0"/>
      <w:marRight w:val="0"/>
      <w:marTop w:val="0"/>
      <w:marBottom w:val="0"/>
      <w:divBdr>
        <w:top w:val="none" w:sz="0" w:space="0" w:color="auto"/>
        <w:left w:val="none" w:sz="0" w:space="0" w:color="auto"/>
        <w:bottom w:val="none" w:sz="0" w:space="0" w:color="auto"/>
        <w:right w:val="none" w:sz="0" w:space="0" w:color="auto"/>
      </w:divBdr>
    </w:div>
    <w:div w:id="871914680">
      <w:bodyDiv w:val="1"/>
      <w:marLeft w:val="0"/>
      <w:marRight w:val="0"/>
      <w:marTop w:val="0"/>
      <w:marBottom w:val="0"/>
      <w:divBdr>
        <w:top w:val="none" w:sz="0" w:space="0" w:color="auto"/>
        <w:left w:val="none" w:sz="0" w:space="0" w:color="auto"/>
        <w:bottom w:val="none" w:sz="0" w:space="0" w:color="auto"/>
        <w:right w:val="none" w:sz="0" w:space="0" w:color="auto"/>
      </w:divBdr>
      <w:divsChild>
        <w:div w:id="1716734589">
          <w:marLeft w:val="0"/>
          <w:marRight w:val="0"/>
          <w:marTop w:val="0"/>
          <w:marBottom w:val="0"/>
          <w:divBdr>
            <w:top w:val="none" w:sz="0" w:space="0" w:color="auto"/>
            <w:left w:val="none" w:sz="0" w:space="0" w:color="auto"/>
            <w:bottom w:val="none" w:sz="0" w:space="0" w:color="auto"/>
            <w:right w:val="none" w:sz="0" w:space="0" w:color="auto"/>
          </w:divBdr>
          <w:divsChild>
            <w:div w:id="5881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1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058">
          <w:marLeft w:val="0"/>
          <w:marRight w:val="0"/>
          <w:marTop w:val="0"/>
          <w:marBottom w:val="0"/>
          <w:divBdr>
            <w:top w:val="none" w:sz="0" w:space="0" w:color="auto"/>
            <w:left w:val="none" w:sz="0" w:space="0" w:color="auto"/>
            <w:bottom w:val="none" w:sz="0" w:space="0" w:color="auto"/>
            <w:right w:val="none" w:sz="0" w:space="0" w:color="auto"/>
          </w:divBdr>
        </w:div>
      </w:divsChild>
    </w:div>
    <w:div w:id="1001155353">
      <w:bodyDiv w:val="1"/>
      <w:marLeft w:val="0"/>
      <w:marRight w:val="0"/>
      <w:marTop w:val="0"/>
      <w:marBottom w:val="0"/>
      <w:divBdr>
        <w:top w:val="none" w:sz="0" w:space="0" w:color="auto"/>
        <w:left w:val="none" w:sz="0" w:space="0" w:color="auto"/>
        <w:bottom w:val="none" w:sz="0" w:space="0" w:color="auto"/>
        <w:right w:val="none" w:sz="0" w:space="0" w:color="auto"/>
      </w:divBdr>
    </w:div>
    <w:div w:id="1020399835">
      <w:bodyDiv w:val="1"/>
      <w:marLeft w:val="0"/>
      <w:marRight w:val="0"/>
      <w:marTop w:val="0"/>
      <w:marBottom w:val="0"/>
      <w:divBdr>
        <w:top w:val="none" w:sz="0" w:space="0" w:color="auto"/>
        <w:left w:val="none" w:sz="0" w:space="0" w:color="auto"/>
        <w:bottom w:val="none" w:sz="0" w:space="0" w:color="auto"/>
        <w:right w:val="none" w:sz="0" w:space="0" w:color="auto"/>
      </w:divBdr>
    </w:div>
    <w:div w:id="1036199854">
      <w:bodyDiv w:val="1"/>
      <w:marLeft w:val="0"/>
      <w:marRight w:val="0"/>
      <w:marTop w:val="0"/>
      <w:marBottom w:val="0"/>
      <w:divBdr>
        <w:top w:val="none" w:sz="0" w:space="0" w:color="auto"/>
        <w:left w:val="none" w:sz="0" w:space="0" w:color="auto"/>
        <w:bottom w:val="none" w:sz="0" w:space="0" w:color="auto"/>
        <w:right w:val="none" w:sz="0" w:space="0" w:color="auto"/>
      </w:divBdr>
    </w:div>
    <w:div w:id="1058164167">
      <w:bodyDiv w:val="1"/>
      <w:marLeft w:val="0"/>
      <w:marRight w:val="0"/>
      <w:marTop w:val="0"/>
      <w:marBottom w:val="0"/>
      <w:divBdr>
        <w:top w:val="none" w:sz="0" w:space="0" w:color="auto"/>
        <w:left w:val="none" w:sz="0" w:space="0" w:color="auto"/>
        <w:bottom w:val="none" w:sz="0" w:space="0" w:color="auto"/>
        <w:right w:val="none" w:sz="0" w:space="0" w:color="auto"/>
      </w:divBdr>
    </w:div>
    <w:div w:id="1127120312">
      <w:bodyDiv w:val="1"/>
      <w:marLeft w:val="0"/>
      <w:marRight w:val="0"/>
      <w:marTop w:val="0"/>
      <w:marBottom w:val="0"/>
      <w:divBdr>
        <w:top w:val="none" w:sz="0" w:space="0" w:color="auto"/>
        <w:left w:val="none" w:sz="0" w:space="0" w:color="auto"/>
        <w:bottom w:val="none" w:sz="0" w:space="0" w:color="auto"/>
        <w:right w:val="none" w:sz="0" w:space="0" w:color="auto"/>
      </w:divBdr>
    </w:div>
    <w:div w:id="1133525164">
      <w:bodyDiv w:val="1"/>
      <w:marLeft w:val="0"/>
      <w:marRight w:val="0"/>
      <w:marTop w:val="0"/>
      <w:marBottom w:val="0"/>
      <w:divBdr>
        <w:top w:val="none" w:sz="0" w:space="0" w:color="auto"/>
        <w:left w:val="none" w:sz="0" w:space="0" w:color="auto"/>
        <w:bottom w:val="none" w:sz="0" w:space="0" w:color="auto"/>
        <w:right w:val="none" w:sz="0" w:space="0" w:color="auto"/>
      </w:divBdr>
    </w:div>
    <w:div w:id="1175729724">
      <w:bodyDiv w:val="1"/>
      <w:marLeft w:val="0"/>
      <w:marRight w:val="0"/>
      <w:marTop w:val="0"/>
      <w:marBottom w:val="0"/>
      <w:divBdr>
        <w:top w:val="none" w:sz="0" w:space="0" w:color="auto"/>
        <w:left w:val="none" w:sz="0" w:space="0" w:color="auto"/>
        <w:bottom w:val="none" w:sz="0" w:space="0" w:color="auto"/>
        <w:right w:val="none" w:sz="0" w:space="0" w:color="auto"/>
      </w:divBdr>
    </w:div>
    <w:div w:id="1251161004">
      <w:bodyDiv w:val="1"/>
      <w:marLeft w:val="0"/>
      <w:marRight w:val="0"/>
      <w:marTop w:val="0"/>
      <w:marBottom w:val="0"/>
      <w:divBdr>
        <w:top w:val="none" w:sz="0" w:space="0" w:color="auto"/>
        <w:left w:val="none" w:sz="0" w:space="0" w:color="auto"/>
        <w:bottom w:val="none" w:sz="0" w:space="0" w:color="auto"/>
        <w:right w:val="none" w:sz="0" w:space="0" w:color="auto"/>
      </w:divBdr>
    </w:div>
    <w:div w:id="1256859194">
      <w:bodyDiv w:val="1"/>
      <w:marLeft w:val="0"/>
      <w:marRight w:val="0"/>
      <w:marTop w:val="0"/>
      <w:marBottom w:val="0"/>
      <w:divBdr>
        <w:top w:val="none" w:sz="0" w:space="0" w:color="auto"/>
        <w:left w:val="none" w:sz="0" w:space="0" w:color="auto"/>
        <w:bottom w:val="none" w:sz="0" w:space="0" w:color="auto"/>
        <w:right w:val="none" w:sz="0" w:space="0" w:color="auto"/>
      </w:divBdr>
    </w:div>
    <w:div w:id="1294874134">
      <w:bodyDiv w:val="1"/>
      <w:marLeft w:val="0"/>
      <w:marRight w:val="0"/>
      <w:marTop w:val="0"/>
      <w:marBottom w:val="0"/>
      <w:divBdr>
        <w:top w:val="none" w:sz="0" w:space="0" w:color="auto"/>
        <w:left w:val="none" w:sz="0" w:space="0" w:color="auto"/>
        <w:bottom w:val="none" w:sz="0" w:space="0" w:color="auto"/>
        <w:right w:val="none" w:sz="0" w:space="0" w:color="auto"/>
      </w:divBdr>
    </w:div>
    <w:div w:id="1298338917">
      <w:bodyDiv w:val="1"/>
      <w:marLeft w:val="0"/>
      <w:marRight w:val="0"/>
      <w:marTop w:val="0"/>
      <w:marBottom w:val="0"/>
      <w:divBdr>
        <w:top w:val="none" w:sz="0" w:space="0" w:color="auto"/>
        <w:left w:val="none" w:sz="0" w:space="0" w:color="auto"/>
        <w:bottom w:val="none" w:sz="0" w:space="0" w:color="auto"/>
        <w:right w:val="none" w:sz="0" w:space="0" w:color="auto"/>
      </w:divBdr>
    </w:div>
    <w:div w:id="1323239417">
      <w:bodyDiv w:val="1"/>
      <w:marLeft w:val="0"/>
      <w:marRight w:val="0"/>
      <w:marTop w:val="0"/>
      <w:marBottom w:val="0"/>
      <w:divBdr>
        <w:top w:val="none" w:sz="0" w:space="0" w:color="auto"/>
        <w:left w:val="none" w:sz="0" w:space="0" w:color="auto"/>
        <w:bottom w:val="none" w:sz="0" w:space="0" w:color="auto"/>
        <w:right w:val="none" w:sz="0" w:space="0" w:color="auto"/>
      </w:divBdr>
    </w:div>
    <w:div w:id="1351371084">
      <w:bodyDiv w:val="1"/>
      <w:marLeft w:val="0"/>
      <w:marRight w:val="0"/>
      <w:marTop w:val="0"/>
      <w:marBottom w:val="0"/>
      <w:divBdr>
        <w:top w:val="none" w:sz="0" w:space="0" w:color="auto"/>
        <w:left w:val="none" w:sz="0" w:space="0" w:color="auto"/>
        <w:bottom w:val="none" w:sz="0" w:space="0" w:color="auto"/>
        <w:right w:val="none" w:sz="0" w:space="0" w:color="auto"/>
      </w:divBdr>
      <w:divsChild>
        <w:div w:id="390813519">
          <w:marLeft w:val="0"/>
          <w:marRight w:val="0"/>
          <w:marTop w:val="0"/>
          <w:marBottom w:val="0"/>
          <w:divBdr>
            <w:top w:val="none" w:sz="0" w:space="0" w:color="auto"/>
            <w:left w:val="none" w:sz="0" w:space="0" w:color="auto"/>
            <w:bottom w:val="none" w:sz="0" w:space="0" w:color="auto"/>
            <w:right w:val="none" w:sz="0" w:space="0" w:color="auto"/>
          </w:divBdr>
        </w:div>
        <w:div w:id="355737634">
          <w:marLeft w:val="0"/>
          <w:marRight w:val="0"/>
          <w:marTop w:val="0"/>
          <w:marBottom w:val="0"/>
          <w:divBdr>
            <w:top w:val="none" w:sz="0" w:space="0" w:color="auto"/>
            <w:left w:val="none" w:sz="0" w:space="0" w:color="auto"/>
            <w:bottom w:val="none" w:sz="0" w:space="0" w:color="auto"/>
            <w:right w:val="none" w:sz="0" w:space="0" w:color="auto"/>
          </w:divBdr>
        </w:div>
      </w:divsChild>
    </w:div>
    <w:div w:id="1357467509">
      <w:bodyDiv w:val="1"/>
      <w:marLeft w:val="0"/>
      <w:marRight w:val="0"/>
      <w:marTop w:val="0"/>
      <w:marBottom w:val="0"/>
      <w:divBdr>
        <w:top w:val="none" w:sz="0" w:space="0" w:color="auto"/>
        <w:left w:val="none" w:sz="0" w:space="0" w:color="auto"/>
        <w:bottom w:val="none" w:sz="0" w:space="0" w:color="auto"/>
        <w:right w:val="none" w:sz="0" w:space="0" w:color="auto"/>
      </w:divBdr>
    </w:div>
    <w:div w:id="1380010866">
      <w:bodyDiv w:val="1"/>
      <w:marLeft w:val="0"/>
      <w:marRight w:val="0"/>
      <w:marTop w:val="0"/>
      <w:marBottom w:val="0"/>
      <w:divBdr>
        <w:top w:val="none" w:sz="0" w:space="0" w:color="auto"/>
        <w:left w:val="none" w:sz="0" w:space="0" w:color="auto"/>
        <w:bottom w:val="none" w:sz="0" w:space="0" w:color="auto"/>
        <w:right w:val="none" w:sz="0" w:space="0" w:color="auto"/>
      </w:divBdr>
    </w:div>
    <w:div w:id="1393191772">
      <w:bodyDiv w:val="1"/>
      <w:marLeft w:val="0"/>
      <w:marRight w:val="0"/>
      <w:marTop w:val="0"/>
      <w:marBottom w:val="0"/>
      <w:divBdr>
        <w:top w:val="none" w:sz="0" w:space="0" w:color="auto"/>
        <w:left w:val="none" w:sz="0" w:space="0" w:color="auto"/>
        <w:bottom w:val="none" w:sz="0" w:space="0" w:color="auto"/>
        <w:right w:val="none" w:sz="0" w:space="0" w:color="auto"/>
      </w:divBdr>
      <w:divsChild>
        <w:div w:id="808400285">
          <w:marLeft w:val="0"/>
          <w:marRight w:val="0"/>
          <w:marTop w:val="0"/>
          <w:marBottom w:val="0"/>
          <w:divBdr>
            <w:top w:val="none" w:sz="0" w:space="0" w:color="auto"/>
            <w:left w:val="none" w:sz="0" w:space="0" w:color="auto"/>
            <w:bottom w:val="none" w:sz="0" w:space="0" w:color="auto"/>
            <w:right w:val="none" w:sz="0" w:space="0" w:color="auto"/>
          </w:divBdr>
        </w:div>
      </w:divsChild>
    </w:div>
    <w:div w:id="1504468489">
      <w:bodyDiv w:val="1"/>
      <w:marLeft w:val="0"/>
      <w:marRight w:val="0"/>
      <w:marTop w:val="0"/>
      <w:marBottom w:val="0"/>
      <w:divBdr>
        <w:top w:val="none" w:sz="0" w:space="0" w:color="auto"/>
        <w:left w:val="none" w:sz="0" w:space="0" w:color="auto"/>
        <w:bottom w:val="none" w:sz="0" w:space="0" w:color="auto"/>
        <w:right w:val="none" w:sz="0" w:space="0" w:color="auto"/>
      </w:divBdr>
    </w:div>
    <w:div w:id="1549952501">
      <w:bodyDiv w:val="1"/>
      <w:marLeft w:val="0"/>
      <w:marRight w:val="0"/>
      <w:marTop w:val="0"/>
      <w:marBottom w:val="0"/>
      <w:divBdr>
        <w:top w:val="none" w:sz="0" w:space="0" w:color="auto"/>
        <w:left w:val="none" w:sz="0" w:space="0" w:color="auto"/>
        <w:bottom w:val="none" w:sz="0" w:space="0" w:color="auto"/>
        <w:right w:val="none" w:sz="0" w:space="0" w:color="auto"/>
      </w:divBdr>
    </w:div>
    <w:div w:id="1575777495">
      <w:bodyDiv w:val="1"/>
      <w:marLeft w:val="0"/>
      <w:marRight w:val="0"/>
      <w:marTop w:val="0"/>
      <w:marBottom w:val="0"/>
      <w:divBdr>
        <w:top w:val="none" w:sz="0" w:space="0" w:color="auto"/>
        <w:left w:val="none" w:sz="0" w:space="0" w:color="auto"/>
        <w:bottom w:val="none" w:sz="0" w:space="0" w:color="auto"/>
        <w:right w:val="none" w:sz="0" w:space="0" w:color="auto"/>
      </w:divBdr>
    </w:div>
    <w:div w:id="1599096399">
      <w:bodyDiv w:val="1"/>
      <w:marLeft w:val="0"/>
      <w:marRight w:val="0"/>
      <w:marTop w:val="0"/>
      <w:marBottom w:val="0"/>
      <w:divBdr>
        <w:top w:val="none" w:sz="0" w:space="0" w:color="auto"/>
        <w:left w:val="none" w:sz="0" w:space="0" w:color="auto"/>
        <w:bottom w:val="none" w:sz="0" w:space="0" w:color="auto"/>
        <w:right w:val="none" w:sz="0" w:space="0" w:color="auto"/>
      </w:divBdr>
    </w:div>
    <w:div w:id="1611007894">
      <w:bodyDiv w:val="1"/>
      <w:marLeft w:val="0"/>
      <w:marRight w:val="0"/>
      <w:marTop w:val="0"/>
      <w:marBottom w:val="0"/>
      <w:divBdr>
        <w:top w:val="none" w:sz="0" w:space="0" w:color="auto"/>
        <w:left w:val="none" w:sz="0" w:space="0" w:color="auto"/>
        <w:bottom w:val="none" w:sz="0" w:space="0" w:color="auto"/>
        <w:right w:val="none" w:sz="0" w:space="0" w:color="auto"/>
      </w:divBdr>
    </w:div>
    <w:div w:id="1719159734">
      <w:bodyDiv w:val="1"/>
      <w:marLeft w:val="0"/>
      <w:marRight w:val="0"/>
      <w:marTop w:val="0"/>
      <w:marBottom w:val="0"/>
      <w:divBdr>
        <w:top w:val="none" w:sz="0" w:space="0" w:color="auto"/>
        <w:left w:val="none" w:sz="0" w:space="0" w:color="auto"/>
        <w:bottom w:val="none" w:sz="0" w:space="0" w:color="auto"/>
        <w:right w:val="none" w:sz="0" w:space="0" w:color="auto"/>
      </w:divBdr>
      <w:divsChild>
        <w:div w:id="197164470">
          <w:marLeft w:val="0"/>
          <w:marRight w:val="0"/>
          <w:marTop w:val="0"/>
          <w:marBottom w:val="0"/>
          <w:divBdr>
            <w:top w:val="none" w:sz="0" w:space="0" w:color="auto"/>
            <w:left w:val="none" w:sz="0" w:space="0" w:color="auto"/>
            <w:bottom w:val="none" w:sz="0" w:space="0" w:color="auto"/>
            <w:right w:val="none" w:sz="0" w:space="0" w:color="auto"/>
          </w:divBdr>
          <w:divsChild>
            <w:div w:id="160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115">
      <w:bodyDiv w:val="1"/>
      <w:marLeft w:val="0"/>
      <w:marRight w:val="0"/>
      <w:marTop w:val="0"/>
      <w:marBottom w:val="0"/>
      <w:divBdr>
        <w:top w:val="none" w:sz="0" w:space="0" w:color="auto"/>
        <w:left w:val="none" w:sz="0" w:space="0" w:color="auto"/>
        <w:bottom w:val="none" w:sz="0" w:space="0" w:color="auto"/>
        <w:right w:val="none" w:sz="0" w:space="0" w:color="auto"/>
      </w:divBdr>
      <w:divsChild>
        <w:div w:id="794253794">
          <w:marLeft w:val="0"/>
          <w:marRight w:val="0"/>
          <w:marTop w:val="0"/>
          <w:marBottom w:val="0"/>
          <w:divBdr>
            <w:top w:val="none" w:sz="0" w:space="0" w:color="auto"/>
            <w:left w:val="none" w:sz="0" w:space="0" w:color="auto"/>
            <w:bottom w:val="none" w:sz="0" w:space="0" w:color="auto"/>
            <w:right w:val="none" w:sz="0" w:space="0" w:color="auto"/>
          </w:divBdr>
        </w:div>
        <w:div w:id="1325544407">
          <w:marLeft w:val="0"/>
          <w:marRight w:val="0"/>
          <w:marTop w:val="0"/>
          <w:marBottom w:val="0"/>
          <w:divBdr>
            <w:top w:val="none" w:sz="0" w:space="0" w:color="auto"/>
            <w:left w:val="none" w:sz="0" w:space="0" w:color="auto"/>
            <w:bottom w:val="none" w:sz="0" w:space="0" w:color="auto"/>
            <w:right w:val="none" w:sz="0" w:space="0" w:color="auto"/>
          </w:divBdr>
        </w:div>
      </w:divsChild>
    </w:div>
    <w:div w:id="1751344001">
      <w:bodyDiv w:val="1"/>
      <w:marLeft w:val="0"/>
      <w:marRight w:val="0"/>
      <w:marTop w:val="0"/>
      <w:marBottom w:val="0"/>
      <w:divBdr>
        <w:top w:val="none" w:sz="0" w:space="0" w:color="auto"/>
        <w:left w:val="none" w:sz="0" w:space="0" w:color="auto"/>
        <w:bottom w:val="none" w:sz="0" w:space="0" w:color="auto"/>
        <w:right w:val="none" w:sz="0" w:space="0" w:color="auto"/>
      </w:divBdr>
      <w:divsChild>
        <w:div w:id="1312056641">
          <w:marLeft w:val="0"/>
          <w:marRight w:val="0"/>
          <w:marTop w:val="0"/>
          <w:marBottom w:val="0"/>
          <w:divBdr>
            <w:top w:val="none" w:sz="0" w:space="0" w:color="auto"/>
            <w:left w:val="none" w:sz="0" w:space="0" w:color="auto"/>
            <w:bottom w:val="none" w:sz="0" w:space="0" w:color="auto"/>
            <w:right w:val="none" w:sz="0" w:space="0" w:color="auto"/>
          </w:divBdr>
          <w:divsChild>
            <w:div w:id="616331001">
              <w:marLeft w:val="0"/>
              <w:marRight w:val="0"/>
              <w:marTop w:val="120"/>
              <w:marBottom w:val="0"/>
              <w:divBdr>
                <w:top w:val="none" w:sz="0" w:space="0" w:color="auto"/>
                <w:left w:val="none" w:sz="0" w:space="0" w:color="auto"/>
                <w:bottom w:val="none" w:sz="0" w:space="0" w:color="auto"/>
                <w:right w:val="none" w:sz="0" w:space="0" w:color="auto"/>
              </w:divBdr>
            </w:div>
            <w:div w:id="1550385774">
              <w:marLeft w:val="0"/>
              <w:marRight w:val="0"/>
              <w:marTop w:val="0"/>
              <w:marBottom w:val="0"/>
              <w:divBdr>
                <w:top w:val="none" w:sz="0" w:space="0" w:color="auto"/>
                <w:left w:val="none" w:sz="0" w:space="0" w:color="auto"/>
                <w:bottom w:val="none" w:sz="0" w:space="0" w:color="auto"/>
                <w:right w:val="none" w:sz="0" w:space="0" w:color="auto"/>
              </w:divBdr>
            </w:div>
          </w:divsChild>
        </w:div>
        <w:div w:id="1152217495">
          <w:marLeft w:val="0"/>
          <w:marRight w:val="0"/>
          <w:marTop w:val="0"/>
          <w:marBottom w:val="0"/>
          <w:divBdr>
            <w:top w:val="none" w:sz="0" w:space="0" w:color="auto"/>
            <w:left w:val="none" w:sz="0" w:space="0" w:color="auto"/>
            <w:bottom w:val="none" w:sz="0" w:space="0" w:color="auto"/>
            <w:right w:val="none" w:sz="0" w:space="0" w:color="auto"/>
          </w:divBdr>
          <w:divsChild>
            <w:div w:id="239220322">
              <w:marLeft w:val="0"/>
              <w:marRight w:val="0"/>
              <w:marTop w:val="120"/>
              <w:marBottom w:val="0"/>
              <w:divBdr>
                <w:top w:val="none" w:sz="0" w:space="0" w:color="auto"/>
                <w:left w:val="none" w:sz="0" w:space="0" w:color="auto"/>
                <w:bottom w:val="none" w:sz="0" w:space="0" w:color="auto"/>
                <w:right w:val="none" w:sz="0" w:space="0" w:color="auto"/>
              </w:divBdr>
            </w:div>
            <w:div w:id="1814715901">
              <w:marLeft w:val="0"/>
              <w:marRight w:val="0"/>
              <w:marTop w:val="0"/>
              <w:marBottom w:val="0"/>
              <w:divBdr>
                <w:top w:val="none" w:sz="0" w:space="0" w:color="auto"/>
                <w:left w:val="none" w:sz="0" w:space="0" w:color="auto"/>
                <w:bottom w:val="none" w:sz="0" w:space="0" w:color="auto"/>
                <w:right w:val="none" w:sz="0" w:space="0" w:color="auto"/>
              </w:divBdr>
            </w:div>
          </w:divsChild>
        </w:div>
        <w:div w:id="1299267251">
          <w:marLeft w:val="0"/>
          <w:marRight w:val="0"/>
          <w:marTop w:val="0"/>
          <w:marBottom w:val="0"/>
          <w:divBdr>
            <w:top w:val="none" w:sz="0" w:space="0" w:color="auto"/>
            <w:left w:val="none" w:sz="0" w:space="0" w:color="auto"/>
            <w:bottom w:val="none" w:sz="0" w:space="0" w:color="auto"/>
            <w:right w:val="none" w:sz="0" w:space="0" w:color="auto"/>
          </w:divBdr>
          <w:divsChild>
            <w:div w:id="1151168019">
              <w:marLeft w:val="0"/>
              <w:marRight w:val="0"/>
              <w:marTop w:val="120"/>
              <w:marBottom w:val="0"/>
              <w:divBdr>
                <w:top w:val="none" w:sz="0" w:space="0" w:color="auto"/>
                <w:left w:val="none" w:sz="0" w:space="0" w:color="auto"/>
                <w:bottom w:val="none" w:sz="0" w:space="0" w:color="auto"/>
                <w:right w:val="none" w:sz="0" w:space="0" w:color="auto"/>
              </w:divBdr>
            </w:div>
            <w:div w:id="1875846058">
              <w:marLeft w:val="0"/>
              <w:marRight w:val="0"/>
              <w:marTop w:val="0"/>
              <w:marBottom w:val="0"/>
              <w:divBdr>
                <w:top w:val="none" w:sz="0" w:space="0" w:color="auto"/>
                <w:left w:val="none" w:sz="0" w:space="0" w:color="auto"/>
                <w:bottom w:val="none" w:sz="0" w:space="0" w:color="auto"/>
                <w:right w:val="none" w:sz="0" w:space="0" w:color="auto"/>
              </w:divBdr>
            </w:div>
          </w:divsChild>
        </w:div>
        <w:div w:id="955676773">
          <w:marLeft w:val="0"/>
          <w:marRight w:val="0"/>
          <w:marTop w:val="0"/>
          <w:marBottom w:val="0"/>
          <w:divBdr>
            <w:top w:val="none" w:sz="0" w:space="0" w:color="auto"/>
            <w:left w:val="none" w:sz="0" w:space="0" w:color="auto"/>
            <w:bottom w:val="none" w:sz="0" w:space="0" w:color="auto"/>
            <w:right w:val="none" w:sz="0" w:space="0" w:color="auto"/>
          </w:divBdr>
          <w:divsChild>
            <w:div w:id="1925217323">
              <w:marLeft w:val="0"/>
              <w:marRight w:val="0"/>
              <w:marTop w:val="120"/>
              <w:marBottom w:val="0"/>
              <w:divBdr>
                <w:top w:val="none" w:sz="0" w:space="0" w:color="auto"/>
                <w:left w:val="none" w:sz="0" w:space="0" w:color="auto"/>
                <w:bottom w:val="none" w:sz="0" w:space="0" w:color="auto"/>
                <w:right w:val="none" w:sz="0" w:space="0" w:color="auto"/>
              </w:divBdr>
            </w:div>
            <w:div w:id="722944193">
              <w:marLeft w:val="0"/>
              <w:marRight w:val="0"/>
              <w:marTop w:val="0"/>
              <w:marBottom w:val="0"/>
              <w:divBdr>
                <w:top w:val="none" w:sz="0" w:space="0" w:color="auto"/>
                <w:left w:val="none" w:sz="0" w:space="0" w:color="auto"/>
                <w:bottom w:val="none" w:sz="0" w:space="0" w:color="auto"/>
                <w:right w:val="none" w:sz="0" w:space="0" w:color="auto"/>
              </w:divBdr>
            </w:div>
          </w:divsChild>
        </w:div>
        <w:div w:id="1973830635">
          <w:marLeft w:val="0"/>
          <w:marRight w:val="0"/>
          <w:marTop w:val="0"/>
          <w:marBottom w:val="0"/>
          <w:divBdr>
            <w:top w:val="none" w:sz="0" w:space="0" w:color="auto"/>
            <w:left w:val="none" w:sz="0" w:space="0" w:color="auto"/>
            <w:bottom w:val="none" w:sz="0" w:space="0" w:color="auto"/>
            <w:right w:val="none" w:sz="0" w:space="0" w:color="auto"/>
          </w:divBdr>
          <w:divsChild>
            <w:div w:id="1862081827">
              <w:marLeft w:val="0"/>
              <w:marRight w:val="0"/>
              <w:marTop w:val="120"/>
              <w:marBottom w:val="0"/>
              <w:divBdr>
                <w:top w:val="none" w:sz="0" w:space="0" w:color="auto"/>
                <w:left w:val="none" w:sz="0" w:space="0" w:color="auto"/>
                <w:bottom w:val="none" w:sz="0" w:space="0" w:color="auto"/>
                <w:right w:val="none" w:sz="0" w:space="0" w:color="auto"/>
              </w:divBdr>
            </w:div>
            <w:div w:id="1555655794">
              <w:marLeft w:val="0"/>
              <w:marRight w:val="0"/>
              <w:marTop w:val="0"/>
              <w:marBottom w:val="0"/>
              <w:divBdr>
                <w:top w:val="none" w:sz="0" w:space="0" w:color="auto"/>
                <w:left w:val="none" w:sz="0" w:space="0" w:color="auto"/>
                <w:bottom w:val="none" w:sz="0" w:space="0" w:color="auto"/>
                <w:right w:val="none" w:sz="0" w:space="0" w:color="auto"/>
              </w:divBdr>
            </w:div>
          </w:divsChild>
        </w:div>
        <w:div w:id="1490751165">
          <w:marLeft w:val="0"/>
          <w:marRight w:val="0"/>
          <w:marTop w:val="0"/>
          <w:marBottom w:val="0"/>
          <w:divBdr>
            <w:top w:val="none" w:sz="0" w:space="0" w:color="auto"/>
            <w:left w:val="none" w:sz="0" w:space="0" w:color="auto"/>
            <w:bottom w:val="none" w:sz="0" w:space="0" w:color="auto"/>
            <w:right w:val="none" w:sz="0" w:space="0" w:color="auto"/>
          </w:divBdr>
          <w:divsChild>
            <w:div w:id="584606673">
              <w:marLeft w:val="0"/>
              <w:marRight w:val="0"/>
              <w:marTop w:val="120"/>
              <w:marBottom w:val="0"/>
              <w:divBdr>
                <w:top w:val="none" w:sz="0" w:space="0" w:color="auto"/>
                <w:left w:val="none" w:sz="0" w:space="0" w:color="auto"/>
                <w:bottom w:val="none" w:sz="0" w:space="0" w:color="auto"/>
                <w:right w:val="none" w:sz="0" w:space="0" w:color="auto"/>
              </w:divBdr>
            </w:div>
            <w:div w:id="21314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853">
      <w:bodyDiv w:val="1"/>
      <w:marLeft w:val="0"/>
      <w:marRight w:val="0"/>
      <w:marTop w:val="0"/>
      <w:marBottom w:val="0"/>
      <w:divBdr>
        <w:top w:val="none" w:sz="0" w:space="0" w:color="auto"/>
        <w:left w:val="none" w:sz="0" w:space="0" w:color="auto"/>
        <w:bottom w:val="none" w:sz="0" w:space="0" w:color="auto"/>
        <w:right w:val="none" w:sz="0" w:space="0" w:color="auto"/>
      </w:divBdr>
    </w:div>
    <w:div w:id="1827281227">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 w:id="1958488630">
      <w:bodyDiv w:val="1"/>
      <w:marLeft w:val="0"/>
      <w:marRight w:val="0"/>
      <w:marTop w:val="0"/>
      <w:marBottom w:val="0"/>
      <w:divBdr>
        <w:top w:val="none" w:sz="0" w:space="0" w:color="auto"/>
        <w:left w:val="none" w:sz="0" w:space="0" w:color="auto"/>
        <w:bottom w:val="none" w:sz="0" w:space="0" w:color="auto"/>
        <w:right w:val="none" w:sz="0" w:space="0" w:color="auto"/>
      </w:divBdr>
    </w:div>
    <w:div w:id="1983999061">
      <w:bodyDiv w:val="1"/>
      <w:marLeft w:val="0"/>
      <w:marRight w:val="0"/>
      <w:marTop w:val="0"/>
      <w:marBottom w:val="0"/>
      <w:divBdr>
        <w:top w:val="none" w:sz="0" w:space="0" w:color="auto"/>
        <w:left w:val="none" w:sz="0" w:space="0" w:color="auto"/>
        <w:bottom w:val="none" w:sz="0" w:space="0" w:color="auto"/>
        <w:right w:val="none" w:sz="0" w:space="0" w:color="auto"/>
      </w:divBdr>
    </w:div>
    <w:div w:id="2006787814">
      <w:bodyDiv w:val="1"/>
      <w:marLeft w:val="0"/>
      <w:marRight w:val="0"/>
      <w:marTop w:val="0"/>
      <w:marBottom w:val="0"/>
      <w:divBdr>
        <w:top w:val="none" w:sz="0" w:space="0" w:color="auto"/>
        <w:left w:val="none" w:sz="0" w:space="0" w:color="auto"/>
        <w:bottom w:val="none" w:sz="0" w:space="0" w:color="auto"/>
        <w:right w:val="none" w:sz="0" w:space="0" w:color="auto"/>
      </w:divBdr>
      <w:divsChild>
        <w:div w:id="963192657">
          <w:marLeft w:val="0"/>
          <w:marRight w:val="0"/>
          <w:marTop w:val="120"/>
          <w:marBottom w:val="0"/>
          <w:divBdr>
            <w:top w:val="none" w:sz="0" w:space="0" w:color="auto"/>
            <w:left w:val="none" w:sz="0" w:space="0" w:color="auto"/>
            <w:bottom w:val="none" w:sz="0" w:space="0" w:color="auto"/>
            <w:right w:val="none" w:sz="0" w:space="0" w:color="auto"/>
          </w:divBdr>
        </w:div>
        <w:div w:id="1923491862">
          <w:marLeft w:val="0"/>
          <w:marRight w:val="0"/>
          <w:marTop w:val="0"/>
          <w:marBottom w:val="0"/>
          <w:divBdr>
            <w:top w:val="none" w:sz="0" w:space="0" w:color="auto"/>
            <w:left w:val="none" w:sz="0" w:space="0" w:color="auto"/>
            <w:bottom w:val="none" w:sz="0" w:space="0" w:color="auto"/>
            <w:right w:val="none" w:sz="0" w:space="0" w:color="auto"/>
          </w:divBdr>
        </w:div>
      </w:divsChild>
    </w:div>
    <w:div w:id="2067878091">
      <w:bodyDiv w:val="1"/>
      <w:marLeft w:val="0"/>
      <w:marRight w:val="0"/>
      <w:marTop w:val="0"/>
      <w:marBottom w:val="0"/>
      <w:divBdr>
        <w:top w:val="none" w:sz="0" w:space="0" w:color="auto"/>
        <w:left w:val="none" w:sz="0" w:space="0" w:color="auto"/>
        <w:bottom w:val="none" w:sz="0" w:space="0" w:color="auto"/>
        <w:right w:val="none" w:sz="0" w:space="0" w:color="auto"/>
      </w:divBdr>
    </w:div>
    <w:div w:id="2069644947">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
    <w:div w:id="2089226084">
      <w:bodyDiv w:val="1"/>
      <w:marLeft w:val="0"/>
      <w:marRight w:val="0"/>
      <w:marTop w:val="0"/>
      <w:marBottom w:val="0"/>
      <w:divBdr>
        <w:top w:val="none" w:sz="0" w:space="0" w:color="auto"/>
        <w:left w:val="none" w:sz="0" w:space="0" w:color="auto"/>
        <w:bottom w:val="none" w:sz="0" w:space="0" w:color="auto"/>
        <w:right w:val="none" w:sz="0" w:space="0" w:color="auto"/>
      </w:divBdr>
      <w:divsChild>
        <w:div w:id="1856187882">
          <w:blockQuote w:val="1"/>
          <w:marLeft w:val="1050"/>
          <w:marRight w:val="0"/>
          <w:marTop w:val="192"/>
          <w:marBottom w:val="0"/>
          <w:divBdr>
            <w:top w:val="none" w:sz="0" w:space="0" w:color="auto"/>
            <w:left w:val="none" w:sz="0" w:space="0" w:color="auto"/>
            <w:bottom w:val="none" w:sz="0" w:space="0" w:color="auto"/>
            <w:right w:val="none" w:sz="0" w:space="0" w:color="auto"/>
          </w:divBdr>
        </w:div>
      </w:divsChild>
    </w:div>
    <w:div w:id="2089304101">
      <w:bodyDiv w:val="1"/>
      <w:marLeft w:val="0"/>
      <w:marRight w:val="0"/>
      <w:marTop w:val="0"/>
      <w:marBottom w:val="0"/>
      <w:divBdr>
        <w:top w:val="none" w:sz="0" w:space="0" w:color="auto"/>
        <w:left w:val="none" w:sz="0" w:space="0" w:color="auto"/>
        <w:bottom w:val="none" w:sz="0" w:space="0" w:color="auto"/>
        <w:right w:val="none" w:sz="0" w:space="0" w:color="auto"/>
      </w:divBdr>
    </w:div>
    <w:div w:id="2147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budgweb/IT/leg/internal/Documents/2016-5-legislative-financial-statement-ann-it.docx"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934AA0B36B1384886ADB3E40549A2B0" ma:contentTypeVersion="0" ma:contentTypeDescription="Create a new document in this library." ma:contentTypeScope="" ma:versionID="2ccea2f6a9419b2cc6372d603c4d829b">
  <xsd:schema xmlns:xsd="http://www.w3.org/2001/XMLSchema" xmlns:xs="http://www.w3.org/2001/XMLSchema" xmlns:p="http://schemas.microsoft.com/office/2006/metadata/properties" xmlns:ns2="http://schemas.microsoft.com/sharepoint/v3/fields" xmlns:ns3="62e97ea9-7ea3-481f-81a3-2d45a5a9b393" targetNamespace="http://schemas.microsoft.com/office/2006/metadata/properties" ma:root="true" ma:fieldsID="e99a88584d72bb20f25083a2210d0d03" ns2:_="" ns3:_="">
    <xsd:import namespace="http://schemas.microsoft.com/sharepoint/v3/fields"/>
    <xsd:import namespace="62e97ea9-7ea3-481f-81a3-2d45a5a9b39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2e97ea9-7ea3-481f-81a3-2d45a5a9b39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2e97ea9-7ea3-481f-81a3-2d45a5a9b393">Not Started</EC_Collab_Status>
    <EC_Collab_DocumentLanguage xmlns="62e97ea9-7ea3-481f-81a3-2d45a5a9b393">EN</EC_Collab_DocumentLanguage>
    <EC_Collab_Reference xmlns="62e97ea9-7ea3-481f-81a3-2d45a5a9b393"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A58C45-29C4-4014-94DF-4206643B6015}">
  <ds:schemaRefs>
    <ds:schemaRef ds:uri="http://schemas.microsoft.com/sharepoint/v3/contenttype/forms"/>
  </ds:schemaRefs>
</ds:datastoreItem>
</file>

<file path=customXml/itemProps2.xml><?xml version="1.0" encoding="utf-8"?>
<ds:datastoreItem xmlns:ds="http://schemas.openxmlformats.org/officeDocument/2006/customXml" ds:itemID="{DCE3FE85-EE68-4FCA-AD13-79181A2C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2e97ea9-7ea3-481f-81a3-2d45a5a9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16F78-C311-4872-8C4A-C603A696F179}">
  <ds:schemaRefs>
    <ds:schemaRef ds:uri="http://schemas.microsoft.com/sharepoint/v3/field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62e97ea9-7ea3-481f-81a3-2d45a5a9b393"/>
    <ds:schemaRef ds:uri="http://www.w3.org/XML/1998/namespace"/>
    <ds:schemaRef ds:uri="http://purl.org/dc/dcmitype/"/>
  </ds:schemaRefs>
</ds:datastoreItem>
</file>

<file path=customXml/itemProps4.xml><?xml version="1.0" encoding="utf-8"?>
<ds:datastoreItem xmlns:ds="http://schemas.openxmlformats.org/officeDocument/2006/customXml" ds:itemID="{14F80F1B-C6D6-4669-BCE1-8A1E40F9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21</TotalTime>
  <Pages>31</Pages>
  <Words>8720</Words>
  <Characters>51362</Characters>
  <Application>Microsoft Office Word</Application>
  <DocSecurity>0</DocSecurity>
  <Lines>1712</Lines>
  <Paragraphs>606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43</cp:revision>
  <dcterms:created xsi:type="dcterms:W3CDTF">2022-06-28T18:06:00Z</dcterms:created>
  <dcterms:modified xsi:type="dcterms:W3CDTF">2022-07-01T08:49:00Z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8.0, Build 20220128</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0x010100258AA79CEB83498886A3A08681123250009934AA0B36B1384886ADB3E40549A2B0</vt:lpwstr>
  </property>
  <property fmtid="{D5CDD505-2E9C-101B-9397-08002B2CF9AE}" pid="11" name="MSIP_Label_6bd9ddd1-4d20-43f6-abfa-fc3c07406f94_Enabled">
    <vt:lpwstr>true</vt:lpwstr>
  </property>
  <property fmtid="{D5CDD505-2E9C-101B-9397-08002B2CF9AE}" pid="12" name="MSIP_Label_6bd9ddd1-4d20-43f6-abfa-fc3c07406f94_SetDate">
    <vt:lpwstr>2022-06-09T13:59:46Z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9f857206-ec98-44d0-a630-2030ad4220b9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