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F78E" w14:textId="32BB424E" w:rsidR="00315818" w:rsidRPr="00AC4C98" w:rsidRDefault="00B17A4E" w:rsidP="00B17A4E">
      <w:pPr>
        <w:pStyle w:val="Pagedecouverture"/>
        <w:rPr>
          <w:noProof/>
        </w:rPr>
      </w:pPr>
      <w:r>
        <w:rPr>
          <w:noProof/>
        </w:rPr>
        <w:pict w14:anchorId="43BF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01A83AE-03E9-4D09-8FE9-F65C4C705C39" style="width:455.45pt;height:465.5pt">
            <v:imagedata r:id="rId8" o:title=""/>
          </v:shape>
        </w:pict>
      </w:r>
    </w:p>
    <w:p w14:paraId="7E09AB7E" w14:textId="77777777" w:rsidR="00315818" w:rsidRPr="00AC4C98" w:rsidRDefault="00315818" w:rsidP="00D627E2">
      <w:pPr>
        <w:rPr>
          <w:noProof/>
        </w:rPr>
        <w:sectPr w:rsidR="00315818" w:rsidRPr="00AC4C98" w:rsidSect="00B17A4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40507B8" w14:textId="77777777" w:rsidR="00315818" w:rsidRPr="00AC4C98" w:rsidRDefault="00984988" w:rsidP="00D627E2">
      <w:pPr>
        <w:pStyle w:val="Exposdesmotifstitre"/>
        <w:rPr>
          <w:noProof/>
        </w:rPr>
      </w:pPr>
      <w:r w:rsidRPr="00AC4C98">
        <w:rPr>
          <w:noProof/>
        </w:rPr>
        <w:lastRenderedPageBreak/>
        <w:t>AIŠKINAMASIS MEMORANDUMAS</w:t>
      </w:r>
    </w:p>
    <w:p w14:paraId="6005FCED" w14:textId="77777777" w:rsidR="00315818" w:rsidRPr="00AC4C98" w:rsidRDefault="00984988" w:rsidP="00D627E2">
      <w:pPr>
        <w:pStyle w:val="ManualHeading1"/>
        <w:rPr>
          <w:noProof/>
        </w:rPr>
      </w:pPr>
      <w:r w:rsidRPr="00AC4C98">
        <w:rPr>
          <w:noProof/>
        </w:rPr>
        <w:t>1.</w:t>
      </w:r>
      <w:r w:rsidRPr="00AC4C98">
        <w:rPr>
          <w:noProof/>
        </w:rPr>
        <w:tab/>
        <w:t>PASIŪLYMO APLINKYBĖS</w:t>
      </w:r>
    </w:p>
    <w:p w14:paraId="60C4FD31" w14:textId="77777777" w:rsidR="00315818" w:rsidRPr="00AC4C98" w:rsidRDefault="00984988" w:rsidP="00D627E2">
      <w:pPr>
        <w:pStyle w:val="ManualHeading2"/>
        <w:rPr>
          <w:rFonts w:eastAsia="Arial Unicode MS"/>
          <w:noProof/>
        </w:rPr>
      </w:pPr>
      <w:r w:rsidRPr="00AC4C98">
        <w:rPr>
          <w:noProof/>
          <w:color w:val="000000"/>
          <w:u w:color="000000"/>
          <w:bdr w:val="nil"/>
        </w:rPr>
        <w:t>•</w:t>
      </w:r>
      <w:r w:rsidRPr="00AC4C98">
        <w:rPr>
          <w:noProof/>
          <w:color w:val="000000"/>
          <w:u w:color="000000"/>
          <w:bdr w:val="nil"/>
        </w:rPr>
        <w:tab/>
      </w:r>
      <w:r w:rsidRPr="00AC4C98">
        <w:rPr>
          <w:noProof/>
        </w:rPr>
        <w:t>Pasiūlymo pagrindimas ir tikslai</w:t>
      </w:r>
    </w:p>
    <w:p w14:paraId="00322CA0" w14:textId="77777777" w:rsidR="00315818" w:rsidRPr="00AC4C98" w:rsidRDefault="004857F5" w:rsidP="00D627E2">
      <w:pPr>
        <w:rPr>
          <w:noProof/>
        </w:rPr>
      </w:pPr>
      <w:r w:rsidRPr="00AC4C98">
        <w:rPr>
          <w:noProof/>
        </w:rPr>
        <w:t>Tarybos reglamentu (ES) 2021/1173</w:t>
      </w:r>
      <w:r w:rsidR="00984988" w:rsidRPr="00AC4C98">
        <w:rPr>
          <w:rStyle w:val="FootnoteReference"/>
          <w:noProof/>
        </w:rPr>
        <w:footnoteReference w:id="2"/>
      </w:r>
      <w:r w:rsidRPr="00AC4C98">
        <w:rPr>
          <w:noProof/>
        </w:rPr>
        <w:t>, kuriuo panaikinamas Tarybos reglamentas (ES) 2018/1488</w:t>
      </w:r>
      <w:r w:rsidR="00CC10FF" w:rsidRPr="00AC4C98">
        <w:rPr>
          <w:rStyle w:val="FootnoteReference"/>
          <w:noProof/>
        </w:rPr>
        <w:footnoteReference w:id="3"/>
      </w:r>
      <w:r w:rsidRPr="00AC4C98">
        <w:rPr>
          <w:noProof/>
        </w:rPr>
        <w:t>, įsteigiama Europos našiosios kompiuterijos bendroji įmonė ir nustatoma jos misija bei tikslai. Bendrosios įmonės misija yra Sąjungoje sukurti, įdiegti, plėtoti ir išlaikyti pirmaujančią pasaulyje sietinę, saugią ir hipersusietą superkompiuterijos, kvantinės kompiuterijos, paslaugų ir duomenų infrastruktūros ekosistemą; padėti kurti ir diegti į paklausą ir naudotojus orientuotas novatoriškas ir konkurencingas superkompiuterių sistemas, grindžiamas tiekimo grandine, užtikrinančia galimybę gauti sudedamųjų dalių, technologijų ir žinių ir sumažinančia tiekimo sutrikimų riziką, ir sudaryti sąlygas kurti įvairias prie šių sistemų optimaliai pritaikytas taikmenas; plėsti šios superkompiuterių infrastruktūros naudotojų ratą, kad jis apimtų daugybę viešųjų ir privačiųjų naudotojų, ir remti dvejopą skaitmeninę ir žaliąją pertvarką bei Europos mokslui ir pramonei reikalingų pagrindinių įgūdžių ugdymą.</w:t>
      </w:r>
    </w:p>
    <w:p w14:paraId="1FE6B837" w14:textId="0CBDB374" w:rsidR="001061A9" w:rsidRPr="00AC4C98" w:rsidRDefault="006A4CF0" w:rsidP="00D627E2">
      <w:pPr>
        <w:rPr>
          <w:noProof/>
          <w:color w:val="000000" w:themeColor="text1"/>
          <w:szCs w:val="24"/>
        </w:rPr>
      </w:pPr>
      <w:r w:rsidRPr="00AC4C98">
        <w:rPr>
          <w:noProof/>
        </w:rPr>
        <w:t>2023 m. pranešime apie Sąjungos padėtį</w:t>
      </w:r>
      <w:r w:rsidR="00BF2DF1" w:rsidRPr="00AC4C98">
        <w:rPr>
          <w:rStyle w:val="FootnoteReference"/>
          <w:noProof/>
        </w:rPr>
        <w:footnoteReference w:id="4"/>
      </w:r>
      <w:r w:rsidRPr="00AC4C98">
        <w:rPr>
          <w:noProof/>
        </w:rPr>
        <w:t xml:space="preserve"> Komisijos Pirmininkė Ursula von der Leyen paskelbė apie naują iniciatyvą, kurios tikslas – suteikti novatoriškiems patikimą dirbtinį intelektą (DI) kuriantiems Europos startuoliams galimybę naudotis Sąjungos superkompiuterijos pajėgumais savo modeliams mokyti. </w:t>
      </w:r>
      <w:r w:rsidRPr="00AC4C98">
        <w:rPr>
          <w:noProof/>
          <w:color w:val="000000" w:themeColor="text1"/>
        </w:rPr>
        <w:t>Tokiems pažangiausiems baziniams modeliams, leidžiantiems išnaudoti visą DI potencialą, išmokyti ir prie konkrečių poreikių pritaikyti reikia didžiulės kompiuterių galios, kurią turi tik superkompiuteriai.</w:t>
      </w:r>
    </w:p>
    <w:p w14:paraId="7135D166" w14:textId="6ABDADDB" w:rsidR="00243BD3" w:rsidRPr="00AC4C98" w:rsidRDefault="00414AD0" w:rsidP="00D627E2">
      <w:pPr>
        <w:rPr>
          <w:noProof/>
        </w:rPr>
      </w:pPr>
      <w:r w:rsidRPr="00AC4C98">
        <w:rPr>
          <w:noProof/>
        </w:rPr>
        <w:t xml:space="preserve">Kadangi didžiausiais Sąjungoje pasaulinio lygio superkompiuterijos pajėgumais pasižymi Europos našiosios kompiuterijos bendrosios įmonės „EuroHPC“ (toliau – Bendroji įmonė) infrastruktūra, būtent ja turės būti leista naudotis siekiant įgyvendinti šią iniciatyvą. Todėl siūloma nustatyti papildomą Bendrosios įmonės tikslą, susijusį su superkompiuterių indėliu į šią naują Sąjungos DI iniciatyvą. </w:t>
      </w:r>
    </w:p>
    <w:p w14:paraId="38AF1FDB" w14:textId="5A7EB1E6" w:rsidR="00AE1FD4" w:rsidRPr="00AC4C98" w:rsidRDefault="005061BA" w:rsidP="00D627E2">
      <w:pPr>
        <w:rPr>
          <w:noProof/>
        </w:rPr>
      </w:pPr>
      <w:r w:rsidRPr="00AC4C98">
        <w:rPr>
          <w:noProof/>
        </w:rPr>
        <w:t xml:space="preserve">Nustačius šį naują tikslą, Bendroji įmonė galės valdyti DI fabrikus, padedančius toliau Europoje plėtoti itin konkurencingą ir novatorišką DI startuolių ir mokslinių tyrimų ekosistemą, be kita ko, kurti ir diegti europinius DI sprendimus. DI fabrikų paskirtis – įrengti ir teikti eksploatuoti DI skirtus superkompiuterius, šalia kurių bus įrengti dideli duomenų centrai arba kurie bus itin didelės spartos tinklais sujungti su duomenų centrais, gerinti šių superkompiuterių našumą reguliariai didinant jų darbo su DI pajėgumus ir teikti specialias į DI orientuotas superkompiuterijos paslaugas, padedančias DI startuolių, mokslo ir inovacijų ekosistemai dideliu mastu mokyti ir kurti patikimus ir etiškus bendrosios paskirties DI modelius bei sistemas, o DI naudotojų bendruomenėms – kurti, validuoti ir teikti naudoti naujas, visų pirma sveikatos ir priežiūros, klimato kaitos, robotikos ir susietojo bei automatizuoto vairavimo sričių, DI taikmenas. Be to, siekiant teikti atitinkamiems suinteresuotiesiems DI srities subjektams </w:t>
      </w:r>
      <w:r w:rsidRPr="00AC4C98">
        <w:rPr>
          <w:noProof/>
          <w:color w:val="000000" w:themeColor="text1"/>
        </w:rPr>
        <w:t>aukšto lygio švietimo, mokymo, įgūdžių ugdymo ir perkvalifikavimo paslaugas</w:t>
      </w:r>
      <w:r w:rsidRPr="00AC4C98">
        <w:rPr>
          <w:noProof/>
        </w:rPr>
        <w:t xml:space="preserve">, bus telkiami ir ugdomi specialistai. DI fabrikų iniciatyva bus įgyvendinama užtikrinant ES lygmens sinergiją ir bendradarbiaujant bei jungiant jėgas su </w:t>
      </w:r>
      <w:r w:rsidRPr="00AC4C98">
        <w:rPr>
          <w:noProof/>
        </w:rPr>
        <w:lastRenderedPageBreak/>
        <w:t>subjektais, įgyvendinančiais kitas atitinkamas Sąjungos DI iniciatyvas, tokias kaip Reikminė dirbtinio intelekto platforma, DI bandymų ir eksperimentavimo priemonės, „EuroHPC“ kompetencijos centrai, „EuroHPC“ pavyzdiniai centrai ir visos kitos naujos Europos DI iniciatyvos. Šie pakeitimai suteiks Bendrajai įmonei dabartiniame reglamente konkrečiai nenumatytą galimybę siūlyti tokią kompiuterių galią ir paslaugas, kokių reikia norint sudaryti palankias sąlygas Sąjungoje dideliu mastu mokyti, kurti ir diegti DI.</w:t>
      </w:r>
    </w:p>
    <w:p w14:paraId="3165DA51" w14:textId="77777777" w:rsidR="00315818" w:rsidRPr="00AC4C98" w:rsidRDefault="00984988" w:rsidP="00D627E2">
      <w:pPr>
        <w:pStyle w:val="ManualHeading2"/>
        <w:rPr>
          <w:rFonts w:eastAsia="Arial Unicode MS"/>
          <w:noProof/>
          <w:color w:val="000000"/>
          <w:u w:color="000000"/>
          <w:bdr w:val="nil"/>
        </w:rPr>
      </w:pPr>
      <w:r w:rsidRPr="00AC4C98">
        <w:rPr>
          <w:noProof/>
          <w:color w:val="000000"/>
          <w:u w:color="000000"/>
          <w:bdr w:val="nil"/>
        </w:rPr>
        <w:t>•</w:t>
      </w:r>
      <w:r w:rsidRPr="00AC4C98">
        <w:rPr>
          <w:noProof/>
          <w:color w:val="000000"/>
          <w:u w:color="000000"/>
          <w:bdr w:val="nil"/>
        </w:rPr>
        <w:tab/>
      </w:r>
      <w:r w:rsidRPr="00AC4C98">
        <w:rPr>
          <w:noProof/>
        </w:rPr>
        <w:t>Suderinamumas su toje pačioje politikos srityje galiojančiomis nuostatomis</w:t>
      </w:r>
    </w:p>
    <w:p w14:paraId="2B753363" w14:textId="497BA403" w:rsidR="00315818" w:rsidRPr="00AC4C98" w:rsidRDefault="00984988" w:rsidP="00D627E2">
      <w:pPr>
        <w:pBdr>
          <w:top w:val="nil"/>
          <w:left w:val="nil"/>
          <w:bottom w:val="nil"/>
          <w:right w:val="nil"/>
          <w:between w:val="nil"/>
          <w:bar w:val="nil"/>
        </w:pBdr>
        <w:spacing w:before="0" w:after="240"/>
        <w:rPr>
          <w:rFonts w:eastAsia="Arial Unicode MS"/>
          <w:noProof/>
        </w:rPr>
      </w:pPr>
      <w:r w:rsidRPr="00AC4C98">
        <w:rPr>
          <w:noProof/>
        </w:rPr>
        <w:t>Šio pasiūlymo tikslas – išplėsti 2021 m. liepos 13 d. Tarybos reglamento (ES) 2021/1173 dėl Europos našiosios kompiuterijos bendrosios įmonės įsteigimo, kuriuo panaikinamas Reglamentas (ES) 2018/1488, taikymo sritį, kad Sąjunga galėtų reaguoti į naujus su DI programinės įrangos ir infrastruktūros kūrimu susijusius technologinius pokyčius bei strategines reikmes ir į poreikį suteikti startuoliams galimybę naudotis superkompiuterijos technologijomis.</w:t>
      </w:r>
    </w:p>
    <w:p w14:paraId="4A412E43" w14:textId="77777777" w:rsidR="00315818" w:rsidRPr="00AC4C98" w:rsidRDefault="00984988" w:rsidP="00D627E2">
      <w:pPr>
        <w:pStyle w:val="ManualHeading2"/>
        <w:rPr>
          <w:rFonts w:eastAsia="Arial Unicode MS"/>
          <w:noProof/>
        </w:rPr>
      </w:pPr>
      <w:r w:rsidRPr="00AC4C98">
        <w:rPr>
          <w:noProof/>
          <w:color w:val="000000"/>
          <w:u w:color="000000"/>
          <w:bdr w:val="nil"/>
        </w:rPr>
        <w:t>•</w:t>
      </w:r>
      <w:r w:rsidRPr="00AC4C98">
        <w:rPr>
          <w:noProof/>
          <w:color w:val="000000"/>
          <w:u w:color="000000"/>
          <w:bdr w:val="nil"/>
        </w:rPr>
        <w:tab/>
      </w:r>
      <w:r w:rsidRPr="00AC4C98">
        <w:rPr>
          <w:noProof/>
        </w:rPr>
        <w:t>Suderinamumas su kitomis Sąjungos politikos sritimis</w:t>
      </w:r>
    </w:p>
    <w:p w14:paraId="41989D40" w14:textId="77777777" w:rsidR="00315818" w:rsidRPr="00AC4C98" w:rsidRDefault="00984988" w:rsidP="00D627E2">
      <w:pPr>
        <w:pBdr>
          <w:top w:val="nil"/>
          <w:left w:val="nil"/>
          <w:bottom w:val="nil"/>
          <w:right w:val="nil"/>
          <w:between w:val="nil"/>
          <w:bar w:val="nil"/>
        </w:pBdr>
        <w:spacing w:before="0" w:after="240"/>
        <w:rPr>
          <w:rFonts w:eastAsia="Arial Unicode MS"/>
          <w:noProof/>
        </w:rPr>
      </w:pPr>
      <w:r w:rsidRPr="00AC4C98">
        <w:rPr>
          <w:noProof/>
        </w:rPr>
        <w:t xml:space="preserve">Šis pasiūlymas visiškai dera su kitų sričių Sąjungos politika, visų pirma ta, kuri įgyvendinama vadovaujantis Komisijos prioritetu „Prie skaitmeninio amžiaus prisitaikiusi Europa“. </w:t>
      </w:r>
    </w:p>
    <w:p w14:paraId="16D58315" w14:textId="77777777" w:rsidR="00315818" w:rsidRPr="00AC4C98" w:rsidRDefault="00984988" w:rsidP="00D627E2">
      <w:pPr>
        <w:pStyle w:val="ManualHeading1"/>
        <w:rPr>
          <w:noProof/>
        </w:rPr>
      </w:pPr>
      <w:r w:rsidRPr="00AC4C98">
        <w:rPr>
          <w:noProof/>
        </w:rPr>
        <w:t>2.</w:t>
      </w:r>
      <w:r w:rsidRPr="00AC4C98">
        <w:rPr>
          <w:noProof/>
        </w:rPr>
        <w:tab/>
        <w:t>TEISINIS PAGRINDAS, SUBSIDIARUMO IR PROPORCINGUMO PRINCIPAI</w:t>
      </w:r>
    </w:p>
    <w:p w14:paraId="18128683" w14:textId="77777777" w:rsidR="00315818" w:rsidRPr="00AC4C98" w:rsidRDefault="00984988" w:rsidP="00D627E2">
      <w:pPr>
        <w:pStyle w:val="ManualHeading2"/>
        <w:rPr>
          <w:rFonts w:eastAsia="Arial Unicode MS"/>
          <w:noProof/>
          <w:u w:color="000000"/>
          <w:bdr w:val="nil"/>
        </w:rPr>
      </w:pPr>
      <w:r w:rsidRPr="00AC4C98">
        <w:rPr>
          <w:noProof/>
          <w:u w:color="000000"/>
          <w:bdr w:val="nil"/>
        </w:rPr>
        <w:t>•</w:t>
      </w:r>
      <w:r w:rsidRPr="00AC4C98">
        <w:rPr>
          <w:noProof/>
          <w:u w:color="000000"/>
          <w:bdr w:val="nil"/>
        </w:rPr>
        <w:tab/>
        <w:t>Teisinis pagrindas</w:t>
      </w:r>
    </w:p>
    <w:p w14:paraId="19BF06D1" w14:textId="221D5BF9" w:rsidR="00502AB1" w:rsidRPr="00AC4C98" w:rsidRDefault="00502AB1" w:rsidP="00D627E2">
      <w:pPr>
        <w:pStyle w:val="ManualHeading2"/>
        <w:ind w:left="0" w:firstLine="0"/>
        <w:rPr>
          <w:b w:val="0"/>
          <w:noProof/>
        </w:rPr>
      </w:pPr>
      <w:r w:rsidRPr="00AC4C98">
        <w:rPr>
          <w:b w:val="0"/>
          <w:noProof/>
        </w:rPr>
        <w:t xml:space="preserve">Siūlomo iš dalies pakeisto reglamento teisinis pagrindas yra Sutarties dėl Europos Sąjungos veikimo 187 straipsnis ir 188 straipsnio pirma pastraipa. </w:t>
      </w:r>
    </w:p>
    <w:p w14:paraId="50752E61" w14:textId="77777777" w:rsidR="002D2335" w:rsidRPr="00AC4C98" w:rsidRDefault="002D2335" w:rsidP="00D627E2">
      <w:pPr>
        <w:pStyle w:val="ManualHeading2"/>
        <w:rPr>
          <w:rFonts w:eastAsia="Arial Unicode MS"/>
          <w:noProof/>
          <w:u w:color="000000"/>
          <w:bdr w:val="nil"/>
        </w:rPr>
      </w:pPr>
      <w:r w:rsidRPr="00AC4C98">
        <w:rPr>
          <w:noProof/>
          <w:u w:color="000000"/>
          <w:bdr w:val="nil"/>
        </w:rPr>
        <w:t>•</w:t>
      </w:r>
      <w:r w:rsidRPr="00AC4C98">
        <w:rPr>
          <w:noProof/>
          <w:u w:color="000000"/>
          <w:bdr w:val="nil"/>
        </w:rPr>
        <w:tab/>
        <w:t xml:space="preserve">Subsidiarumas </w:t>
      </w:r>
    </w:p>
    <w:p w14:paraId="3A8130C1" w14:textId="77777777" w:rsidR="00315818" w:rsidRPr="00AC4C98" w:rsidRDefault="00984988" w:rsidP="00D627E2">
      <w:pPr>
        <w:rPr>
          <w:noProof/>
        </w:rPr>
      </w:pPr>
      <w:r w:rsidRPr="00AC4C98">
        <w:rPr>
          <w:noProof/>
        </w:rPr>
        <w:t>Subsidiarumo principas taikomas, jei pasiūlymas nepriklauso išimtinei Europos Sąjungos kompetencijai.</w:t>
      </w:r>
    </w:p>
    <w:p w14:paraId="09383D13" w14:textId="5B5E15DB" w:rsidR="00FE2183" w:rsidRPr="00AC4C98" w:rsidRDefault="004C7E4B" w:rsidP="00D627E2">
      <w:pPr>
        <w:pStyle w:val="ManualHeading2"/>
        <w:tabs>
          <w:tab w:val="clear" w:pos="850"/>
        </w:tabs>
        <w:ind w:left="0" w:firstLine="0"/>
        <w:rPr>
          <w:b w:val="0"/>
          <w:noProof/>
        </w:rPr>
      </w:pPr>
      <w:r w:rsidRPr="00AC4C98">
        <w:rPr>
          <w:b w:val="0"/>
          <w:noProof/>
        </w:rPr>
        <w:t xml:space="preserve">Tarybos reglamentas (ES) 2021/1173 atitinka subsidiarumo principą, nes jo tikslų, kurie yra pasitelkiant Bendrąją įmonę visoje Sąjungoje didinti mokslinių tyrimų ir inovacijų pajėgumus, įsigyti superkompiuterių ir kvantinių kompiuterių ir užtikrinti prieigą prie našiųjų kompiuterių, kvantinių kompiuterių ir duomenų infrastruktūros, valstybės narės negali deramai pasiekti ir, siekiant išvengti nereikalingo dubliavimosi, išlaikyti kritinę masę ir užtikrinti, kad viešasis finansavimas būtų naudojamas optimaliai, tų tikslų būtų geriau siekti ES lygmeniu. </w:t>
      </w:r>
    </w:p>
    <w:p w14:paraId="0584F17C" w14:textId="61C2ECC7" w:rsidR="00042FEF" w:rsidRPr="00AC4C98" w:rsidRDefault="00042FEF" w:rsidP="00D627E2">
      <w:pPr>
        <w:rPr>
          <w:noProof/>
          <w:color w:val="000000"/>
          <w:szCs w:val="24"/>
        </w:rPr>
      </w:pPr>
      <w:r w:rsidRPr="00AC4C98">
        <w:rPr>
          <w:noProof/>
          <w:color w:val="000000"/>
        </w:rPr>
        <w:t xml:space="preserve">Pastaraisiais metais našiosios kompiuterijos svarba mokslo, viešajame ir privačiajame sektoriuose tampa vis didesnė, o kartu eksponentiškai auga investicijų, reikalingų norint išlikti konkurencingiems pasaulyje, dydis. Padėtį dar labiau apsunkina pastaruoju metu padidėjusios spartintuvų, būtinų norint išlaikyti pasaulinį konkurencingumą didžiųjų dirbtinio intelekto modelių kūrimo ir mokymo srityje, kainos. Todėl plačiai pripažįstama, kad bendros infrastruktūros teikimas ir bendras esamų pajėgumų naudojimas būtų naudingi Europos dirbtinio intelekto bendruomenei visose valstybėse narėse. Pavyzdžiui, valstybės narės, kurioms gali būti sunku sukurti savarankišką nacionalinę našiosios kompiuterijos infrastruktūrą, gali vertingai prisidėti prie susietų ir sujungtų ES lygmens našiosios kompiuterijos pajėgumų ir gauti iš jų naudos. </w:t>
      </w:r>
    </w:p>
    <w:p w14:paraId="4D8BB707" w14:textId="265779BF" w:rsidR="004C7E4B" w:rsidRPr="00AC4C98" w:rsidRDefault="00313CD8" w:rsidP="00D627E2">
      <w:pPr>
        <w:pStyle w:val="ManualHeading2"/>
        <w:tabs>
          <w:tab w:val="clear" w:pos="850"/>
          <w:tab w:val="left" w:pos="0"/>
        </w:tabs>
        <w:ind w:left="0" w:firstLine="0"/>
        <w:rPr>
          <w:b w:val="0"/>
          <w:bCs/>
          <w:noProof/>
        </w:rPr>
      </w:pPr>
      <w:r w:rsidRPr="00AC4C98">
        <w:rPr>
          <w:b w:val="0"/>
          <w:noProof/>
        </w:rPr>
        <w:t xml:space="preserve">Padarius siūlomą pakeitimą, Bendroji įmonė galės leisti novatoriškiems Europos startuoliams naudotis jos superkompiuterijos pajėgumais, kad būtų skatinama kurti, bandyti ir validuoti DI sprendimus, sudarytos sąlygos dideliu mastu mokyti ir kurti patikimus ir etiškus bendrosios </w:t>
      </w:r>
      <w:r w:rsidRPr="00AC4C98">
        <w:rPr>
          <w:b w:val="0"/>
          <w:noProof/>
        </w:rPr>
        <w:lastRenderedPageBreak/>
        <w:t>paskirties DI modelius ir sistemas ir taip stiprinamas Europos konkurencingumas ir pramoninė bazė DI srityje. Tik tokie bendri Sąjungos lygmens veiksmai gali padėti didinti Sąjungos ekonominį saugumą ir technologinį suverenumą, formuoti pasaulines DI taisykles ir standartus pasitelkiant Sąjungos priemones ir reguliavimo galias ir kartu reikšmingai didinti DI diegimo Europos pramonės, mokslinių tyrimų ir viešųjų paslaugų srityse mastą.</w:t>
      </w:r>
    </w:p>
    <w:p w14:paraId="03F95912" w14:textId="77777777" w:rsidR="00315818" w:rsidRPr="00AC4C98" w:rsidRDefault="00984988" w:rsidP="00D627E2">
      <w:pPr>
        <w:pStyle w:val="ManualHeading2"/>
        <w:rPr>
          <w:rFonts w:eastAsia="Arial Unicode MS"/>
          <w:noProof/>
          <w:u w:color="000000"/>
          <w:bdr w:val="nil"/>
        </w:rPr>
      </w:pPr>
      <w:r w:rsidRPr="00AC4C98">
        <w:rPr>
          <w:noProof/>
          <w:u w:color="000000"/>
          <w:bdr w:val="nil"/>
        </w:rPr>
        <w:t>•</w:t>
      </w:r>
      <w:r w:rsidRPr="00AC4C98">
        <w:rPr>
          <w:noProof/>
          <w:u w:color="000000"/>
          <w:bdr w:val="nil"/>
        </w:rPr>
        <w:tab/>
        <w:t>Proporcingumo principas</w:t>
      </w:r>
    </w:p>
    <w:p w14:paraId="0FDAACA2" w14:textId="075CDCC4" w:rsidR="00315818" w:rsidRPr="00AC4C98" w:rsidRDefault="00042FEF" w:rsidP="00D627E2">
      <w:pPr>
        <w:pBdr>
          <w:top w:val="nil"/>
          <w:left w:val="nil"/>
          <w:bottom w:val="nil"/>
          <w:right w:val="nil"/>
          <w:between w:val="nil"/>
          <w:bar w:val="nil"/>
        </w:pBdr>
        <w:spacing w:before="0" w:after="240"/>
        <w:rPr>
          <w:noProof/>
        </w:rPr>
      </w:pPr>
      <w:r w:rsidRPr="00AC4C98">
        <w:rPr>
          <w:noProof/>
        </w:rPr>
        <w:t>Pasiūlymas atitinka Europos Sąjungos sutarties 5 straipsnyje nustatytą proporcingumo principą, nes jame numatoma visoms šios iniciatyvos veiksmų sritims tinkama veiksmingo bendradarbiavimo sistema, juo neviršijama to, kas būtina nurodytoms problemoms išspręsti, ir jis yra proporcingas siekiamiems tikslams.</w:t>
      </w:r>
    </w:p>
    <w:p w14:paraId="531D72F4" w14:textId="77777777" w:rsidR="00315818" w:rsidRPr="00AC4C98" w:rsidRDefault="00984988" w:rsidP="00D627E2">
      <w:pPr>
        <w:pStyle w:val="ManualHeading2"/>
        <w:rPr>
          <w:rFonts w:eastAsia="Arial Unicode MS"/>
          <w:noProof/>
          <w:u w:color="000000"/>
          <w:bdr w:val="nil"/>
        </w:rPr>
      </w:pPr>
      <w:r w:rsidRPr="00AC4C98">
        <w:rPr>
          <w:noProof/>
          <w:u w:color="000000"/>
          <w:bdr w:val="nil"/>
        </w:rPr>
        <w:t>•</w:t>
      </w:r>
      <w:r w:rsidRPr="00AC4C98">
        <w:rPr>
          <w:noProof/>
          <w:u w:color="000000"/>
          <w:bdr w:val="nil"/>
        </w:rPr>
        <w:tab/>
        <w:t>Priemonės pasirinkimas</w:t>
      </w:r>
    </w:p>
    <w:p w14:paraId="2BCFEC02" w14:textId="77777777" w:rsidR="009D7FA0" w:rsidRPr="00AC4C98" w:rsidRDefault="009D7FA0" w:rsidP="00D627E2">
      <w:pPr>
        <w:pStyle w:val="ManualHeading1"/>
        <w:tabs>
          <w:tab w:val="clear" w:pos="850"/>
          <w:tab w:val="left" w:pos="0"/>
        </w:tabs>
        <w:ind w:left="0" w:firstLine="0"/>
        <w:rPr>
          <w:b w:val="0"/>
          <w:smallCaps w:val="0"/>
          <w:noProof/>
        </w:rPr>
      </w:pPr>
      <w:r w:rsidRPr="00AC4C98">
        <w:rPr>
          <w:b w:val="0"/>
          <w:smallCaps w:val="0"/>
          <w:noProof/>
        </w:rPr>
        <w:t>Bendrosios įmonės, kurios veikloje dalyvauja Sąjunga, steigimas ir veikimas turi būti reglamentuojami Tarybos reglamentu, kurį dabar siūloma iš dalies pakeisti.</w:t>
      </w:r>
    </w:p>
    <w:p w14:paraId="629DDBBF" w14:textId="77777777" w:rsidR="00315818" w:rsidRPr="00AC4C98" w:rsidRDefault="00984988" w:rsidP="00D627E2">
      <w:pPr>
        <w:pStyle w:val="ManualHeading1"/>
        <w:rPr>
          <w:noProof/>
        </w:rPr>
      </w:pPr>
      <w:r w:rsidRPr="00AC4C98">
        <w:rPr>
          <w:noProof/>
        </w:rPr>
        <w:t>3.</w:t>
      </w:r>
      <w:r w:rsidRPr="00AC4C98">
        <w:rPr>
          <w:noProof/>
        </w:rPr>
        <w:tab/>
      </w:r>
      <w:r w:rsidRPr="00AC4C98">
        <w:rPr>
          <w:i/>
          <w:iCs/>
          <w:noProof/>
        </w:rPr>
        <w:t>EX POST</w:t>
      </w:r>
      <w:r w:rsidRPr="00AC4C98">
        <w:rPr>
          <w:noProof/>
        </w:rPr>
        <w:t xml:space="preserve"> VERTINIMO, KONSULTACIJŲ SU SUINTERESUOTOSIOMIS ŠALIMIS IR POVEIKIO VERTINIMO REZULTATAI</w:t>
      </w:r>
    </w:p>
    <w:p w14:paraId="5D04121D" w14:textId="108DF6AA" w:rsidR="00315818" w:rsidRPr="00AC4C98" w:rsidRDefault="00CE0A11" w:rsidP="00D627E2">
      <w:pPr>
        <w:rPr>
          <w:noProof/>
        </w:rPr>
      </w:pPr>
      <w:r w:rsidRPr="00AC4C98">
        <w:rPr>
          <w:noProof/>
          <w:bdr w:val="nil"/>
        </w:rPr>
        <w:t xml:space="preserve">Netaikoma. Kadangi tai yra galiojančio reglamento pakeitimas, </w:t>
      </w:r>
      <w:r w:rsidRPr="00AC4C98">
        <w:rPr>
          <w:i/>
          <w:iCs/>
          <w:noProof/>
          <w:bdr w:val="nil"/>
        </w:rPr>
        <w:t>ex post</w:t>
      </w:r>
      <w:r w:rsidRPr="00AC4C98">
        <w:rPr>
          <w:noProof/>
          <w:bdr w:val="nil"/>
        </w:rPr>
        <w:t xml:space="preserve"> vertinimas, konsultacijos su suinteresuotosiomis šalimis ir poveikio vertinimas atlikti nebuvo.</w:t>
      </w:r>
    </w:p>
    <w:p w14:paraId="0037D9AD" w14:textId="77777777" w:rsidR="00315818" w:rsidRPr="00AC4C98" w:rsidRDefault="00984988" w:rsidP="00D627E2">
      <w:pPr>
        <w:pStyle w:val="ManualHeading1"/>
        <w:rPr>
          <w:noProof/>
        </w:rPr>
      </w:pPr>
      <w:r w:rsidRPr="00AC4C98">
        <w:rPr>
          <w:noProof/>
        </w:rPr>
        <w:t>4.</w:t>
      </w:r>
      <w:r w:rsidRPr="00AC4C98">
        <w:rPr>
          <w:noProof/>
        </w:rPr>
        <w:tab/>
        <w:t>POVEIKIS BIUDŽETUI</w:t>
      </w:r>
    </w:p>
    <w:p w14:paraId="79A66DFA" w14:textId="11BF175B" w:rsidR="00315818" w:rsidRPr="00AC4C98" w:rsidRDefault="00984988" w:rsidP="00D627E2">
      <w:pPr>
        <w:pBdr>
          <w:top w:val="nil"/>
          <w:left w:val="nil"/>
          <w:bottom w:val="nil"/>
          <w:right w:val="nil"/>
          <w:between w:val="nil"/>
          <w:bar w:val="nil"/>
        </w:pBdr>
        <w:spacing w:before="0" w:after="240"/>
        <w:rPr>
          <w:noProof/>
        </w:rPr>
      </w:pPr>
      <w:r w:rsidRPr="00AC4C98">
        <w:rPr>
          <w:noProof/>
        </w:rPr>
        <w:t xml:space="preserve">Papildomų išteklių iš ES biudžeto nereikės, tačiau dėl siūlomų priemonių reikės perskirstyti Bendrosios įmonės turimus išteklius. </w:t>
      </w:r>
    </w:p>
    <w:p w14:paraId="00D60F81" w14:textId="77777777" w:rsidR="00315818" w:rsidRPr="00AC4C98" w:rsidRDefault="00984988" w:rsidP="00D627E2">
      <w:pPr>
        <w:pStyle w:val="ManualHeading1"/>
        <w:rPr>
          <w:noProof/>
        </w:rPr>
      </w:pPr>
      <w:r w:rsidRPr="00AC4C98">
        <w:rPr>
          <w:noProof/>
        </w:rPr>
        <w:t>5.</w:t>
      </w:r>
      <w:r w:rsidRPr="00AC4C98">
        <w:rPr>
          <w:noProof/>
        </w:rPr>
        <w:tab/>
        <w:t>KITI ELEMENTAI</w:t>
      </w:r>
    </w:p>
    <w:p w14:paraId="2F1D7725" w14:textId="77777777" w:rsidR="00315818" w:rsidRPr="00AC4C98" w:rsidRDefault="00984988" w:rsidP="00D627E2">
      <w:pPr>
        <w:pStyle w:val="ManualHeading2"/>
        <w:rPr>
          <w:rFonts w:eastAsia="Arial Unicode MS"/>
          <w:b w:val="0"/>
          <w:bCs/>
          <w:noProof/>
          <w:u w:color="000000"/>
          <w:bdr w:val="nil"/>
        </w:rPr>
      </w:pPr>
      <w:r w:rsidRPr="00AC4C98">
        <w:rPr>
          <w:b w:val="0"/>
          <w:noProof/>
          <w:u w:color="000000"/>
          <w:bdr w:val="nil"/>
        </w:rPr>
        <w:t>•</w:t>
      </w:r>
      <w:r w:rsidRPr="00AC4C98">
        <w:rPr>
          <w:b w:val="0"/>
          <w:noProof/>
          <w:u w:color="000000"/>
          <w:bdr w:val="nil"/>
        </w:rPr>
        <w:tab/>
        <w:t>Išsamus konkrečių pasiūlymo nuostatų paaiškinimas</w:t>
      </w:r>
    </w:p>
    <w:p w14:paraId="18709186" w14:textId="77777777" w:rsidR="00315818" w:rsidRPr="00AC4C98" w:rsidRDefault="00315818" w:rsidP="00D627E2">
      <w:pPr>
        <w:rPr>
          <w:noProof/>
        </w:rPr>
      </w:pPr>
    </w:p>
    <w:p w14:paraId="318B80CF" w14:textId="42B900EB" w:rsidR="00300C27" w:rsidRPr="00AC4C98" w:rsidRDefault="00CA3E9A" w:rsidP="00D627E2">
      <w:pPr>
        <w:rPr>
          <w:noProof/>
          <w:color w:val="000000"/>
          <w:bdr w:val="none" w:sz="0" w:space="0" w:color="auto" w:frame="1"/>
        </w:rPr>
      </w:pPr>
      <w:r w:rsidRPr="00AC4C98">
        <w:rPr>
          <w:noProof/>
        </w:rPr>
        <w:t xml:space="preserve">Reglamento pakeitimu išplečiama jo taikymo sritis: </w:t>
      </w:r>
      <w:r w:rsidRPr="00AC4C98">
        <w:rPr>
          <w:rStyle w:val="normaltextrun"/>
          <w:noProof/>
          <w:color w:val="000000"/>
          <w:shd w:val="clear" w:color="auto" w:fill="FFFFFF"/>
        </w:rPr>
        <w:t xml:space="preserve">prie šešių esamų Bendrosios įmonės tikslų pridedamas dar vienas – </w:t>
      </w:r>
      <w:r w:rsidRPr="00AC4C98">
        <w:rPr>
          <w:noProof/>
        </w:rPr>
        <w:t>kurti ir valdyti DI fabrikus, padedančius Sąjungoje toliau plėtoti itin konkurencingą ir novatorišką DI ekosistemą</w:t>
      </w:r>
      <w:r w:rsidRPr="00AC4C98">
        <w:rPr>
          <w:rStyle w:val="normaltextrun"/>
          <w:noProof/>
          <w:color w:val="000000"/>
          <w:bdr w:val="none" w:sz="0" w:space="0" w:color="auto" w:frame="1"/>
        </w:rPr>
        <w:t xml:space="preserve">. </w:t>
      </w:r>
      <w:r w:rsidRPr="00AC4C98">
        <w:rPr>
          <w:b/>
          <w:noProof/>
          <w:color w:val="000000" w:themeColor="text1"/>
        </w:rPr>
        <w:t>Šis papildomas tikslas nustatomas atsižvelgiant į išskirtines aplinkybes ir reikmes, susijusias su dideliems DI modeliams kurti, mokyti ir naudoti reikalingų kompiuterinių sistemų diegimu ir teikimu naudoti. Pažymėtina, kad reglamente pakeičiamas tik vienas dalykas – į jo taikymo sritį įtraukiami DI fabrikai.</w:t>
      </w:r>
    </w:p>
    <w:p w14:paraId="72C1018A" w14:textId="77777777" w:rsidR="0007586F" w:rsidRPr="00AC4C98" w:rsidRDefault="00D57B91" w:rsidP="00D627E2">
      <w:pPr>
        <w:rPr>
          <w:rStyle w:val="normaltextrun"/>
          <w:noProof/>
          <w:color w:val="000000"/>
          <w:bdr w:val="none" w:sz="0" w:space="0" w:color="auto" w:frame="1"/>
        </w:rPr>
      </w:pPr>
      <w:r w:rsidRPr="00AC4C98">
        <w:rPr>
          <w:rStyle w:val="normaltextrun"/>
          <w:noProof/>
          <w:color w:val="000000"/>
          <w:bdr w:val="none" w:sz="0" w:space="0" w:color="auto" w:frame="1"/>
        </w:rPr>
        <w:t>Tai daroma reaguojant į didelius technologinius ir reguliavimo pokyčius, įvykusius DI srityje nuo pirminio reglamento įsigaliojimo 2021 metais.</w:t>
      </w:r>
    </w:p>
    <w:p w14:paraId="4FD94D18" w14:textId="313C98B9" w:rsidR="00B07B9A" w:rsidRPr="00AC4C98" w:rsidRDefault="0007586F" w:rsidP="00D627E2">
      <w:pPr>
        <w:rPr>
          <w:rStyle w:val="normaltextrun"/>
          <w:noProof/>
          <w:color w:val="000000"/>
          <w:bdr w:val="none" w:sz="0" w:space="0" w:color="auto" w:frame="1"/>
        </w:rPr>
      </w:pPr>
      <w:r w:rsidRPr="00AC4C98">
        <w:rPr>
          <w:rStyle w:val="normaltextrun"/>
          <w:noProof/>
          <w:color w:val="000000"/>
          <w:bdr w:val="none" w:sz="0" w:space="0" w:color="auto" w:frame="1"/>
        </w:rPr>
        <w:t xml:space="preserve">Šiuo pakeitimu nedaromas poveikis Bendrosios įmonės veikloje dalyvaujančių valstybių narių pareigoms laikytis valstybės pagalbos principų. </w:t>
      </w:r>
      <w:r w:rsidRPr="00AC4C98">
        <w:rPr>
          <w:noProof/>
        </w:rPr>
        <w:t>Tarybos reglamente (ES) 2021/1173 jau yra su tuo susijusių nuostatų – jo 59 konstatuojamojoje dalyje nurodyta, kad, siekiant užtikrinti viešųjų išlaidų veiksmingumą ir užkirsti kelią rinkos iškraipymams, finansavimas pagal Sąjungos programas turėtų derėti su valstybės pagalbos principais, o 7 straipsnyje nustatyta, kad paramos gavėjams valstybių narių teikiami įnašai turi nepažeisti valstybės pagalbos taisyklių.</w:t>
      </w:r>
    </w:p>
    <w:p w14:paraId="5E6F6347" w14:textId="598F00A1" w:rsidR="00092807" w:rsidRPr="00AC4C98" w:rsidRDefault="00342CB3" w:rsidP="00D627E2">
      <w:pPr>
        <w:rPr>
          <w:rStyle w:val="normaltextrun"/>
          <w:noProof/>
          <w:color w:val="000000"/>
          <w:bdr w:val="none" w:sz="0" w:space="0" w:color="auto" w:frame="1"/>
        </w:rPr>
      </w:pPr>
      <w:r w:rsidRPr="00AC4C98">
        <w:rPr>
          <w:rStyle w:val="normaltextrun"/>
          <w:noProof/>
          <w:color w:val="000000"/>
          <w:bdr w:val="none" w:sz="0" w:space="0" w:color="auto" w:frame="1"/>
        </w:rPr>
        <w:lastRenderedPageBreak/>
        <w:t>Atsižvelgiant į aptartus pokyčius, siūlomame naujame 2 straipsnio 3b punkte pateikiama</w:t>
      </w:r>
      <w:r w:rsidRPr="00AC4C98">
        <w:rPr>
          <w:rStyle w:val="normaltextrun"/>
          <w:noProof/>
          <w:color w:val="000000" w:themeColor="text1"/>
        </w:rPr>
        <w:t xml:space="preserve"> </w:t>
      </w:r>
      <w:r w:rsidRPr="00AC4C98">
        <w:rPr>
          <w:rStyle w:val="normaltextrun"/>
          <w:noProof/>
          <w:color w:val="000000"/>
          <w:bdr w:val="none" w:sz="0" w:space="0" w:color="auto" w:frame="1"/>
        </w:rPr>
        <w:t xml:space="preserve">DI skirto superkompiuterio apibrėžtis, o to straipsnio 3c punkte – DI fabriko apibrėžtis. 2 straipsnio 9 punktas iš dalies keičiamas norint įtraukti dar vieną „EuroHPC“ superkompiuterių kategoriją – DI skirtus superkompiuterius. Naujame 3 straipsnio 2 dalies h punkte nustatomas naujas Bendrosios įmonės tikslas – </w:t>
      </w:r>
      <w:r w:rsidRPr="00AC4C98">
        <w:rPr>
          <w:noProof/>
          <w:color w:val="000000"/>
          <w:bdr w:val="none" w:sz="0" w:space="0" w:color="auto" w:frame="1"/>
        </w:rPr>
        <w:t xml:space="preserve">kurti ir valdyti </w:t>
      </w:r>
      <w:r w:rsidRPr="00AC4C98">
        <w:rPr>
          <w:noProof/>
          <w:color w:val="000000" w:themeColor="text1"/>
        </w:rPr>
        <w:t>DI</w:t>
      </w:r>
      <w:r w:rsidRPr="00AC4C98">
        <w:rPr>
          <w:noProof/>
          <w:color w:val="000000"/>
          <w:bdr w:val="none" w:sz="0" w:space="0" w:color="auto" w:frame="1"/>
        </w:rPr>
        <w:t xml:space="preserve"> fabrikus, padedančius Sąjungoje toliau plėtoti itin konkurencingą ir novatorišką </w:t>
      </w:r>
      <w:r w:rsidRPr="00AC4C98">
        <w:rPr>
          <w:noProof/>
          <w:color w:val="000000" w:themeColor="text1"/>
        </w:rPr>
        <w:t>DI</w:t>
      </w:r>
      <w:r w:rsidRPr="00AC4C98">
        <w:rPr>
          <w:noProof/>
          <w:color w:val="000000"/>
          <w:bdr w:val="none" w:sz="0" w:space="0" w:color="auto" w:frame="1"/>
        </w:rPr>
        <w:t xml:space="preserve"> ekosistemą, </w:t>
      </w:r>
      <w:r w:rsidRPr="00AC4C98">
        <w:rPr>
          <w:rStyle w:val="normaltextrun"/>
          <w:noProof/>
          <w:color w:val="000000"/>
          <w:bdr w:val="none" w:sz="0" w:space="0" w:color="auto" w:frame="1"/>
        </w:rPr>
        <w:t>o 4 straipsnio 1 dalis papildoma nauju h punktu, kuriame aprašomas naujas su DI susijęs bendrosios įmonės veiklos ramstis. Atitinkami pakeitimai padaromi 9 straipsnio 5 dalies g punktu, 10 straipsnio 2 dalies l punkte, 16 straipsnio 1 dalyje ir 17 straipsnio 1 dalyje.</w:t>
      </w:r>
    </w:p>
    <w:p w14:paraId="72407CF2" w14:textId="5D6346B7" w:rsidR="00032E08" w:rsidRPr="00AC4C98" w:rsidRDefault="490332F8" w:rsidP="00D627E2">
      <w:pPr>
        <w:rPr>
          <w:rStyle w:val="normaltextrun"/>
          <w:noProof/>
          <w:color w:val="000000"/>
          <w:bdr w:val="none" w:sz="0" w:space="0" w:color="auto" w:frame="1"/>
        </w:rPr>
      </w:pPr>
      <w:r w:rsidRPr="00AC4C98">
        <w:rPr>
          <w:rStyle w:val="normaltextrun"/>
          <w:noProof/>
          <w:color w:val="000000"/>
          <w:bdr w:val="none" w:sz="0" w:space="0" w:color="auto" w:frame="1"/>
        </w:rPr>
        <w:t>Naujame 12</w:t>
      </w:r>
      <w:r w:rsidRPr="00AC4C98">
        <w:rPr>
          <w:rStyle w:val="normaltextrun"/>
          <w:i/>
          <w:noProof/>
          <w:color w:val="000000"/>
          <w:bdr w:val="none" w:sz="0" w:space="0" w:color="auto" w:frame="1"/>
        </w:rPr>
        <w:t>a</w:t>
      </w:r>
      <w:r w:rsidRPr="00AC4C98">
        <w:rPr>
          <w:rStyle w:val="normaltextrun"/>
          <w:noProof/>
          <w:color w:val="000000"/>
          <w:bdr w:val="none" w:sz="0" w:space="0" w:color="auto" w:frame="1"/>
        </w:rPr>
        <w:t xml:space="preserve"> straipsnyje išdėstomos nuostatos dėl Bendrosios įmonės vykdomo DI skirtų superkompiuterių įsigijimo ir dėl šių superkompiuterių priklausymo Bendrajai įmonei. 16 straipsnio 1b ir 2b dalyse nustatoma šių superkompiuterių naudojimo tvarka ir prieigos prie jų sąlygos. </w:t>
      </w:r>
    </w:p>
    <w:p w14:paraId="110F545C" w14:textId="3A2E4E23" w:rsidR="00BF50AE" w:rsidRPr="00AC4C98" w:rsidRDefault="00BF50AE" w:rsidP="00D627E2">
      <w:pPr>
        <w:rPr>
          <w:noProof/>
        </w:rPr>
      </w:pPr>
      <w:r w:rsidRPr="00AC4C98">
        <w:rPr>
          <w:rStyle w:val="normaltextrun"/>
          <w:noProof/>
          <w:color w:val="000000"/>
          <w:bdr w:val="none" w:sz="0" w:space="0" w:color="auto" w:frame="1"/>
        </w:rPr>
        <w:t xml:space="preserve">15 straipsnis pritaikomas siekiant užtikrinti didesnes esamų „EuroHPC“ superkompiuterių modernizavimo galimybes, įskaitant modernizavimą siekiant padidinti jų darbo su dirbtiniu intelektu pajėgumus. </w:t>
      </w:r>
      <w:r w:rsidRPr="00AC4C98">
        <w:rPr>
          <w:noProof/>
          <w:color w:val="000000"/>
          <w:bdr w:val="none" w:sz="0" w:space="0" w:color="auto" w:frame="1"/>
        </w:rPr>
        <w:t>Pirminio „EuroHPC“ reglamento 15 straipsnio tikslas buvo sudaryti sąlygas laiku modernizuoti superkompiuterius siekiant padidinti jų pajėgumus arba pailginti jų naudojimo laikotarpį. Jame buvo nustatytas aiškus apribojimas, skatinantis pirmenybę ir toliau teikti investicijoms į naujų superkompiuterių įsigijimą. Tačiau paaiškėjo, kad tas apribojimas neleidžia esamų „EuroHPC“ superkompiuterių išnaudoti maksimaliai, kad investicijų grąža būtų kuo didesnė. „EuroHPC“ superkompiuterių infrastruktūros objektų įrengimas dėl COVID krizės, visų pirma dėl mikroprocesorių trūkumo, vėlavo iki dvejų metų. Kadangi „EuroHPC“ superkompiuterių naudojimo laikotarpis dar nesibaigė, modernizuoti esamų „EuroHPC“ superkompiuterių pajėgumus yra ekonomiškai daug efektyviau nei įsigyti naujų pakankamai našių superkompiuterių</w:t>
      </w:r>
      <w:r w:rsidRPr="00AC4C98">
        <w:rPr>
          <w:noProof/>
        </w:rPr>
        <w:t>.</w:t>
      </w:r>
    </w:p>
    <w:p w14:paraId="5CD909E5" w14:textId="0D5D86D0" w:rsidR="00315818" w:rsidRPr="00AC4C98" w:rsidRDefault="00984988" w:rsidP="00D627E2">
      <w:pPr>
        <w:spacing w:before="0" w:after="200" w:line="276" w:lineRule="auto"/>
        <w:jc w:val="left"/>
        <w:rPr>
          <w:noProof/>
        </w:rPr>
      </w:pPr>
      <w:r w:rsidRPr="00AC4C98">
        <w:rPr>
          <w:noProof/>
        </w:rPr>
        <w:br w:type="page"/>
      </w:r>
      <w:r w:rsidRPr="00AC4C98">
        <w:rPr>
          <w:noProof/>
        </w:rPr>
        <w:lastRenderedPageBreak/>
        <w:br w:type="page"/>
      </w:r>
    </w:p>
    <w:p w14:paraId="63163E10" w14:textId="67F717BD" w:rsidR="000939A0" w:rsidRPr="00AC4C98" w:rsidRDefault="00B17A4E" w:rsidP="00B17A4E">
      <w:pPr>
        <w:pStyle w:val="Rfrenceinterinstitutionnelle"/>
        <w:rPr>
          <w:noProof/>
        </w:rPr>
      </w:pPr>
      <w:r w:rsidRPr="00B17A4E">
        <w:t>2024/0016 (NLE)</w:t>
      </w:r>
    </w:p>
    <w:p w14:paraId="486E39CC" w14:textId="50561498" w:rsidR="00315818" w:rsidRPr="00AC4C98" w:rsidRDefault="00B17A4E" w:rsidP="00B17A4E">
      <w:pPr>
        <w:pStyle w:val="Statut"/>
        <w:rPr>
          <w:noProof/>
        </w:rPr>
      </w:pPr>
      <w:r w:rsidRPr="00B17A4E">
        <w:t>Pasiūlymas</w:t>
      </w:r>
    </w:p>
    <w:p w14:paraId="47AC3494" w14:textId="510616AB" w:rsidR="00315818" w:rsidRPr="00AC4C98" w:rsidRDefault="00B17A4E" w:rsidP="00B17A4E">
      <w:pPr>
        <w:pStyle w:val="Typedudocument"/>
        <w:rPr>
          <w:noProof/>
        </w:rPr>
      </w:pPr>
      <w:r w:rsidRPr="00B17A4E">
        <w:t>TARYBOS REGLAMENTAS</w:t>
      </w:r>
    </w:p>
    <w:p w14:paraId="3469FA11" w14:textId="338BB106" w:rsidR="00315818" w:rsidRPr="00AC4C98" w:rsidRDefault="00B17A4E" w:rsidP="00B17A4E">
      <w:pPr>
        <w:pStyle w:val="Titreobjet"/>
        <w:rPr>
          <w:noProof/>
        </w:rPr>
      </w:pPr>
      <w:r w:rsidRPr="00B17A4E">
        <w:t xml:space="preserve">kuriuo dėl </w:t>
      </w:r>
      <w:proofErr w:type="spellStart"/>
      <w:r w:rsidRPr="00B17A4E">
        <w:t>startuoliams</w:t>
      </w:r>
      <w:proofErr w:type="spellEnd"/>
      <w:r w:rsidRPr="00B17A4E">
        <w:t xml:space="preserve"> skirtos „</w:t>
      </w:r>
      <w:proofErr w:type="spellStart"/>
      <w:r w:rsidRPr="00B17A4E">
        <w:t>EuroHPC</w:t>
      </w:r>
      <w:proofErr w:type="spellEnd"/>
      <w:r w:rsidRPr="00B17A4E">
        <w:t>“ iniciatyvos, kuria siekiama stiprinti Europos lyderystę patikimo dirbtinio intelekto srityje, iš dalies keičiamas Reglamentas (ES) 2021/1173</w:t>
      </w:r>
    </w:p>
    <w:p w14:paraId="60AB3205" w14:textId="77777777" w:rsidR="00A2647E" w:rsidRPr="00AC4C98" w:rsidRDefault="00A2647E" w:rsidP="00D627E2">
      <w:pPr>
        <w:pStyle w:val="Institutionquiagit"/>
        <w:rPr>
          <w:noProof/>
        </w:rPr>
      </w:pPr>
      <w:r w:rsidRPr="00AC4C98">
        <w:rPr>
          <w:noProof/>
        </w:rPr>
        <w:t>EUROPOS SĄJUNGOS TARYBA,</w:t>
      </w:r>
    </w:p>
    <w:p w14:paraId="22AACD79" w14:textId="50C954E7" w:rsidR="007F605E" w:rsidRPr="00AC4C98" w:rsidRDefault="007F605E" w:rsidP="00D627E2">
      <w:pPr>
        <w:rPr>
          <w:noProof/>
        </w:rPr>
      </w:pPr>
      <w:r w:rsidRPr="00AC4C98">
        <w:rPr>
          <w:noProof/>
        </w:rPr>
        <w:t>atsižvelgdama į Sutartį dėl Europos Sąjungos veikimo, ypač į jos 187 straipsnį ir 188 straipsnio pirmą pastraipą,</w:t>
      </w:r>
    </w:p>
    <w:p w14:paraId="0D9964C4" w14:textId="77777777" w:rsidR="007F605E" w:rsidRPr="00AC4C98" w:rsidRDefault="007F605E" w:rsidP="00D627E2">
      <w:pPr>
        <w:rPr>
          <w:noProof/>
        </w:rPr>
      </w:pPr>
      <w:r w:rsidRPr="00AC4C98">
        <w:rPr>
          <w:noProof/>
        </w:rPr>
        <w:t>atsižvelgdama į Europos Komisijos pasiūlymą,</w:t>
      </w:r>
    </w:p>
    <w:p w14:paraId="50BB6375" w14:textId="77777777" w:rsidR="00A2647E" w:rsidRPr="00AC4C98" w:rsidRDefault="00A2647E" w:rsidP="00D627E2">
      <w:pPr>
        <w:rPr>
          <w:noProof/>
        </w:rPr>
      </w:pPr>
      <w:r w:rsidRPr="00AC4C98">
        <w:rPr>
          <w:noProof/>
        </w:rPr>
        <w:t>atsižvelgdama į Europos Parlamento nuomonę</w:t>
      </w:r>
      <w:r w:rsidRPr="00AC4C98">
        <w:rPr>
          <w:rStyle w:val="FootnoteReference"/>
          <w:noProof/>
        </w:rPr>
        <w:footnoteReference w:id="5"/>
      </w:r>
      <w:r w:rsidRPr="00AC4C98">
        <w:rPr>
          <w:noProof/>
        </w:rPr>
        <w:t>,</w:t>
      </w:r>
    </w:p>
    <w:p w14:paraId="1EF79E62" w14:textId="77777777" w:rsidR="003437B8" w:rsidRPr="00AC4C98" w:rsidRDefault="006356CA" w:rsidP="00D627E2">
      <w:pPr>
        <w:rPr>
          <w:noProof/>
        </w:rPr>
      </w:pPr>
      <w:r w:rsidRPr="00AC4C98">
        <w:rPr>
          <w:noProof/>
        </w:rPr>
        <w:t>atsižvelgdama į Europos ekonomikos ir socialinių reikalų komiteto nuomonę</w:t>
      </w:r>
      <w:r w:rsidRPr="00AC4C98">
        <w:rPr>
          <w:rStyle w:val="FootnoteReference"/>
          <w:noProof/>
        </w:rPr>
        <w:footnoteReference w:id="6"/>
      </w:r>
      <w:r w:rsidRPr="00AC4C98">
        <w:rPr>
          <w:noProof/>
        </w:rPr>
        <w:t>,</w:t>
      </w:r>
    </w:p>
    <w:p w14:paraId="3FE35872" w14:textId="0F8B0167" w:rsidR="00A2647E" w:rsidRPr="00AC4C98" w:rsidRDefault="00A2647E" w:rsidP="00D627E2">
      <w:pPr>
        <w:rPr>
          <w:noProof/>
        </w:rPr>
      </w:pPr>
      <w:r w:rsidRPr="00AC4C98">
        <w:rPr>
          <w:noProof/>
        </w:rPr>
        <w:t>laikydamasi specialios teisėkūros procedūros,</w:t>
      </w:r>
    </w:p>
    <w:p w14:paraId="0FC4D832" w14:textId="77777777" w:rsidR="00A2647E" w:rsidRPr="00AC4C98" w:rsidRDefault="00A2647E" w:rsidP="00D627E2">
      <w:pPr>
        <w:rPr>
          <w:noProof/>
        </w:rPr>
      </w:pPr>
      <w:r w:rsidRPr="00AC4C98">
        <w:rPr>
          <w:noProof/>
        </w:rPr>
        <w:t>kadangi:</w:t>
      </w:r>
    </w:p>
    <w:p w14:paraId="0DA6B448" w14:textId="3666C604" w:rsidR="00A2647E" w:rsidRPr="00AC4C98" w:rsidRDefault="0018011B" w:rsidP="00D627E2">
      <w:pPr>
        <w:pStyle w:val="ManualConsidrant"/>
        <w:rPr>
          <w:noProof/>
        </w:rPr>
      </w:pPr>
      <w:r w:rsidRPr="00AC4C98">
        <w:rPr>
          <w:noProof/>
        </w:rPr>
        <w:t>(1)</w:t>
      </w:r>
      <w:r w:rsidRPr="00AC4C98">
        <w:rPr>
          <w:noProof/>
        </w:rPr>
        <w:tab/>
      </w:r>
      <w:r w:rsidRPr="00AC4C98">
        <w:rPr>
          <w:rStyle w:val="normaltextrun"/>
          <w:noProof/>
        </w:rPr>
        <w:t>Europos Parlamento ir Tarybos reglamentu (ES) 2024/...</w:t>
      </w:r>
      <w:r w:rsidR="008E0A50" w:rsidRPr="00AC4C98">
        <w:rPr>
          <w:rStyle w:val="FootnoteReference"/>
          <w:noProof/>
        </w:rPr>
        <w:footnoteReference w:id="7"/>
      </w:r>
      <w:r w:rsidRPr="00AC4C98">
        <w:rPr>
          <w:rStyle w:val="normaltextrun"/>
          <w:noProof/>
        </w:rPr>
        <w:t>, kuriuo nustatomos suderintos dirbtinio intelekto taisyklės (toliau – Dirbtinio intelekto aktas), siekiama</w:t>
      </w:r>
      <w:r w:rsidRPr="00AC4C98">
        <w:rPr>
          <w:noProof/>
        </w:rPr>
        <w:t xml:space="preserve"> pagerinti vidaus rinkos veikimą nustatant vienodą teisinę sistemą, kuria visų pirma reglamentuojamas dirbtinio intelekto kūrimas, pateikimas rinkai ir naudojimas paisant Sąjungos vertybių; </w:t>
      </w:r>
    </w:p>
    <w:p w14:paraId="4F5EF7E3" w14:textId="3D0F2163" w:rsidR="00980053" w:rsidRPr="00AC4C98" w:rsidRDefault="00980053" w:rsidP="00D627E2">
      <w:pPr>
        <w:pStyle w:val="ManualConsidrant"/>
        <w:rPr>
          <w:noProof/>
        </w:rPr>
      </w:pPr>
      <w:r w:rsidRPr="00AC4C98">
        <w:rPr>
          <w:noProof/>
        </w:rPr>
        <w:t>(2)</w:t>
      </w:r>
      <w:r w:rsidRPr="00AC4C98">
        <w:rPr>
          <w:noProof/>
        </w:rPr>
        <w:tab/>
        <w:t>nuo 2021 m., kai buvo priimtas Tarybos reglamentas (ES) 2021/1173</w:t>
      </w:r>
      <w:r w:rsidR="00CA1C0E" w:rsidRPr="00AC4C98">
        <w:rPr>
          <w:rStyle w:val="FootnoteReference"/>
          <w:noProof/>
        </w:rPr>
        <w:footnoteReference w:id="8"/>
      </w:r>
      <w:r w:rsidRPr="00AC4C98">
        <w:rPr>
          <w:noProof/>
        </w:rPr>
        <w:t>, dirbtinio intelekto (DI) srityje padaryta didžiulė techninė pažanga ir ši sritis visame pasaulyje tapo strategiškai itin svarbia varžybų arena. Sąjunga rodo pavyzdį, kaip remti atsakingas su patikimu DI susijusias inovacijas, kartu nustatant apsaugines priemones ir sukuriant veiksmingą valdymo sistemą;</w:t>
      </w:r>
    </w:p>
    <w:p w14:paraId="09588F1E" w14:textId="0B2BBB88" w:rsidR="006D21BD" w:rsidRPr="00AC4C98" w:rsidRDefault="00452298" w:rsidP="00D627E2">
      <w:pPr>
        <w:pStyle w:val="ManualConsidrant"/>
        <w:rPr>
          <w:rStyle w:val="eop"/>
          <w:noProof/>
        </w:rPr>
      </w:pPr>
      <w:r w:rsidRPr="00AC4C98">
        <w:rPr>
          <w:noProof/>
        </w:rPr>
        <w:t>(3)</w:t>
      </w:r>
      <w:r w:rsidRPr="00AC4C98">
        <w:rPr>
          <w:noProof/>
        </w:rPr>
        <w:tab/>
      </w:r>
      <w:r w:rsidRPr="00AC4C98">
        <w:rPr>
          <w:rStyle w:val="normaltextrun"/>
          <w:noProof/>
        </w:rPr>
        <w:t>2023 m. rugsėjo 13 d. Komisija paskelbė apie vieną iš visapusiškos strategijos, skirtos atsakingoms DI srities inovacijoms remti, dalių – naują strateginę iniciatyvą, kurios tikslas – suteikti novatoriškiems patikimą DI kuriantiems Europos startuoliams galimybę naudotis Sąjungos našiosios kompiuterijos pajėgumais savo modeliams mokyti. Ši iniciatyva papildo darbą, susijusį su DI taikytinų apsauginių priemonių nustatymu Reglamente (ES) 2024/…, valdymo struktūrų sukūrimu ir inovacijų rėmimu pagal Suderintą dirbtinio intelekto planą; </w:t>
      </w:r>
      <w:r w:rsidRPr="00AC4C98">
        <w:rPr>
          <w:rStyle w:val="eop"/>
          <w:noProof/>
        </w:rPr>
        <w:t> </w:t>
      </w:r>
    </w:p>
    <w:p w14:paraId="25772899" w14:textId="211734AD" w:rsidR="00DB17F9" w:rsidRPr="00AC4C98" w:rsidRDefault="00E22099" w:rsidP="00D627E2">
      <w:pPr>
        <w:pStyle w:val="ManualConsidrant"/>
        <w:rPr>
          <w:noProof/>
        </w:rPr>
      </w:pPr>
      <w:r w:rsidRPr="00AC4C98">
        <w:rPr>
          <w:noProof/>
        </w:rPr>
        <w:t>(4)</w:t>
      </w:r>
      <w:r w:rsidRPr="00AC4C98">
        <w:rPr>
          <w:noProof/>
        </w:rPr>
        <w:tab/>
        <w:t xml:space="preserve">kadangi didžiausiais Sąjungoje pasaulinio lygio superkompiuterijos pajėgumais pasižymi Europos našiosios kompiuterijos bendrosios įmonės (toliau – Bendroji įmonė) infrastruktūra, būtent ja turėtų būti leista naudotis siekiant įgyvendinti Komisijos iniciatyvą. Todėl prie šešių esamų Bendrosios įmonės tikslų reikia pridėti dar vieną, susijusį su jos superkompiuterių indėliu į naująją Sąjungos DI iniciatyvą; </w:t>
      </w:r>
    </w:p>
    <w:p w14:paraId="16E89A33" w14:textId="75026A94" w:rsidR="00C53614" w:rsidRPr="00AC4C98" w:rsidRDefault="007123C6" w:rsidP="00D627E2">
      <w:pPr>
        <w:pStyle w:val="ManualConsidrant"/>
        <w:rPr>
          <w:noProof/>
        </w:rPr>
      </w:pPr>
      <w:r w:rsidRPr="00AC4C98">
        <w:rPr>
          <w:noProof/>
        </w:rPr>
        <w:t>(5)</w:t>
      </w:r>
      <w:r w:rsidRPr="00AC4C98">
        <w:rPr>
          <w:noProof/>
        </w:rPr>
        <w:tab/>
        <w:t xml:space="preserve">nustačius naująjį tikslą, Bendroji įmonė galėtų vykdyti veiklą, susijusią su DI skirtų superkompiuterių arba superkompiuterių skaidinių, sudarančių sąlygas sparčiam mašininiam didžiųjų bazinių DI modelių mokymuisi ir mokymui, įsigijimu ir teikimu eksploatuoti. Bendrajai įmonei taip pat turėtų būti leista sukurti naują DI startuoliams ir platesnei DI srityje veikiančiai mokslo bendruomenei skirtą prieigos prie jos kompiuterijos išteklių režimą ir kurti specialias DI taikmenas, optimaliai pritaikytas prie jos superkompiuterių. Šie pakeitimai suteiktų Bendrajai įmonei galimybę siūlyti tokią kompiuterių galią ir paslaugas, kokių reikia norint sudaryti palankias sąlygas Sąjungoje dideliu mastu mokyti, kurti ir diegti DI (pagal dabartinį reglamentą ji to daryti negali); </w:t>
      </w:r>
    </w:p>
    <w:p w14:paraId="7F6C8E8B" w14:textId="695C1DD4" w:rsidR="00A2647E" w:rsidRPr="00AC4C98" w:rsidRDefault="00A2647E" w:rsidP="00D627E2">
      <w:pPr>
        <w:pStyle w:val="ManualConsidrant"/>
        <w:rPr>
          <w:noProof/>
        </w:rPr>
      </w:pPr>
      <w:r w:rsidRPr="00AC4C98">
        <w:rPr>
          <w:noProof/>
        </w:rPr>
        <w:t>(6)</w:t>
      </w:r>
      <w:r w:rsidRPr="00AC4C98">
        <w:rPr>
          <w:noProof/>
        </w:rPr>
        <w:tab/>
        <w:t xml:space="preserve">siekiant suderinti šio reglamento taikymo pradžios datą su </w:t>
      </w:r>
      <w:r w:rsidRPr="00AC4C98">
        <w:rPr>
          <w:rStyle w:val="normaltextrun"/>
          <w:noProof/>
        </w:rPr>
        <w:t>Europos Parlamento ir Tarybos reglamento (ES) 2024/..., kuriuo nustatomos suderintos dirbtinio intelekto taisyklės</w:t>
      </w:r>
      <w:r w:rsidRPr="00AC4C98">
        <w:rPr>
          <w:noProof/>
        </w:rPr>
        <w:t>, nuostatų taikymo pradžios data, jis turėtų būti pradėtas taikyti nepagrįstai nedelsiant;</w:t>
      </w:r>
    </w:p>
    <w:p w14:paraId="02A56F33" w14:textId="0DF12D2E" w:rsidR="001573D0" w:rsidRPr="00AC4C98" w:rsidRDefault="00A2647E" w:rsidP="00D627E2">
      <w:pPr>
        <w:pStyle w:val="ManualConsidrant"/>
        <w:rPr>
          <w:noProof/>
        </w:rPr>
      </w:pPr>
      <w:r w:rsidRPr="00AC4C98">
        <w:rPr>
          <w:noProof/>
        </w:rPr>
        <w:t>(7)</w:t>
      </w:r>
      <w:r w:rsidRPr="00AC4C98">
        <w:rPr>
          <w:noProof/>
        </w:rPr>
        <w:tab/>
        <w:t>todėl Reglamentas (ES) 2021/1173 turėtų būti atitinkamai iš dalies pakeistas,</w:t>
      </w:r>
    </w:p>
    <w:p w14:paraId="1FA79F04" w14:textId="77777777" w:rsidR="00A2647E" w:rsidRPr="00AC4C98" w:rsidRDefault="00A2647E" w:rsidP="00D627E2">
      <w:pPr>
        <w:pStyle w:val="Formuledadoption"/>
        <w:rPr>
          <w:noProof/>
        </w:rPr>
      </w:pPr>
      <w:r w:rsidRPr="00AC4C98">
        <w:rPr>
          <w:noProof/>
        </w:rPr>
        <w:t>PRIĖMĖ ŠĮ REGLAMENTĄ:</w:t>
      </w:r>
    </w:p>
    <w:p w14:paraId="7C8C2BBA" w14:textId="77777777" w:rsidR="003B73A5" w:rsidRPr="00AC4C98" w:rsidRDefault="003B73A5" w:rsidP="00D627E2">
      <w:pPr>
        <w:pStyle w:val="Titrearticle"/>
        <w:rPr>
          <w:noProof/>
        </w:rPr>
      </w:pPr>
      <w:r w:rsidRPr="00AC4C98">
        <w:rPr>
          <w:noProof/>
        </w:rPr>
        <w:t>1 straipsnis</w:t>
      </w:r>
    </w:p>
    <w:p w14:paraId="28767628" w14:textId="785EE50C" w:rsidR="00A93C71" w:rsidRPr="00AC4C98" w:rsidRDefault="3D110B81" w:rsidP="00D627E2">
      <w:pPr>
        <w:rPr>
          <w:noProof/>
        </w:rPr>
      </w:pPr>
      <w:r w:rsidRPr="00AC4C98">
        <w:rPr>
          <w:noProof/>
        </w:rPr>
        <w:t xml:space="preserve">Reglamentas (ES) 2021/1173 iš dalies keičiamas taip: </w:t>
      </w:r>
    </w:p>
    <w:p w14:paraId="639FB279" w14:textId="77777777" w:rsidR="00A0358B" w:rsidRPr="00AC4C98" w:rsidRDefault="00A0358B" w:rsidP="00D627E2">
      <w:pPr>
        <w:pStyle w:val="ListParagraph"/>
        <w:ind w:left="1080"/>
        <w:rPr>
          <w:noProof/>
        </w:rPr>
      </w:pPr>
    </w:p>
    <w:p w14:paraId="008EB2EA" w14:textId="77777777" w:rsidR="00C306C8" w:rsidRPr="00AC4C98" w:rsidRDefault="00257FBA" w:rsidP="00D627E2">
      <w:pPr>
        <w:pStyle w:val="Point0"/>
        <w:rPr>
          <w:noProof/>
        </w:rPr>
      </w:pPr>
      <w:r w:rsidRPr="00AC4C98">
        <w:rPr>
          <w:noProof/>
        </w:rPr>
        <w:t>1)</w:t>
      </w:r>
      <w:r w:rsidRPr="00AC4C98">
        <w:rPr>
          <w:noProof/>
        </w:rPr>
        <w:tab/>
        <w:t>2 straipsnis iš dalies keičiamas taip:</w:t>
      </w:r>
    </w:p>
    <w:p w14:paraId="7D725E25" w14:textId="50BAB0C4" w:rsidR="00C306C8" w:rsidRPr="00AC4C98" w:rsidRDefault="00C306C8" w:rsidP="00D627E2">
      <w:pPr>
        <w:pStyle w:val="Point0"/>
        <w:rPr>
          <w:noProof/>
        </w:rPr>
      </w:pPr>
      <w:r w:rsidRPr="00AC4C98">
        <w:rPr>
          <w:noProof/>
        </w:rPr>
        <w:t>a)</w:t>
      </w:r>
      <w:r w:rsidRPr="00AC4C98">
        <w:rPr>
          <w:noProof/>
        </w:rPr>
        <w:tab/>
        <w:t>įterpiami 3a ir 3b punktai:</w:t>
      </w:r>
    </w:p>
    <w:p w14:paraId="2792B8EA" w14:textId="3F2A4D1D" w:rsidR="00113505" w:rsidRPr="00AC4C98" w:rsidRDefault="00E419D3" w:rsidP="00D627E2">
      <w:pPr>
        <w:pStyle w:val="ListParagraph"/>
        <w:rPr>
          <w:noProof/>
        </w:rPr>
      </w:pPr>
      <w:r w:rsidRPr="00AC4C98">
        <w:rPr>
          <w:noProof/>
        </w:rPr>
        <w:t>„3b. dirbtiniam intelektui skirtas superkompiuteris – superkompiuteris, visų pirma skirtas dideliems bendrosios paskirties dirbtinio intelekto modeliams mokyti ir naujoms dirbtinio intelekto taikmenoms;</w:t>
      </w:r>
    </w:p>
    <w:p w14:paraId="42ACA3E7" w14:textId="3F30E70C" w:rsidR="007F2E42" w:rsidRPr="00AC4C98" w:rsidRDefault="00A2459F" w:rsidP="00D627E2">
      <w:pPr>
        <w:pStyle w:val="ListParagraph"/>
        <w:rPr>
          <w:noProof/>
        </w:rPr>
      </w:pPr>
      <w:r w:rsidRPr="00AC4C98">
        <w:rPr>
          <w:noProof/>
        </w:rPr>
        <w:t>3c. dirbtinio intelekto fabrikas – subjektas, teikiantis centralizuotą arba paskirstytąją dirbtiniam intelektui skirtų superkompiuterijos paslaugų infrastruktūrą, kurią sudaro dirbtiniam intelektui skirtas superkompiuteris arba dirbtiniam intelektui skirtas superkompiuterio skaidinys, susijęs duomenų centras, speciali prieiga ir į dirbtinį intelektą orientuotos superkompiuterijos paslaugos, ir siekiantis pritraukti ir telkti specialistus, kad būtų užtikrinta kompetencija, reikalinga norint naudoti superkompiuterius dirbtinio intelekto reikmėms;“;</w:t>
      </w:r>
    </w:p>
    <w:p w14:paraId="7418B2A7" w14:textId="77777777" w:rsidR="007F2E42" w:rsidRPr="00AC4C98" w:rsidRDefault="007F2E42" w:rsidP="00D627E2">
      <w:pPr>
        <w:pStyle w:val="Point0"/>
        <w:rPr>
          <w:noProof/>
        </w:rPr>
      </w:pPr>
      <w:r w:rsidRPr="00AC4C98">
        <w:rPr>
          <w:noProof/>
        </w:rPr>
        <w:t>b)</w:t>
      </w:r>
      <w:r w:rsidRPr="00AC4C98">
        <w:rPr>
          <w:noProof/>
        </w:rPr>
        <w:tab/>
        <w:t>9 punktas pakeičiamas taip:</w:t>
      </w:r>
    </w:p>
    <w:p w14:paraId="728A936C" w14:textId="2EC14EC4" w:rsidR="007F2E42" w:rsidRPr="00AC4C98" w:rsidRDefault="00835644" w:rsidP="00D627E2">
      <w:pPr>
        <w:pStyle w:val="ListParagraph"/>
        <w:rPr>
          <w:noProof/>
        </w:rPr>
      </w:pPr>
      <w:r w:rsidRPr="00AC4C98">
        <w:rPr>
          <w:noProof/>
        </w:rPr>
        <w:t>„9. „EuroHPC“ superkompiuteris – kompiuterijos sistema, visiškai nuosavybės teise priklausanti Bendrajai įmonei arba Bendrajai įmonei kartu su kitomis dalyvaujančiomis valstybėmis ar privačių partnerių konsorciumu; jis gali būti klasikinis superkompiuteris (aukščiausios klasės superkompiuteris, pramoninis superkompiuteris, dirbtiniam intelektui skirtas superkompiuteris arba vidutinės klasės superkompiuteris), hibridinis klasikinis-kvantinis kompiuteris, kvantinis kompiuteris arba kvantinis simuliatorius;“.</w:t>
      </w:r>
    </w:p>
    <w:p w14:paraId="49467FA9" w14:textId="77777777" w:rsidR="00BB6894" w:rsidRPr="00AC4C98" w:rsidRDefault="00BB6894" w:rsidP="00D627E2">
      <w:pPr>
        <w:pStyle w:val="ListParagraph"/>
        <w:rPr>
          <w:noProof/>
        </w:rPr>
      </w:pPr>
    </w:p>
    <w:p w14:paraId="309C3FC0" w14:textId="5D95F1B4" w:rsidR="00F174D0" w:rsidRPr="00AC4C98" w:rsidRDefault="00C71E77" w:rsidP="00D627E2">
      <w:pPr>
        <w:pStyle w:val="Point0"/>
        <w:rPr>
          <w:noProof/>
        </w:rPr>
      </w:pPr>
      <w:r w:rsidRPr="00AC4C98">
        <w:rPr>
          <w:noProof/>
        </w:rPr>
        <w:t>2)</w:t>
      </w:r>
      <w:r w:rsidRPr="00AC4C98">
        <w:rPr>
          <w:noProof/>
        </w:rPr>
        <w:tab/>
        <w:t>3 straipsnio 2 dalis papildoma h punktu:</w:t>
      </w:r>
    </w:p>
    <w:p w14:paraId="75467BEB" w14:textId="61B6E460" w:rsidR="00835644" w:rsidRPr="00AC4C98" w:rsidRDefault="00F62D34" w:rsidP="00D627E2">
      <w:pPr>
        <w:pStyle w:val="Point1"/>
        <w:spacing w:before="0"/>
        <w:rPr>
          <w:noProof/>
        </w:rPr>
      </w:pPr>
      <w:r w:rsidRPr="00AC4C98">
        <w:rPr>
          <w:noProof/>
        </w:rPr>
        <w:t xml:space="preserve">„h) </w:t>
      </w:r>
      <w:r w:rsidRPr="00AC4C98">
        <w:rPr>
          <w:noProof/>
        </w:rPr>
        <w:tab/>
        <w:t>kurti ir valdyti dirbtinio intelekto fabrikus, padedančius Sąjungoje toliau plėtoti itin konkurencingą ir novatorišką dirbtinio intelekto ekosistemą.“</w:t>
      </w:r>
    </w:p>
    <w:p w14:paraId="03C8C03E" w14:textId="5CA52E56" w:rsidR="00BB6894" w:rsidRPr="00AC4C98" w:rsidRDefault="001528B0" w:rsidP="00D627E2">
      <w:pPr>
        <w:pStyle w:val="Point0"/>
        <w:rPr>
          <w:noProof/>
        </w:rPr>
      </w:pPr>
      <w:r w:rsidRPr="00AC4C98">
        <w:rPr>
          <w:noProof/>
        </w:rPr>
        <w:t>3)</w:t>
      </w:r>
      <w:r w:rsidRPr="00AC4C98">
        <w:rPr>
          <w:noProof/>
        </w:rPr>
        <w:tab/>
        <w:t>4 straipsnio 1 dalis papildoma h punktu:</w:t>
      </w:r>
    </w:p>
    <w:p w14:paraId="4783BE60" w14:textId="47EF88A9" w:rsidR="00835644" w:rsidRPr="00AC4C98" w:rsidRDefault="00BE7181" w:rsidP="00D627E2">
      <w:pPr>
        <w:pStyle w:val="Point1"/>
        <w:rPr>
          <w:noProof/>
        </w:rPr>
      </w:pPr>
      <w:r w:rsidRPr="00AC4C98">
        <w:rPr>
          <w:noProof/>
        </w:rPr>
        <w:t>„h) dirbtinio intelekto fabrikų ramsčiu, skirtu patikimam ir etiškam dirbtiniam intelektui ir aprėpiančiu veiklą, kurios tikslas – teikti į dirbtinį intelektą orientuotų superkompiuterijos paslaugų infrastruktūrą siekiant toliau plėtoti dirbtinio intelekto ekosistemos inovacinius pajėgumus ir įgūdžius; tai apima veiklą, kuria siekiama:</w:t>
      </w:r>
    </w:p>
    <w:p w14:paraId="242B3707" w14:textId="4B5A990E" w:rsidR="00835644" w:rsidRPr="00AC4C98" w:rsidRDefault="00835644" w:rsidP="00D627E2">
      <w:pPr>
        <w:pStyle w:val="Point2"/>
        <w:spacing w:before="0"/>
        <w:rPr>
          <w:noProof/>
        </w:rPr>
      </w:pPr>
      <w:r w:rsidRPr="00AC4C98">
        <w:rPr>
          <w:noProof/>
        </w:rPr>
        <w:t>i)</w:t>
      </w:r>
      <w:r w:rsidRPr="00AC4C98">
        <w:rPr>
          <w:noProof/>
        </w:rPr>
        <w:tab/>
        <w:t>įsigyti ir teikti eksploatuoti dirbtiniam intelektui skirtus superkompiuterius, šalia kurių yra įrengti dideli duomenų centrai arba kurie yra itin didelės spartos tinklais sujungti su duomenų centrais;</w:t>
      </w:r>
    </w:p>
    <w:p w14:paraId="28EACC54" w14:textId="77777777" w:rsidR="00835644" w:rsidRPr="00AC4C98" w:rsidRDefault="00835644" w:rsidP="00D627E2">
      <w:pPr>
        <w:pStyle w:val="Point2"/>
        <w:spacing w:before="0"/>
        <w:rPr>
          <w:noProof/>
        </w:rPr>
      </w:pPr>
      <w:r w:rsidRPr="00AC4C98">
        <w:rPr>
          <w:noProof/>
        </w:rPr>
        <w:t>ii)</w:t>
      </w:r>
      <w:r w:rsidRPr="00AC4C98">
        <w:rPr>
          <w:noProof/>
        </w:rPr>
        <w:tab/>
        <w:t>modernizuoti esamus „EuroHPC“ superkompiuterius įdiegiant darbo su dirbtiniu intelektu pajėgumus;</w:t>
      </w:r>
    </w:p>
    <w:p w14:paraId="52AD829D" w14:textId="78BF9F7B" w:rsidR="00835644" w:rsidRPr="00AC4C98" w:rsidRDefault="00835644" w:rsidP="00D627E2">
      <w:pPr>
        <w:pStyle w:val="Point2"/>
        <w:spacing w:before="0"/>
        <w:rPr>
          <w:noProof/>
        </w:rPr>
      </w:pPr>
      <w:r w:rsidRPr="00AC4C98">
        <w:rPr>
          <w:noProof/>
        </w:rPr>
        <w:t>iii)</w:t>
      </w:r>
      <w:r w:rsidRPr="00AC4C98">
        <w:rPr>
          <w:noProof/>
        </w:rPr>
        <w:tab/>
        <w:t xml:space="preserve">teikti prieigą prie dirbtiniam intelektui skirtų superkompiuterių arba prie „EuroHPC“ superkompiuterių, modernizuotų įdiegiant darbo su dirbtiniu intelektu pajėgumus, ir plėsti šių superkompiuterių naudotojų ratą, kad jis apimtų daugybę viešųjų ir privačiųjų naudotojų, įskaitant startuolius ir mažąsias bei vidutines įmones; </w:t>
      </w:r>
    </w:p>
    <w:p w14:paraId="40A1906A" w14:textId="6A562B4A" w:rsidR="00657635" w:rsidRPr="00AC4C98" w:rsidRDefault="00835644" w:rsidP="00D627E2">
      <w:pPr>
        <w:pStyle w:val="Point2"/>
        <w:spacing w:before="0"/>
        <w:rPr>
          <w:noProof/>
        </w:rPr>
      </w:pPr>
      <w:r w:rsidRPr="00AC4C98">
        <w:rPr>
          <w:noProof/>
        </w:rPr>
        <w:t>iv)</w:t>
      </w:r>
      <w:r w:rsidRPr="00AC4C98">
        <w:rPr>
          <w:noProof/>
        </w:rPr>
        <w:tab/>
        <w:t xml:space="preserve">valdyti dirbtinio intelekto startuolių ir mokslinių tyrimų bei inovacijų ekosistemai aktualių centralizuotų arba paskirstytųjų į dirbtinį intelektą orientuotų superkompiuterijos paslaugų centrus, teikiančius su algoritmais susijusią paramą ir padedančius toliau kurti, mokyti, bandyti, vertinti ir validuoti dirbtinio intelekto modelius ir sistemas, taip pat kurti naujas didelio masto tokių strateginių sričių kaip sveikata ir priežiūra, klimato kaita, robotika ar susietasis ir automatizuotas vairavimas, dirbtinio intelekto taikmenas; </w:t>
      </w:r>
    </w:p>
    <w:p w14:paraId="7E9E3245" w14:textId="4B37D939" w:rsidR="00657635" w:rsidRPr="00AC4C98" w:rsidRDefault="00657635" w:rsidP="00D627E2">
      <w:pPr>
        <w:pStyle w:val="Point2"/>
        <w:spacing w:before="0"/>
        <w:rPr>
          <w:noProof/>
        </w:rPr>
      </w:pPr>
      <w:r w:rsidRPr="00AC4C98">
        <w:rPr>
          <w:noProof/>
        </w:rPr>
        <w:t>v)</w:t>
      </w:r>
      <w:r w:rsidRPr="00AC4C98">
        <w:rPr>
          <w:noProof/>
        </w:rPr>
        <w:tab/>
        <w:t xml:space="preserve">teikti superkompiuteriams tinkamas programavimo priemones, įskaitant dirbtinio intelekto taikmenų lygiagretinimo priemones, padedančias optimizuoti superkompiuterių pajėgumų naudojimą; </w:t>
      </w:r>
    </w:p>
    <w:p w14:paraId="6578A18A" w14:textId="5990A8B3" w:rsidR="00835644" w:rsidRPr="00AC4C98" w:rsidRDefault="00657635" w:rsidP="00D627E2">
      <w:pPr>
        <w:pStyle w:val="Point2"/>
        <w:spacing w:before="0"/>
        <w:rPr>
          <w:noProof/>
        </w:rPr>
      </w:pPr>
      <w:r w:rsidRPr="00AC4C98">
        <w:rPr>
          <w:noProof/>
        </w:rPr>
        <w:t>vi)</w:t>
      </w:r>
      <w:r w:rsidRPr="00AC4C98">
        <w:rPr>
          <w:noProof/>
        </w:rPr>
        <w:tab/>
        <w:t>teikti kitas dirbtiniam intelektui reikalingas superkompiuterijos paslaugas;</w:t>
      </w:r>
    </w:p>
    <w:p w14:paraId="4F785704" w14:textId="1DA4AE34" w:rsidR="009B41DF" w:rsidRPr="00AC4C98" w:rsidRDefault="004F1554" w:rsidP="00D627E2">
      <w:pPr>
        <w:pStyle w:val="Point2"/>
        <w:spacing w:before="0"/>
        <w:rPr>
          <w:noProof/>
          <w:color w:val="000000" w:themeColor="text1"/>
        </w:rPr>
      </w:pPr>
      <w:r w:rsidRPr="00AC4C98">
        <w:rPr>
          <w:noProof/>
        </w:rPr>
        <w:t>vii) pritraukti, telkti ir mokyti specialistus siekiant ugdyti jų kompetenciją ir įgūdžius, susijusius su „EuroHPC“ superkompiuterių naudojimu dirbtinio intelekto reikmėms</w:t>
      </w:r>
      <w:r w:rsidRPr="00AC4C98">
        <w:rPr>
          <w:noProof/>
          <w:color w:val="000000" w:themeColor="text1"/>
        </w:rPr>
        <w:t>;</w:t>
      </w:r>
    </w:p>
    <w:p w14:paraId="234F393E" w14:textId="06C7AE99" w:rsidR="00782DB3" w:rsidRPr="00AC4C98" w:rsidRDefault="004E2173" w:rsidP="00D627E2">
      <w:pPr>
        <w:pStyle w:val="Point2"/>
        <w:spacing w:before="0"/>
        <w:rPr>
          <w:noProof/>
        </w:rPr>
      </w:pPr>
      <w:r w:rsidRPr="00AC4C98">
        <w:rPr>
          <w:noProof/>
          <w:color w:val="000000" w:themeColor="text1"/>
        </w:rPr>
        <w:t>viii)</w:t>
      </w:r>
      <w:r w:rsidRPr="00AC4C98">
        <w:rPr>
          <w:noProof/>
        </w:rPr>
        <w:t xml:space="preserve"> palaikyti ryšius su kitais dirbtinio intelekto fabrikais, užtikrinti, kad jų paslaugomis būtų galima naudotis visoje Europoje, ir bendradarbiauti su „EuroHPC“ kompetencijos centrais bei pavyzdiniais centrais ir su subjektais, įgyvendinančiais kitas atitinkamas Sąjungos dirbtinio intelekto iniciatyvas, tokias kaip dirbtinio intelekto startuolių centrai, dirbtinio intelekto ir duomenų ekosistemos, dirbtinio intelekto bandymų ir eksperimentavimo priemonės, Europos centrinė dirbtinio intelekto platforma, į dirbtinį intelektą orientuoti skaitmeninių inovacijų centrai, su dirbtiniu intelektu susijusios Europos inovacijos ir technologijos instituto žinių ir inovacijos bendrijos, atitinkami Europos mokslinių tyrimų infrastruktūros objektai ir kitos susijusios iniciatyvos.“</w:t>
      </w:r>
    </w:p>
    <w:p w14:paraId="2F8D190E" w14:textId="1649BE66" w:rsidR="00835644" w:rsidRPr="00AC4C98" w:rsidRDefault="008E1F03" w:rsidP="00D627E2">
      <w:pPr>
        <w:pStyle w:val="Point0"/>
        <w:rPr>
          <w:noProof/>
        </w:rPr>
      </w:pPr>
      <w:r w:rsidRPr="00AC4C98">
        <w:rPr>
          <w:noProof/>
        </w:rPr>
        <w:t>4)</w:t>
      </w:r>
      <w:r w:rsidRPr="00AC4C98">
        <w:rPr>
          <w:noProof/>
        </w:rPr>
        <w:tab/>
        <w:t xml:space="preserve">9 straipsnio 5 dalis papildoma g punktu: </w:t>
      </w:r>
    </w:p>
    <w:p w14:paraId="5306F5DE" w14:textId="2C8C9232" w:rsidR="00C444A5" w:rsidRPr="00AC4C98" w:rsidRDefault="00C444A5" w:rsidP="00D627E2">
      <w:pPr>
        <w:pStyle w:val="Point1"/>
        <w:rPr>
          <w:noProof/>
        </w:rPr>
      </w:pPr>
      <w:r w:rsidRPr="00AC4C98">
        <w:rPr>
          <w:noProof/>
        </w:rPr>
        <w:t>„g) dirbtiniam intelektui skirtų superkompiuterių atveju prieglobą teikiantiems subjektams taikomi šie papildomi atrankos kriterijai:</w:t>
      </w:r>
    </w:p>
    <w:p w14:paraId="4D131FF0" w14:textId="77777777" w:rsidR="00C444A5" w:rsidRPr="00AC4C98" w:rsidRDefault="00C444A5" w:rsidP="00D627E2">
      <w:pPr>
        <w:pStyle w:val="Point1"/>
        <w:tabs>
          <w:tab w:val="left" w:pos="1843"/>
        </w:tabs>
        <w:spacing w:before="0"/>
        <w:ind w:left="1418" w:firstLine="0"/>
        <w:rPr>
          <w:noProof/>
        </w:rPr>
      </w:pPr>
      <w:r w:rsidRPr="00AC4C98">
        <w:rPr>
          <w:noProof/>
        </w:rPr>
        <w:t>i)</w:t>
      </w:r>
      <w:r w:rsidRPr="00AC4C98">
        <w:rPr>
          <w:noProof/>
        </w:rPr>
        <w:tab/>
        <w:t>įrengto duomenų centro artumas;</w:t>
      </w:r>
    </w:p>
    <w:p w14:paraId="71BD0F4E" w14:textId="3581C899" w:rsidR="00C444A5" w:rsidRPr="00AC4C98" w:rsidRDefault="00C444A5" w:rsidP="00D627E2">
      <w:pPr>
        <w:pStyle w:val="Point1"/>
        <w:tabs>
          <w:tab w:val="left" w:pos="1843"/>
        </w:tabs>
        <w:spacing w:before="0"/>
        <w:ind w:left="1843" w:hanging="425"/>
        <w:rPr>
          <w:noProof/>
        </w:rPr>
      </w:pPr>
      <w:r w:rsidRPr="00AC4C98">
        <w:rPr>
          <w:noProof/>
        </w:rPr>
        <w:t>ii)</w:t>
      </w:r>
      <w:r w:rsidRPr="00AC4C98">
        <w:rPr>
          <w:noProof/>
        </w:rPr>
        <w:tab/>
        <w:t>prieglobą teikiančio subjekto vizija, planai ir pajėgumai, susiję su dirbtinio intelekto startuolių ir mokslinių tyrimų bei inovacijų ekosistemai ir dirbtinio intelekto naudotojų bendruomenei kylančių uždavinių sprendimu ir su pagalbinių centralizuotų arba paskirstytųjų į dirbtinį intelektą orientuotų superkompiuterijos paslaugų teikimu;</w:t>
      </w:r>
    </w:p>
    <w:p w14:paraId="7D010A5C" w14:textId="236AD76A" w:rsidR="00C444A5" w:rsidRPr="00AC4C98" w:rsidRDefault="00C444A5" w:rsidP="00D627E2">
      <w:pPr>
        <w:pStyle w:val="Point1"/>
        <w:tabs>
          <w:tab w:val="left" w:pos="1843"/>
        </w:tabs>
        <w:spacing w:before="0"/>
        <w:ind w:left="1843" w:hanging="425"/>
        <w:rPr>
          <w:noProof/>
        </w:rPr>
      </w:pPr>
      <w:r w:rsidRPr="00AC4C98">
        <w:rPr>
          <w:noProof/>
        </w:rPr>
        <w:t>iii)</w:t>
      </w:r>
      <w:r w:rsidRPr="00AC4C98">
        <w:rPr>
          <w:noProof/>
        </w:rPr>
        <w:tab/>
        <w:t>numatomos darbuotojų grupės, kuri būtų atsakinga už pagalbinių į dirbtinį intelektą orientuotų superkompiuterijos paslaugų aplinką, turimos patirties ir praktinių žinių kokybė ir aktualumas;</w:t>
      </w:r>
    </w:p>
    <w:p w14:paraId="2BF76256" w14:textId="4EF96515" w:rsidR="004F1554" w:rsidRPr="00AC4C98" w:rsidRDefault="00C444A5" w:rsidP="00D627E2">
      <w:pPr>
        <w:pStyle w:val="Point1"/>
        <w:tabs>
          <w:tab w:val="left" w:pos="1843"/>
        </w:tabs>
        <w:spacing w:before="0"/>
        <w:ind w:left="1843" w:hanging="425"/>
        <w:rPr>
          <w:noProof/>
        </w:rPr>
      </w:pPr>
      <w:r w:rsidRPr="00AC4C98">
        <w:rPr>
          <w:noProof/>
        </w:rPr>
        <w:t>iv) planai palaikyti ryšius ir bendradarbiauti su kitais dirbtinio intelekto fabrikais, „EuroHPC“ kompetencijos centrais, „EuroHPC“ pavyzdiniais centrais ir subjektais, įgyvendinančiais kitas atitinkamas dirbtinio intelekto iniciatyvas, tokias kaip dirbtinio intelekto startuolių centrai, dirbtinio intelekto ir duomenų ekosistemos, dirbtinio intelekto bandymų ir eksperimentavimo priemonės, Europos centrinė dirbtinio intelekto platforma, į dirbtinį intelektą orientuoti skaitmeninių inovacijų centrai ir kitos susijusios iniciatyvos;</w:t>
      </w:r>
    </w:p>
    <w:p w14:paraId="4C843AE8" w14:textId="28294FB6" w:rsidR="004E5105" w:rsidRPr="00AC4C98" w:rsidRDefault="004F1554" w:rsidP="00D627E2">
      <w:pPr>
        <w:pStyle w:val="Point1"/>
        <w:tabs>
          <w:tab w:val="left" w:pos="1843"/>
        </w:tabs>
        <w:spacing w:before="0"/>
        <w:ind w:left="1843" w:hanging="425"/>
        <w:rPr>
          <w:noProof/>
        </w:rPr>
      </w:pPr>
      <w:r w:rsidRPr="00AC4C98">
        <w:rPr>
          <w:noProof/>
        </w:rPr>
        <w:t>v) esami prieglobą teikiančio subjekto pajėgumai prisidėti prie specialistų bazės kūrimo ir su tuo susiję jo ateities planai.“</w:t>
      </w:r>
    </w:p>
    <w:p w14:paraId="4653865F" w14:textId="3D1A3B0B" w:rsidR="00F954CF" w:rsidRPr="00AC4C98" w:rsidRDefault="00F954CF" w:rsidP="00D627E2">
      <w:pPr>
        <w:pStyle w:val="Point0"/>
        <w:ind w:hanging="708"/>
        <w:rPr>
          <w:noProof/>
        </w:rPr>
      </w:pPr>
      <w:r w:rsidRPr="00AC4C98">
        <w:rPr>
          <w:noProof/>
        </w:rPr>
        <w:t>5)</w:t>
      </w:r>
      <w:r w:rsidRPr="00AC4C98">
        <w:rPr>
          <w:noProof/>
        </w:rPr>
        <w:tab/>
        <w:t>9 straipsnis papildomas 6a dalimi:</w:t>
      </w:r>
    </w:p>
    <w:p w14:paraId="3F0EC635" w14:textId="50A7A5C1" w:rsidR="00F954CF" w:rsidRPr="00AC4C98" w:rsidRDefault="00F954CF" w:rsidP="00D627E2">
      <w:pPr>
        <w:pStyle w:val="Point2"/>
        <w:ind w:left="1276" w:hanging="425"/>
        <w:rPr>
          <w:i/>
          <w:iCs/>
          <w:noProof/>
        </w:rPr>
      </w:pPr>
      <w:r w:rsidRPr="00AC4C98">
        <w:rPr>
          <w:noProof/>
        </w:rPr>
        <w:t>„6a. 12a straipsnyje nurodytų dirbtiniam intelektui skirtų superkompiuterių atveju prieglobą teikiantis subjektas sukuria startuoliams ir kitiems naudotojams skirtą vieną bendrą lengvesnės prieigos prie jo teikiamų pagalbinių paslaugų punktą.“</w:t>
      </w:r>
    </w:p>
    <w:p w14:paraId="0846E67A" w14:textId="53E3D38E" w:rsidR="00C444A5" w:rsidRPr="00AC4C98" w:rsidRDefault="003F77B9" w:rsidP="00D627E2">
      <w:pPr>
        <w:pStyle w:val="Point0"/>
        <w:rPr>
          <w:noProof/>
        </w:rPr>
      </w:pPr>
      <w:r w:rsidRPr="00AC4C98">
        <w:rPr>
          <w:noProof/>
        </w:rPr>
        <w:t>6)</w:t>
      </w:r>
      <w:r w:rsidRPr="00AC4C98">
        <w:rPr>
          <w:noProof/>
        </w:rPr>
        <w:tab/>
        <w:t>10 straipsnio 2 dalies l punktas pakeičiamas taip:</w:t>
      </w:r>
    </w:p>
    <w:p w14:paraId="23048AC6" w14:textId="06725F5E" w:rsidR="00096489" w:rsidRPr="00AC4C98" w:rsidRDefault="00C444A5" w:rsidP="00D627E2">
      <w:pPr>
        <w:pStyle w:val="Point2"/>
        <w:ind w:left="1276" w:hanging="425"/>
        <w:rPr>
          <w:i/>
          <w:iCs/>
          <w:noProof/>
        </w:rPr>
      </w:pPr>
      <w:r w:rsidRPr="00AC4C98">
        <w:rPr>
          <w:noProof/>
        </w:rPr>
        <w:t xml:space="preserve">„l) konkrečios sąlygos, taikomos, kai prieglobą teikiantis subjektas teikia eksploatuoti „EuroHPC“ superkompiuterį, skirtą pramoninėms reikmėms </w:t>
      </w:r>
      <w:r w:rsidRPr="00AC4C98">
        <w:rPr>
          <w:i/>
          <w:noProof/>
        </w:rPr>
        <w:t>arba dirbtiniam intelektui</w:t>
      </w:r>
      <w:r w:rsidRPr="00AC4C98">
        <w:rPr>
          <w:noProof/>
        </w:rPr>
        <w:t>.“</w:t>
      </w:r>
    </w:p>
    <w:p w14:paraId="12E7BAA1" w14:textId="07FDE7C8" w:rsidR="00556F7F" w:rsidRPr="00AC4C98" w:rsidRDefault="001715DD" w:rsidP="00D627E2">
      <w:pPr>
        <w:pStyle w:val="Point0"/>
        <w:rPr>
          <w:noProof/>
        </w:rPr>
      </w:pPr>
      <w:r w:rsidRPr="00AC4C98">
        <w:rPr>
          <w:noProof/>
        </w:rPr>
        <w:t>7)</w:t>
      </w:r>
      <w:r w:rsidRPr="00AC4C98">
        <w:rPr>
          <w:noProof/>
        </w:rPr>
        <w:tab/>
        <w:t>Įterpiamas 12a straipsnis:</w:t>
      </w:r>
    </w:p>
    <w:p w14:paraId="5EEF5F38" w14:textId="6464097A" w:rsidR="00096489" w:rsidRPr="00AC4C98" w:rsidRDefault="00096489" w:rsidP="00D627E2">
      <w:pPr>
        <w:pStyle w:val="Point2"/>
        <w:ind w:left="720" w:firstLine="0"/>
        <w:rPr>
          <w:noProof/>
        </w:rPr>
      </w:pPr>
      <w:r w:rsidRPr="00AC4C98">
        <w:rPr>
          <w:noProof/>
        </w:rPr>
        <w:t>„</w:t>
      </w:r>
      <w:r w:rsidRPr="00AC4C98">
        <w:rPr>
          <w:i/>
          <w:noProof/>
        </w:rPr>
        <w:t>12a straipsnis</w:t>
      </w:r>
    </w:p>
    <w:p w14:paraId="2024E069" w14:textId="6CCC6B47" w:rsidR="00096489" w:rsidRPr="00AC4C98" w:rsidRDefault="00096489" w:rsidP="00D627E2">
      <w:pPr>
        <w:pStyle w:val="Point2"/>
        <w:ind w:left="720" w:firstLine="0"/>
        <w:rPr>
          <w:noProof/>
        </w:rPr>
      </w:pPr>
      <w:r w:rsidRPr="00AC4C98">
        <w:rPr>
          <w:noProof/>
        </w:rPr>
        <w:t>Dirbtiniam intelektui skirtų superkompiuterių įsigijimas ir nuosavybės teisės</w:t>
      </w:r>
    </w:p>
    <w:p w14:paraId="41C1EBDE" w14:textId="793C7A73" w:rsidR="00096489" w:rsidRPr="00AC4C98" w:rsidRDefault="00096489" w:rsidP="00D627E2">
      <w:pPr>
        <w:pStyle w:val="ManualNumPar1"/>
        <w:rPr>
          <w:noProof/>
        </w:rPr>
      </w:pPr>
      <w:r w:rsidRPr="00AC4C98">
        <w:rPr>
          <w:noProof/>
        </w:rPr>
        <w:t>1.</w:t>
      </w:r>
      <w:r w:rsidRPr="00AC4C98">
        <w:rPr>
          <w:noProof/>
        </w:rPr>
        <w:tab/>
        <w:t>Bendroji įmonė įsigyja dirbtiniam intelektui skirtus superkompiuterius ir jie jai priklauso nuosavybės teise.</w:t>
      </w:r>
    </w:p>
    <w:p w14:paraId="478287AD" w14:textId="20329121" w:rsidR="00096489" w:rsidRPr="00AC4C98" w:rsidRDefault="00096489" w:rsidP="00D627E2">
      <w:pPr>
        <w:pStyle w:val="ManualNumPar1"/>
        <w:rPr>
          <w:noProof/>
        </w:rPr>
      </w:pPr>
      <w:r w:rsidRPr="00AC4C98">
        <w:rPr>
          <w:noProof/>
        </w:rPr>
        <w:t>2.</w:t>
      </w:r>
      <w:r w:rsidRPr="00AC4C98">
        <w:rPr>
          <w:noProof/>
        </w:rPr>
        <w:tab/>
        <w:t>5 straipsnio 1 dalyje nurodytu Sąjungos finansiniu įnašu padengiama ne daugiau kaip 50 % dirbtiniam intelektui skirtų superkompiuterių įsigijimo išlaidų ir ne daugiau kaip 50 % jų eksploatavimo išlaidų.</w:t>
      </w:r>
    </w:p>
    <w:p w14:paraId="759BE47E" w14:textId="4EF66280" w:rsidR="00096489" w:rsidRPr="00AC4C98" w:rsidRDefault="00096489" w:rsidP="00D627E2">
      <w:pPr>
        <w:pStyle w:val="Text1"/>
        <w:rPr>
          <w:noProof/>
        </w:rPr>
      </w:pPr>
      <w:r w:rsidRPr="00AC4C98">
        <w:rPr>
          <w:noProof/>
        </w:rPr>
        <w:t>Likusią dirbtiniam intelektui skirtų superkompiuterių visų nuosavybės išlaidų dalį padengia dalyvaujanti valstybė, kurioje yra įsisteigęs prieglobą teikiantis subjektas, arba prieglobos konsorciume dalyvaujančios valstybės, įnašus galbūt papildant 6 straipsnyje nurodytais įnašais.</w:t>
      </w:r>
    </w:p>
    <w:p w14:paraId="78999E25" w14:textId="1F49DB52" w:rsidR="00096489" w:rsidRPr="00AC4C98" w:rsidRDefault="00096489" w:rsidP="00D627E2">
      <w:pPr>
        <w:pStyle w:val="ManualNumPar1"/>
        <w:rPr>
          <w:noProof/>
        </w:rPr>
      </w:pPr>
      <w:r w:rsidRPr="00AC4C98">
        <w:rPr>
          <w:noProof/>
        </w:rPr>
        <w:t>3.</w:t>
      </w:r>
      <w:r w:rsidRPr="00AC4C98">
        <w:rPr>
          <w:noProof/>
        </w:rPr>
        <w:tab/>
        <w:t>Atrenkant dirbtiniam intelektui skirtų superkompiuterių tiekėją, remiamasi paklausa grindžiamomis pasiūlymo specifikacijomis, kuriomis atsižvelgiama į naudotojų reikalavimus, ir bendrosiomis sistemos specifikacijomis, kurias atrinktas prieglobą teikiantis subjektas pateikia savo paraiškoje pagal kvietimą pareikšti susidomėjimą. Vykdant atranką taip pat atsižvelgiama į tiekimo grandinės saugumą.</w:t>
      </w:r>
    </w:p>
    <w:p w14:paraId="3854F2B2" w14:textId="631C659C" w:rsidR="00096489" w:rsidRPr="00AC4C98" w:rsidRDefault="00096489" w:rsidP="00D627E2">
      <w:pPr>
        <w:pStyle w:val="ManualNumPar1"/>
        <w:rPr>
          <w:noProof/>
        </w:rPr>
      </w:pPr>
      <w:r w:rsidRPr="00AC4C98">
        <w:rPr>
          <w:noProof/>
        </w:rPr>
        <w:t>4.</w:t>
      </w:r>
      <w:r w:rsidRPr="00AC4C98">
        <w:rPr>
          <w:noProof/>
        </w:rPr>
        <w:tab/>
        <w:t>Bendroji įmonė gali veikti kaip pirmoji dirbtiniam intelektui skirtų superkompiuterių, kuriuose integruotos visų pirma Sąjungoje sukurtos technologijos, naudotoja.</w:t>
      </w:r>
    </w:p>
    <w:p w14:paraId="2DEF56E1" w14:textId="6F6F8BD0" w:rsidR="00096489" w:rsidRPr="00AC4C98" w:rsidRDefault="00096489" w:rsidP="00D627E2">
      <w:pPr>
        <w:pStyle w:val="ManualNumPar1"/>
        <w:rPr>
          <w:noProof/>
        </w:rPr>
      </w:pPr>
      <w:r w:rsidRPr="00AC4C98">
        <w:rPr>
          <w:noProof/>
        </w:rPr>
        <w:t>5.</w:t>
      </w:r>
      <w:r w:rsidRPr="00AC4C98">
        <w:rPr>
          <w:noProof/>
        </w:rPr>
        <w:tab/>
        <w:t>Jei esama tinkamai pagrįstų saugumo priežasčių, valdyba gali pagal Reglamento (ES) 2021/694 12 straipsnio 6 dalį darbo programoje nustatyti sąlygas, kurias turi atitikti dirbtiniam intelektui skirtų superkompiuterių įsigijimo procedūroje norintys dalyvauti tiekėjai, arba pagal to reglamento 18 straipsnio 4 dalį apriboti tiekėjų dalyvavimą dėl saugumo priežasčių arba dėl to, kad veiksmai yra tiesiogiai susiję su Sąjungos strateginiu savarankiškumu.</w:t>
      </w:r>
    </w:p>
    <w:p w14:paraId="51E4C2C4" w14:textId="25539F27" w:rsidR="00096489" w:rsidRPr="00AC4C98" w:rsidRDefault="00096489" w:rsidP="00D627E2">
      <w:pPr>
        <w:pStyle w:val="ManualNumPar1"/>
        <w:rPr>
          <w:noProof/>
        </w:rPr>
      </w:pPr>
      <w:r w:rsidRPr="00AC4C98">
        <w:rPr>
          <w:noProof/>
        </w:rPr>
        <w:t>6.</w:t>
      </w:r>
      <w:r w:rsidRPr="00AC4C98">
        <w:rPr>
          <w:noProof/>
        </w:rPr>
        <w:tab/>
        <w:t xml:space="preserve">Dirbtiniam intelektui skirti superkompiuteriai įrengiami Sąjungoje esančiame „EuroHPC“ superkompiuterio prieglobą teikiančio subjekto objekte. </w:t>
      </w:r>
    </w:p>
    <w:p w14:paraId="5010A88D" w14:textId="5A752E85" w:rsidR="00C71116" w:rsidRPr="00AC4C98" w:rsidRDefault="00C71116" w:rsidP="00D627E2">
      <w:pPr>
        <w:pStyle w:val="ManualNumPar1"/>
        <w:rPr>
          <w:noProof/>
        </w:rPr>
      </w:pPr>
      <w:r w:rsidRPr="00AC4C98">
        <w:rPr>
          <w:noProof/>
        </w:rPr>
        <w:t>7.</w:t>
      </w:r>
      <w:r w:rsidRPr="00AC4C98">
        <w:rPr>
          <w:noProof/>
        </w:rPr>
        <w:tab/>
        <w:t>Nedarant poveikio Įstatų 23 straipsnio 4 dalies nuostatoms dėl Bendrosios įmonės likvidavimo, ne anksčiau kaip po ketverių metų nuo tada, kai sėkmingai atliekamas prieglobą teikiančio subjekto objekte įrengto dirbtiniam intelektui skirto superkompiuterio priėmimo bandymas, valdybos sprendimu, nepažeidžiant prieglobos susitarimo, dirbtiniam intelektui skirto superkompiuterio nuosavybės teisės gali būti perduotos tam prieglobą teikiančiam subjektui, tas dirbtiniam intelektui skirtas superkompiuteris gali būti parduotas kitam subjektui arba jo eksploatavimas gali būti nutrauktas. Perduodant dirbtiniam intelektui skirto kompiuterio nuosavybės teises, prieglobą teikiantis subjektas Bendrajai įmonei sumoka sumą, atitinkančią perduodamo superkompiuterio likutinę vertę. Jeigu nuosavybės teisės prieglobą teikiančiam subjektui neperduodamos, bet priimamas sprendimas nutraukti eksploatavimą, atitinkamas išlaidas po lygiai pasidalija Bendroji įmonė ir prieglobą teikiantis subjektas. Bendroji įmonė nėra atsakinga už išlaidas, patirtas perdavus dirbtiniam intelektui skirto superkompiuterio nuosavybes teises, jį pardavus arba nutraukus jo eksploatavimą.“</w:t>
      </w:r>
    </w:p>
    <w:p w14:paraId="04D356D2" w14:textId="77777777" w:rsidR="007F692C" w:rsidRPr="00AC4C98" w:rsidRDefault="00AD02C7" w:rsidP="00D627E2">
      <w:pPr>
        <w:pStyle w:val="Point0"/>
        <w:rPr>
          <w:noProof/>
        </w:rPr>
      </w:pPr>
      <w:r w:rsidRPr="00AC4C98">
        <w:rPr>
          <w:noProof/>
        </w:rPr>
        <w:t>8)</w:t>
      </w:r>
      <w:r w:rsidRPr="00AC4C98">
        <w:rPr>
          <w:noProof/>
        </w:rPr>
        <w:tab/>
        <w:t>15 straipsnis iš dalies keičiamas taip:</w:t>
      </w:r>
    </w:p>
    <w:p w14:paraId="3AB6766E" w14:textId="5C8679F5" w:rsidR="00397C5C" w:rsidRPr="00AC4C98" w:rsidRDefault="00170C40" w:rsidP="00D627E2">
      <w:pPr>
        <w:pStyle w:val="Point0"/>
        <w:rPr>
          <w:noProof/>
        </w:rPr>
      </w:pPr>
      <w:r w:rsidRPr="00AC4C98">
        <w:rPr>
          <w:noProof/>
        </w:rPr>
        <w:t>a)</w:t>
      </w:r>
      <w:r w:rsidRPr="00AC4C98">
        <w:rPr>
          <w:noProof/>
        </w:rPr>
        <w:tab/>
        <w:t>1 dalis pakeičiama taip:</w:t>
      </w:r>
    </w:p>
    <w:p w14:paraId="24DB334A" w14:textId="59A36706" w:rsidR="00AD02C7" w:rsidRPr="00AC4C98" w:rsidRDefault="005B2CBB" w:rsidP="00D627E2">
      <w:pPr>
        <w:pStyle w:val="Text1"/>
        <w:ind w:left="720"/>
        <w:rPr>
          <w:noProof/>
        </w:rPr>
      </w:pPr>
      <w:r w:rsidRPr="00AC4C98">
        <w:rPr>
          <w:noProof/>
        </w:rPr>
        <w:t xml:space="preserve">„1. Bendroji įmonė gali paskelbti kvietimą pareikšti susidomėjimą procedūra, kurios tikslas – modernizuoti jai nuosavybės arba bendrosios nuosavybės teise priklausančius „EuroHPC“ superkompiuterius </w:t>
      </w:r>
      <w:r w:rsidRPr="00AC4C98">
        <w:rPr>
          <w:i/>
          <w:noProof/>
        </w:rPr>
        <w:t>siekiant pakelti jų našumo lygį iki eksalygmeniui artimo lygio, padidinti jų darbo su dirbtiniu intelektu pajėgumus arba padidinti jų veikimo našumą kokiu nors kitu būdu, pavyzdžiui, įdiegiant kvantinius spartintuvus.</w:t>
      </w:r>
      <w:r w:rsidRPr="00AC4C98">
        <w:rPr>
          <w:noProof/>
        </w:rPr>
        <w:t>“ 2 dalis išbraukiama;</w:t>
      </w:r>
    </w:p>
    <w:p w14:paraId="084B5EB3" w14:textId="35AE9590" w:rsidR="00A00E7A" w:rsidRPr="00AC4C98" w:rsidRDefault="00AD02C7" w:rsidP="00D627E2">
      <w:pPr>
        <w:pStyle w:val="Point0"/>
        <w:rPr>
          <w:noProof/>
        </w:rPr>
      </w:pPr>
      <w:r w:rsidRPr="00AC4C98">
        <w:rPr>
          <w:noProof/>
        </w:rPr>
        <w:t>b)</w:t>
      </w:r>
      <w:r w:rsidRPr="00AC4C98">
        <w:rPr>
          <w:noProof/>
        </w:rPr>
        <w:tab/>
        <w:t>5 dalis pakeičiama taip:</w:t>
      </w:r>
    </w:p>
    <w:p w14:paraId="4E7CB113" w14:textId="027ECABD" w:rsidR="00392FBD" w:rsidRPr="00AC4C98" w:rsidRDefault="00FB0F8D" w:rsidP="00D627E2">
      <w:pPr>
        <w:pStyle w:val="Text1"/>
        <w:ind w:left="720"/>
        <w:rPr>
          <w:noProof/>
        </w:rPr>
      </w:pPr>
      <w:r w:rsidRPr="00AC4C98">
        <w:rPr>
          <w:noProof/>
        </w:rPr>
        <w:t>„5. Sąjungos finansiniu įnašu padengiama modernizavimo įrangos įsigijimo išlaidų procentinė dalis yra tokia pati kaip originaliam „EuroHPC“ superkompiuteriui skirto Sąjungos finansinio įnašo procentinė dalis, nusidėvėjimą skaičiuojant per numatomą likusį originalaus superkompiuterio naudojimo laikotarpį. Sąjungos finansiniu įnašu padengiama papildomų modernizavimo įrangos eksploatavimo išlaidų procentinė dalis yra tokia pati kaip originaliam „EuroHPC“ superkompiuteriui skirto Sąjungos finansinio įnašo procentinė dalis.“</w:t>
      </w:r>
    </w:p>
    <w:p w14:paraId="0119767E" w14:textId="77777777" w:rsidR="00BB6894" w:rsidRPr="00AC4C98" w:rsidRDefault="00BB6894" w:rsidP="00D627E2">
      <w:pPr>
        <w:pStyle w:val="Point0"/>
        <w:rPr>
          <w:noProof/>
        </w:rPr>
      </w:pPr>
      <w:r w:rsidRPr="00AC4C98">
        <w:rPr>
          <w:noProof/>
        </w:rPr>
        <w:t>9)</w:t>
      </w:r>
      <w:r w:rsidRPr="00AC4C98">
        <w:rPr>
          <w:noProof/>
        </w:rPr>
        <w:tab/>
        <w:t>16 straipsnis iš dalies keičiamas taip:</w:t>
      </w:r>
    </w:p>
    <w:p w14:paraId="48E37E7D" w14:textId="4FE0226C" w:rsidR="00392FBD" w:rsidRPr="00AC4C98" w:rsidRDefault="00392FBD" w:rsidP="00D627E2">
      <w:pPr>
        <w:pStyle w:val="Point0"/>
        <w:rPr>
          <w:noProof/>
        </w:rPr>
      </w:pPr>
      <w:r w:rsidRPr="00AC4C98">
        <w:rPr>
          <w:noProof/>
        </w:rPr>
        <w:t>a)</w:t>
      </w:r>
      <w:r w:rsidRPr="00AC4C98">
        <w:rPr>
          <w:noProof/>
        </w:rPr>
        <w:tab/>
        <w:t>įterpiama 1b dalis:</w:t>
      </w:r>
    </w:p>
    <w:p w14:paraId="5A785C86" w14:textId="485FDC56" w:rsidR="00096489" w:rsidRPr="00AC4C98" w:rsidRDefault="00096489" w:rsidP="00D627E2">
      <w:pPr>
        <w:pStyle w:val="Text1"/>
        <w:ind w:left="720"/>
        <w:rPr>
          <w:i/>
          <w:iCs/>
          <w:noProof/>
        </w:rPr>
      </w:pPr>
      <w:r w:rsidRPr="00AC4C98">
        <w:rPr>
          <w:noProof/>
        </w:rPr>
        <w:t>„1b. Dirbtiniam intelektui skirti superkompiuteriai ir „EuroHPC“ superkompiuteriai, modernizuoti įdiegiant darbo su dirbtiniu intelektu pajėgumus, visų pirma naudojami dideliems bendrosios paskirties dirbtinio intelekto modeliams ir naujoms dirbtinio intelekto taikmenoms kurti, bandyti, vertinti ir validuoti, taip pat dirbtinio intelekto sprendimams, kuriems sukurti reikia našiosios kompiuterijos pajėgumų, Sąjungoje toliau plėtoti ir dideliems dirbtinio intelekto algoritmams, kuriais siekiama spręsti mokslo problemas, vykdyti.“;</w:t>
      </w:r>
    </w:p>
    <w:p w14:paraId="56826130" w14:textId="2B03443A" w:rsidR="00096489" w:rsidRPr="00AC4C98" w:rsidRDefault="00096489" w:rsidP="00D627E2">
      <w:pPr>
        <w:pStyle w:val="Point0"/>
        <w:rPr>
          <w:noProof/>
        </w:rPr>
      </w:pPr>
      <w:r w:rsidRPr="00AC4C98">
        <w:rPr>
          <w:noProof/>
        </w:rPr>
        <w:t>b)</w:t>
      </w:r>
      <w:r w:rsidRPr="00AC4C98">
        <w:rPr>
          <w:noProof/>
        </w:rPr>
        <w:tab/>
        <w:t>įterpiama 2b dalis:</w:t>
      </w:r>
    </w:p>
    <w:p w14:paraId="62D7467A" w14:textId="5EF98CBA" w:rsidR="00A30C8C" w:rsidRPr="00AC4C98" w:rsidRDefault="008047C6" w:rsidP="00D627E2">
      <w:pPr>
        <w:pStyle w:val="Text1"/>
        <w:ind w:left="720"/>
        <w:rPr>
          <w:noProof/>
        </w:rPr>
      </w:pPr>
      <w:r w:rsidRPr="00AC4C98">
        <w:rPr>
          <w:noProof/>
        </w:rPr>
        <w:t>„2b. Valdyba, laikydamasi 17 straipsnio ir atsižvelgdama į konkrečius dirbtinio intelekto startuolių ir mokslinių tyrimų ekosistemos poreikius, nustato specialias prieigos prie dirbtiniam intelektui skirtų superkompiuterių ir „EuroHPC“ superkompiuterių, modernizuotų įdiegiant darbo su dirbtiniu intelektu pajėgumus, sąlygas. Tai apima specialią startuoliams skirtą prieigą. Prieiga gali būti suteikiama tik subjektams, siūlantiems kurti ES vertybes atitinkančius patikimo ir etiško dirbtinio intelekto modelius, sistemas ir taikmenas.“</w:t>
      </w:r>
    </w:p>
    <w:p w14:paraId="5A97CA3E" w14:textId="575AEEC8" w:rsidR="00096399" w:rsidRPr="00AC4C98" w:rsidRDefault="007F692C" w:rsidP="00D627E2">
      <w:pPr>
        <w:pStyle w:val="Point0"/>
        <w:rPr>
          <w:noProof/>
        </w:rPr>
      </w:pPr>
      <w:r w:rsidRPr="00AC4C98">
        <w:rPr>
          <w:noProof/>
        </w:rPr>
        <w:t>10)</w:t>
      </w:r>
      <w:r w:rsidRPr="00AC4C98">
        <w:rPr>
          <w:noProof/>
        </w:rPr>
        <w:tab/>
        <w:t>17 straipsnio 1 dalis pakeičiama taip:</w:t>
      </w:r>
    </w:p>
    <w:p w14:paraId="0C369833" w14:textId="2698A0F3" w:rsidR="0012683C" w:rsidRPr="00AC4C98" w:rsidRDefault="00B54D10" w:rsidP="00D627E2">
      <w:pPr>
        <w:pStyle w:val="Text1"/>
        <w:ind w:left="720"/>
        <w:rPr>
          <w:noProof/>
        </w:rPr>
      </w:pPr>
      <w:r w:rsidRPr="00AC4C98">
        <w:rPr>
          <w:noProof/>
        </w:rPr>
        <w:t xml:space="preserve">„1. Sąjungos prieigos prie kiekvieno aukščiausios klasės, kvantinio </w:t>
      </w:r>
      <w:r w:rsidRPr="00AC4C98">
        <w:rPr>
          <w:i/>
          <w:noProof/>
        </w:rPr>
        <w:t>ir dirbtiniam intelektui skirto „EuroHPC“ superkompiuterio</w:t>
      </w:r>
      <w:r w:rsidRPr="00AC4C98">
        <w:rPr>
          <w:noProof/>
        </w:rPr>
        <w:t xml:space="preserve"> laiko dalis yra tiesiogiai proporcinga 5 straipsnio 1 dalyje nurodytam Sąjungos finansiniam įnašui, skirtam daliai „EuroHPC“ superkompiuterio visų nuosavybės išlaidų padengti, ir todėl neviršija 50 % viso prieigos prie „EuroHPC“ superkompiuterio laiko.“</w:t>
      </w:r>
    </w:p>
    <w:p w14:paraId="3D1377D2" w14:textId="213C64D7" w:rsidR="002F600E" w:rsidRPr="00AC4C98" w:rsidRDefault="00E82F9A" w:rsidP="00D627E2">
      <w:pPr>
        <w:pStyle w:val="Titrearticle"/>
        <w:rPr>
          <w:noProof/>
        </w:rPr>
      </w:pPr>
      <w:r w:rsidRPr="00AC4C98">
        <w:rPr>
          <w:noProof/>
        </w:rPr>
        <w:tab/>
        <w:t>2 straipsnis</w:t>
      </w:r>
    </w:p>
    <w:p w14:paraId="4AC19652" w14:textId="77777777" w:rsidR="00A25889" w:rsidRPr="00AC4C98" w:rsidRDefault="00A25889" w:rsidP="00D627E2">
      <w:pPr>
        <w:rPr>
          <w:noProof/>
        </w:rPr>
      </w:pPr>
      <w:r w:rsidRPr="00AC4C98">
        <w:rPr>
          <w:noProof/>
        </w:rPr>
        <w:t xml:space="preserve">Šis reglamentas įsigalioja dvidešimtą dieną po jo paskelbimo </w:t>
      </w:r>
      <w:r w:rsidRPr="00AC4C98">
        <w:rPr>
          <w:i/>
          <w:noProof/>
        </w:rPr>
        <w:t>Europos Sąjungos oficialiajame leidinyje</w:t>
      </w:r>
      <w:r w:rsidRPr="00AC4C98">
        <w:rPr>
          <w:noProof/>
        </w:rPr>
        <w:t>.</w:t>
      </w:r>
    </w:p>
    <w:p w14:paraId="12604B70" w14:textId="77777777" w:rsidR="002F600E" w:rsidRPr="00AC4C98" w:rsidRDefault="002F600E" w:rsidP="00D627E2">
      <w:pPr>
        <w:pStyle w:val="Applicationdirecte"/>
        <w:rPr>
          <w:noProof/>
        </w:rPr>
      </w:pPr>
      <w:r w:rsidRPr="00AC4C98">
        <w:rPr>
          <w:noProof/>
        </w:rPr>
        <w:t>Šis reglamentas privalomas visas ir tiesiogiai taikomas visose valstybėse narėse.</w:t>
      </w:r>
    </w:p>
    <w:p w14:paraId="257990AE" w14:textId="0AECF237" w:rsidR="00E82F9A" w:rsidRPr="00AC4C98" w:rsidRDefault="00B17A4E" w:rsidP="00B17A4E">
      <w:pPr>
        <w:pStyle w:val="Fait"/>
        <w:rPr>
          <w:noProof/>
        </w:rPr>
      </w:pPr>
      <w:r w:rsidRPr="00B17A4E">
        <w:t>Priimta Briuselyje</w:t>
      </w:r>
    </w:p>
    <w:p w14:paraId="43B026DF" w14:textId="18426089" w:rsidR="00C13136" w:rsidRPr="00AC4C98" w:rsidRDefault="00C13136" w:rsidP="00CB20CA">
      <w:pPr>
        <w:pStyle w:val="Institutionquisigne"/>
        <w:rPr>
          <w:noProof/>
        </w:rPr>
      </w:pPr>
      <w:r w:rsidRPr="00AC4C98">
        <w:rPr>
          <w:noProof/>
        </w:rPr>
        <w:tab/>
        <w:t>Tarybos vardu</w:t>
      </w:r>
    </w:p>
    <w:p w14:paraId="57D013AC" w14:textId="457E2609" w:rsidR="00C13136" w:rsidRPr="00AC4C98" w:rsidRDefault="00C13136" w:rsidP="00D627E2">
      <w:pPr>
        <w:pStyle w:val="Personnequisigne"/>
        <w:jc w:val="both"/>
        <w:rPr>
          <w:noProof/>
        </w:rPr>
      </w:pPr>
      <w:r w:rsidRPr="00AC4C98">
        <w:rPr>
          <w:noProof/>
        </w:rPr>
        <w:tab/>
        <w:t>Pirmininkas / Pirmininkė</w:t>
      </w:r>
    </w:p>
    <w:sectPr w:rsidR="00C13136" w:rsidRPr="00AC4C98" w:rsidSect="00B17A4E">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553E" w14:textId="77777777" w:rsidR="009D1F66" w:rsidRDefault="009D1F66">
      <w:pPr>
        <w:spacing w:before="0" w:after="0"/>
      </w:pPr>
      <w:r>
        <w:separator/>
      </w:r>
    </w:p>
  </w:endnote>
  <w:endnote w:type="continuationSeparator" w:id="0">
    <w:p w14:paraId="5E93B8E8" w14:textId="77777777" w:rsidR="009D1F66" w:rsidRDefault="009D1F66">
      <w:pPr>
        <w:spacing w:before="0" w:after="0"/>
      </w:pPr>
      <w:r>
        <w:continuationSeparator/>
      </w:r>
    </w:p>
  </w:endnote>
  <w:endnote w:type="continuationNotice" w:id="1">
    <w:p w14:paraId="26B668A6" w14:textId="77777777" w:rsidR="009D1F66" w:rsidRDefault="009D1F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75D9" w14:textId="1F268266" w:rsidR="00361FA8" w:rsidRPr="00B17A4E" w:rsidRDefault="00B17A4E" w:rsidP="00B17A4E">
    <w:pPr>
      <w:pStyle w:val="Footer"/>
      <w:rPr>
        <w:rFonts w:ascii="Arial" w:hAnsi="Arial" w:cs="Arial"/>
        <w:b/>
        <w:sz w:val="48"/>
      </w:rPr>
    </w:pPr>
    <w:r w:rsidRPr="00B17A4E">
      <w:rPr>
        <w:rFonts w:ascii="Arial" w:hAnsi="Arial" w:cs="Arial"/>
        <w:b/>
        <w:sz w:val="48"/>
      </w:rPr>
      <w:t>LT</w:t>
    </w:r>
    <w:r w:rsidRPr="00B17A4E">
      <w:rPr>
        <w:rFonts w:ascii="Arial" w:hAnsi="Arial" w:cs="Arial"/>
        <w:b/>
        <w:sz w:val="48"/>
      </w:rPr>
      <w:tab/>
    </w:r>
    <w:r w:rsidRPr="00B17A4E">
      <w:rPr>
        <w:rFonts w:ascii="Arial" w:hAnsi="Arial" w:cs="Arial"/>
        <w:b/>
        <w:sz w:val="48"/>
      </w:rPr>
      <w:tab/>
    </w:r>
    <w:r w:rsidRPr="00B17A4E">
      <w:tab/>
    </w:r>
    <w:r w:rsidRPr="00B17A4E">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EF42" w14:textId="1B06ACDF" w:rsidR="00361FA8" w:rsidRPr="00B17A4E" w:rsidRDefault="00B17A4E" w:rsidP="00B17A4E">
    <w:pPr>
      <w:pStyle w:val="Footer"/>
      <w:rPr>
        <w:rFonts w:ascii="Arial" w:hAnsi="Arial" w:cs="Arial"/>
        <w:b/>
        <w:sz w:val="48"/>
      </w:rPr>
    </w:pPr>
    <w:r w:rsidRPr="00B17A4E">
      <w:rPr>
        <w:rFonts w:ascii="Arial" w:hAnsi="Arial" w:cs="Arial"/>
        <w:b/>
        <w:sz w:val="48"/>
      </w:rPr>
      <w:t>LT</w:t>
    </w:r>
    <w:r w:rsidRPr="00B17A4E">
      <w:rPr>
        <w:rFonts w:ascii="Arial" w:hAnsi="Arial" w:cs="Arial"/>
        <w:b/>
        <w:sz w:val="48"/>
      </w:rPr>
      <w:tab/>
    </w:r>
    <w:r w:rsidRPr="00B17A4E">
      <w:rPr>
        <w:rFonts w:ascii="Arial" w:hAnsi="Arial" w:cs="Arial"/>
        <w:b/>
        <w:sz w:val="48"/>
      </w:rPr>
      <w:tab/>
    </w:r>
    <w:r w:rsidRPr="00B17A4E">
      <w:tab/>
    </w:r>
    <w:r w:rsidRPr="00B17A4E">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A504" w14:textId="77777777" w:rsidR="00B17A4E" w:rsidRPr="00B17A4E" w:rsidRDefault="00B17A4E" w:rsidP="00B17A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7962" w14:textId="60925724" w:rsidR="00B17A4E" w:rsidRPr="00B17A4E" w:rsidRDefault="00B17A4E" w:rsidP="00B17A4E">
    <w:pPr>
      <w:pStyle w:val="Footer"/>
      <w:rPr>
        <w:rFonts w:ascii="Arial" w:hAnsi="Arial" w:cs="Arial"/>
        <w:b/>
        <w:sz w:val="48"/>
      </w:rPr>
    </w:pPr>
    <w:r w:rsidRPr="00B17A4E">
      <w:rPr>
        <w:rFonts w:ascii="Arial" w:hAnsi="Arial" w:cs="Arial"/>
        <w:b/>
        <w:sz w:val="48"/>
      </w:rPr>
      <w:t>LT</w:t>
    </w:r>
    <w:r w:rsidRPr="00B17A4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17A4E">
      <w:tab/>
    </w:r>
    <w:r w:rsidRPr="00B17A4E">
      <w:rPr>
        <w:rFonts w:ascii="Arial" w:hAnsi="Arial" w:cs="Arial"/>
        <w:b/>
        <w:sz w:val="48"/>
      </w:rPr>
      <w:t>LT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3683" w14:textId="77777777" w:rsidR="00B17A4E" w:rsidRPr="00B17A4E" w:rsidRDefault="00B17A4E" w:rsidP="00B1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F397" w14:textId="77777777" w:rsidR="009D1F66" w:rsidRDefault="009D1F66">
      <w:pPr>
        <w:spacing w:before="0" w:after="0"/>
      </w:pPr>
      <w:r>
        <w:separator/>
      </w:r>
    </w:p>
  </w:footnote>
  <w:footnote w:type="continuationSeparator" w:id="0">
    <w:p w14:paraId="5DFC2F9F" w14:textId="77777777" w:rsidR="009D1F66" w:rsidRDefault="009D1F66">
      <w:pPr>
        <w:spacing w:before="0" w:after="0"/>
      </w:pPr>
      <w:r>
        <w:continuationSeparator/>
      </w:r>
    </w:p>
  </w:footnote>
  <w:footnote w:type="continuationNotice" w:id="1">
    <w:p w14:paraId="77C0F89C" w14:textId="77777777" w:rsidR="009D1F66" w:rsidRDefault="009D1F66">
      <w:pPr>
        <w:spacing w:before="0" w:after="0"/>
      </w:pPr>
    </w:p>
  </w:footnote>
  <w:footnote w:id="2">
    <w:p w14:paraId="17A0331E" w14:textId="77777777" w:rsidR="00315818" w:rsidRPr="00B12AF8" w:rsidRDefault="00984988" w:rsidP="00C310E8">
      <w:pPr>
        <w:pStyle w:val="FootnoteText"/>
      </w:pPr>
      <w:r w:rsidRPr="00B12AF8">
        <w:rPr>
          <w:rStyle w:val="FootnoteReference"/>
        </w:rPr>
        <w:footnoteRef/>
      </w:r>
      <w:r w:rsidRPr="00B12AF8">
        <w:tab/>
        <w:t>2021 m. liepos 13 d. Tarybos reglamentas (ES) 2021/1173 dėl Europos našiosios kompiuterijos bendrosios įmonės įsteigimo, kuriuo panaikinamas Reglamentas (ES) 2018/1488 (OL L 256, 2021 7 19, p. 3).</w:t>
      </w:r>
    </w:p>
  </w:footnote>
  <w:footnote w:id="3">
    <w:p w14:paraId="77D5C057" w14:textId="77777777" w:rsidR="00CC10FF" w:rsidRPr="00B12AF8" w:rsidRDefault="00CC10FF">
      <w:pPr>
        <w:pStyle w:val="FootnoteText"/>
      </w:pPr>
      <w:r w:rsidRPr="00B12AF8">
        <w:rPr>
          <w:rStyle w:val="FootnoteReference"/>
        </w:rPr>
        <w:footnoteRef/>
      </w:r>
      <w:r w:rsidRPr="00B12AF8">
        <w:tab/>
        <w:t>2018 m. rugsėjo 28 d. Tarybos reglamentas (ES) 2018/1488 dėl Europos našiosios kompiuterijos bendrosios įmonės sukūrimo (OL L 252, 2018 10 8, p. 1).</w:t>
      </w:r>
    </w:p>
  </w:footnote>
  <w:footnote w:id="4">
    <w:p w14:paraId="5E40BD85" w14:textId="77777777" w:rsidR="00BF2DF1" w:rsidRPr="00B12AF8" w:rsidRDefault="00BF2DF1">
      <w:pPr>
        <w:pStyle w:val="FootnoteText"/>
      </w:pPr>
      <w:r w:rsidRPr="00B12AF8">
        <w:rPr>
          <w:rStyle w:val="FootnoteReference"/>
        </w:rPr>
        <w:footnoteRef/>
      </w:r>
      <w:r w:rsidRPr="00B12AF8">
        <w:tab/>
        <w:t>https://ec.europa.eu/commission/presscorner/detail/lt/speech_23_4426.</w:t>
      </w:r>
    </w:p>
  </w:footnote>
  <w:footnote w:id="5">
    <w:p w14:paraId="74B37127" w14:textId="77777777" w:rsidR="00A2647E" w:rsidRPr="00B12AF8" w:rsidRDefault="00A2647E" w:rsidP="00A2647E">
      <w:pPr>
        <w:pStyle w:val="FootnoteText"/>
      </w:pPr>
      <w:r w:rsidRPr="00B12AF8">
        <w:rPr>
          <w:rStyle w:val="FootnoteReference"/>
        </w:rPr>
        <w:footnoteRef/>
      </w:r>
      <w:r w:rsidRPr="00B12AF8">
        <w:tab/>
        <w:t>OL C , , p. . .</w:t>
      </w:r>
    </w:p>
  </w:footnote>
  <w:footnote w:id="6">
    <w:p w14:paraId="3FE8E03C" w14:textId="5A125E67" w:rsidR="006356CA" w:rsidRPr="00B12AF8" w:rsidRDefault="006356CA" w:rsidP="006356CA">
      <w:pPr>
        <w:pStyle w:val="FootnoteText"/>
      </w:pPr>
      <w:r w:rsidRPr="00B12AF8">
        <w:rPr>
          <w:rStyle w:val="FootnoteReference"/>
        </w:rPr>
        <w:footnoteRef/>
      </w:r>
      <w:r w:rsidRPr="00B12AF8">
        <w:tab/>
        <w:t>... nuomonė, OL C , p. .</w:t>
      </w:r>
    </w:p>
  </w:footnote>
  <w:footnote w:id="7">
    <w:p w14:paraId="25DD7819" w14:textId="47DBB301" w:rsidR="008E0A50" w:rsidRPr="00B12AF8" w:rsidRDefault="008E0A50">
      <w:pPr>
        <w:pStyle w:val="FootnoteText"/>
      </w:pPr>
      <w:r w:rsidRPr="00B12AF8">
        <w:rPr>
          <w:rStyle w:val="FootnoteReference"/>
        </w:rPr>
        <w:footnoteRef/>
      </w:r>
      <w:r w:rsidRPr="00B12AF8">
        <w:tab/>
      </w:r>
      <w:r w:rsidRPr="00B12AF8">
        <w:rPr>
          <w:rStyle w:val="normaltextrun"/>
        </w:rPr>
        <w:t>Europos Parlamento ir Tarybos reglamentas (ES) 2024/..., kuriuo nustatomos suderintos dirbtinio intelekto taisyklės (Dirbtinio intelekto aktas) ir iš dalies keičiami tam tikri Sąjungos teisėkūros procedūra priimti aktai (OL L …).</w:t>
      </w:r>
    </w:p>
  </w:footnote>
  <w:footnote w:id="8">
    <w:p w14:paraId="030CDD02" w14:textId="0D51842C" w:rsidR="00CA1C0E" w:rsidRPr="00B12AF8" w:rsidRDefault="00CA1C0E" w:rsidP="00E10F4D">
      <w:pPr>
        <w:pStyle w:val="FootnoteText"/>
      </w:pPr>
      <w:r w:rsidRPr="00B12AF8">
        <w:rPr>
          <w:rStyle w:val="FootnoteReference"/>
        </w:rPr>
        <w:footnoteRef/>
      </w:r>
      <w:r w:rsidRPr="00B12AF8">
        <w:tab/>
        <w:t xml:space="preserve">2021 m. liepos 13 d. Tarybos reglamentas (ES) 2021/1173 dėl Europos našiosios kompiuterijos bendrosios įmonės įsteigimo, kuriuo panaikinamas Reglamentas (ES) 2018/1488 (OL L 256, 2021 7 19, p. 3, ELI: </w:t>
      </w:r>
      <w:hyperlink r:id="rId1" w:history="1">
        <w:r w:rsidRPr="00B12AF8">
          <w:rPr>
            <w:rStyle w:val="Hyperlink"/>
          </w:rPr>
          <w:t>http://data.europa.eu/eli/reg/2021/1173/oj</w:t>
        </w:r>
      </w:hyperlink>
      <w:r w:rsidRPr="00B12AF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3B6D" w14:textId="77777777" w:rsidR="00B17A4E" w:rsidRPr="00B17A4E" w:rsidRDefault="00B17A4E" w:rsidP="00B17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43C7" w14:textId="77777777" w:rsidR="00B17A4E" w:rsidRPr="00B17A4E" w:rsidRDefault="00B17A4E" w:rsidP="00B17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109A" w14:textId="77777777" w:rsidR="00B17A4E" w:rsidRPr="00B17A4E" w:rsidRDefault="00B17A4E" w:rsidP="00B17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35EDF1C"/>
    <w:lvl w:ilvl="0">
      <w:start w:val="1"/>
      <w:numFmt w:val="decimal"/>
      <w:pStyle w:val="ListNumber4"/>
      <w:lvlText w:val="%1."/>
      <w:lvlJc w:val="left"/>
      <w:pPr>
        <w:tabs>
          <w:tab w:val="num" w:pos="838"/>
        </w:tabs>
        <w:ind w:left="838" w:hanging="360"/>
      </w:pPr>
    </w:lvl>
  </w:abstractNum>
  <w:abstractNum w:abstractNumId="1" w15:restartNumberingAfterBreak="0">
    <w:nsid w:val="FFFFFF7E"/>
    <w:multiLevelType w:val="singleLevel"/>
    <w:tmpl w:val="5F023A1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272712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0EAB2E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BA4D6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C1AB3E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1D0B6A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D82C19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714962148">
    <w:abstractNumId w:val="7"/>
  </w:num>
  <w:num w:numId="2" w16cid:durableId="373239582">
    <w:abstractNumId w:val="5"/>
  </w:num>
  <w:num w:numId="3" w16cid:durableId="1970357807">
    <w:abstractNumId w:val="4"/>
  </w:num>
  <w:num w:numId="4" w16cid:durableId="486556674">
    <w:abstractNumId w:val="3"/>
  </w:num>
  <w:num w:numId="5" w16cid:durableId="1689021430">
    <w:abstractNumId w:val="6"/>
  </w:num>
  <w:num w:numId="6" w16cid:durableId="1275140411">
    <w:abstractNumId w:val="2"/>
  </w:num>
  <w:num w:numId="7" w16cid:durableId="1893497824">
    <w:abstractNumId w:val="1"/>
  </w:num>
  <w:num w:numId="8" w16cid:durableId="931666357">
    <w:abstractNumId w:val="0"/>
  </w:num>
  <w:num w:numId="9" w16cid:durableId="2003773888">
    <w:abstractNumId w:val="12"/>
  </w:num>
  <w:num w:numId="10" w16cid:durableId="284852062">
    <w:abstractNumId w:val="20"/>
  </w:num>
  <w:num w:numId="11" w16cid:durableId="1064179552">
    <w:abstractNumId w:val="13"/>
  </w:num>
  <w:num w:numId="12" w16cid:durableId="2026592941">
    <w:abstractNumId w:val="22"/>
  </w:num>
  <w:num w:numId="13" w16cid:durableId="414590778">
    <w:abstractNumId w:val="11"/>
  </w:num>
  <w:num w:numId="14" w16cid:durableId="1686858269">
    <w:abstractNumId w:val="14"/>
  </w:num>
  <w:num w:numId="15" w16cid:durableId="643778503">
    <w:abstractNumId w:val="15"/>
  </w:num>
  <w:num w:numId="16" w16cid:durableId="1481116055">
    <w:abstractNumId w:val="9"/>
  </w:num>
  <w:num w:numId="17" w16cid:durableId="259795402">
    <w:abstractNumId w:val="21"/>
  </w:num>
  <w:num w:numId="18" w16cid:durableId="1617522745">
    <w:abstractNumId w:val="8"/>
  </w:num>
  <w:num w:numId="19" w16cid:durableId="276257148">
    <w:abstractNumId w:val="16"/>
  </w:num>
  <w:num w:numId="20" w16cid:durableId="1330599512">
    <w:abstractNumId w:val="18"/>
  </w:num>
  <w:num w:numId="21" w16cid:durableId="1301568836">
    <w:abstractNumId w:val="19"/>
  </w:num>
  <w:num w:numId="22" w16cid:durableId="582490063">
    <w:abstractNumId w:val="10"/>
  </w:num>
  <w:num w:numId="23" w16cid:durableId="315382387">
    <w:abstractNumId w:val="17"/>
  </w:num>
  <w:num w:numId="24" w16cid:durableId="2059235469">
    <w:abstractNumId w:val="23"/>
  </w:num>
  <w:num w:numId="25" w16cid:durableId="1632520219">
    <w:abstractNumId w:val="20"/>
  </w:num>
  <w:num w:numId="26" w16cid:durableId="939725782">
    <w:abstractNumId w:val="13"/>
  </w:num>
  <w:num w:numId="27" w16cid:durableId="2035958380">
    <w:abstractNumId w:val="22"/>
  </w:num>
  <w:num w:numId="28" w16cid:durableId="1716388454">
    <w:abstractNumId w:val="11"/>
  </w:num>
  <w:num w:numId="29" w16cid:durableId="693308794">
    <w:abstractNumId w:val="14"/>
  </w:num>
  <w:num w:numId="30" w16cid:durableId="680008362">
    <w:abstractNumId w:val="15"/>
  </w:num>
  <w:num w:numId="31" w16cid:durableId="1359818183">
    <w:abstractNumId w:val="9"/>
  </w:num>
  <w:num w:numId="32" w16cid:durableId="1158885024">
    <w:abstractNumId w:val="21"/>
  </w:num>
  <w:num w:numId="33" w16cid:durableId="1990164240">
    <w:abstractNumId w:val="8"/>
  </w:num>
  <w:num w:numId="34" w16cid:durableId="1456942206">
    <w:abstractNumId w:val="16"/>
  </w:num>
  <w:num w:numId="35" w16cid:durableId="372048781">
    <w:abstractNumId w:val="18"/>
  </w:num>
  <w:num w:numId="36" w16cid:durableId="356006368">
    <w:abstractNumId w:val="19"/>
  </w:num>
  <w:num w:numId="37" w16cid:durableId="1818573093">
    <w:abstractNumId w:val="10"/>
  </w:num>
  <w:num w:numId="38" w16cid:durableId="2086759315">
    <w:abstractNumId w:val="17"/>
  </w:num>
  <w:num w:numId="39" w16cid:durableId="61244111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removePersonalInformation/>
  <w:removeDateAndTime/>
  <w:displayBackgroundShape/>
  <w:hideSpellingErrors/>
  <w:hideGrammaticalErrors/>
  <w:proofState w:spelling="clean" w:grammar="clean"/>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4-02-12 14:38:4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This document corrects COM(2024)29 final of 24.1.2024_x000b_Concerns all languages versions _x000b_Change of interinstitutional acronym_x000b_The text shall read as follows:_x000b_"/>
    <w:docVar w:name="LW_COVERPAGE_EXISTS" w:val="True"/>
    <w:docVar w:name="LW_COVERPAGE_GUID" w:val="701A83AE-03E9-4D09-8FE9-F65C4C705C39"/>
    <w:docVar w:name="LW_COVERPAGE_TYPE" w:val="1"/>
    <w:docVar w:name="LW_CROSSREFERENCE" w:val="&lt;UNUSED&gt;"/>
    <w:docVar w:name="LW_DocType" w:val="COM"/>
    <w:docVar w:name="LW_EMISSION" w:val="2024 02 16"/>
    <w:docVar w:name="LW_EMISSION_ISODATE" w:val="2024-02-16"/>
    <w:docVar w:name="LW_EMISSION_LOCATION" w:val="BRX"/>
    <w:docVar w:name="LW_EMISSION_PREFIX" w:val="Briuseli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NLE"/>
    <w:docVar w:name="LW_REF.II.NEW.CP_NUMBER" w:val="0016"/>
    <w:docVar w:name="LW_REF.II.NEW.CP_YEAR" w:val="2024"/>
    <w:docVar w:name="LW_REF.INST.NEW" w:val="COM"/>
    <w:docVar w:name="LW_REF.INST.NEW_ADOPTED" w:val="final/2"/>
    <w:docVar w:name="LW_REF.INST.NEW_TEXT" w:val="(2024) 2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asi\u363?lymas"/>
    <w:docVar w:name="LW_SUPERTITRE" w:val="&lt;UNUSED&gt;"/>
    <w:docVar w:name="LW_TITRE.OBJ.CP" w:val="kuriuo d\u279?l startuoliams skirtos \u8222?EuroHPC\u8220? iniciatyvos, kuria siekiama stiprinti Europos lyderyst\u281? patikimo dirbtinio intelekto srityje, i\u353? dalies kei\u269?iamas Reglamentas (ES) 2021/1173"/>
    <w:docVar w:name="LW_TYPE.DOC.CP" w:val="TARYBOS REGLAMENTAS"/>
    <w:docVar w:name="LwApiVersions" w:val="LW4CoDe 1.24.4.0; LW 9.0, Build 20240125"/>
  </w:docVars>
  <w:rsids>
    <w:rsidRoot w:val="00315818"/>
    <w:rsid w:val="000019EE"/>
    <w:rsid w:val="00005DCB"/>
    <w:rsid w:val="00007D88"/>
    <w:rsid w:val="00010685"/>
    <w:rsid w:val="00011127"/>
    <w:rsid w:val="00011720"/>
    <w:rsid w:val="000145DC"/>
    <w:rsid w:val="0001484F"/>
    <w:rsid w:val="0001630B"/>
    <w:rsid w:val="00020237"/>
    <w:rsid w:val="00021B9C"/>
    <w:rsid w:val="00022185"/>
    <w:rsid w:val="00026ABE"/>
    <w:rsid w:val="00027205"/>
    <w:rsid w:val="00027856"/>
    <w:rsid w:val="00032E08"/>
    <w:rsid w:val="000344E6"/>
    <w:rsid w:val="000354AF"/>
    <w:rsid w:val="00036C33"/>
    <w:rsid w:val="00036F3E"/>
    <w:rsid w:val="000400D8"/>
    <w:rsid w:val="00042218"/>
    <w:rsid w:val="00042459"/>
    <w:rsid w:val="00042FEF"/>
    <w:rsid w:val="000430A8"/>
    <w:rsid w:val="00046B25"/>
    <w:rsid w:val="0005060E"/>
    <w:rsid w:val="00050DED"/>
    <w:rsid w:val="00053574"/>
    <w:rsid w:val="00054AB0"/>
    <w:rsid w:val="00055658"/>
    <w:rsid w:val="0005718C"/>
    <w:rsid w:val="000574A6"/>
    <w:rsid w:val="000615C5"/>
    <w:rsid w:val="00061E0D"/>
    <w:rsid w:val="000638AB"/>
    <w:rsid w:val="00063C22"/>
    <w:rsid w:val="000655AC"/>
    <w:rsid w:val="000661D8"/>
    <w:rsid w:val="000663A4"/>
    <w:rsid w:val="000673F2"/>
    <w:rsid w:val="000678D5"/>
    <w:rsid w:val="00070177"/>
    <w:rsid w:val="00071314"/>
    <w:rsid w:val="00071981"/>
    <w:rsid w:val="00072969"/>
    <w:rsid w:val="00073559"/>
    <w:rsid w:val="00074210"/>
    <w:rsid w:val="0007532C"/>
    <w:rsid w:val="0007586F"/>
    <w:rsid w:val="000760B7"/>
    <w:rsid w:val="000763D0"/>
    <w:rsid w:val="000764FC"/>
    <w:rsid w:val="00076EAD"/>
    <w:rsid w:val="00077CBA"/>
    <w:rsid w:val="00081F00"/>
    <w:rsid w:val="0008377F"/>
    <w:rsid w:val="000917A5"/>
    <w:rsid w:val="00091F55"/>
    <w:rsid w:val="00092807"/>
    <w:rsid w:val="000939A0"/>
    <w:rsid w:val="00094705"/>
    <w:rsid w:val="00096399"/>
    <w:rsid w:val="00096489"/>
    <w:rsid w:val="00096D98"/>
    <w:rsid w:val="00097F33"/>
    <w:rsid w:val="000A772E"/>
    <w:rsid w:val="000B1D79"/>
    <w:rsid w:val="000B4679"/>
    <w:rsid w:val="000B5CC3"/>
    <w:rsid w:val="000B6914"/>
    <w:rsid w:val="000B6F25"/>
    <w:rsid w:val="000C1FC8"/>
    <w:rsid w:val="000C3E09"/>
    <w:rsid w:val="000C54F6"/>
    <w:rsid w:val="000C602E"/>
    <w:rsid w:val="000C64D3"/>
    <w:rsid w:val="000C7436"/>
    <w:rsid w:val="000C7D42"/>
    <w:rsid w:val="000D0EB3"/>
    <w:rsid w:val="000D37D7"/>
    <w:rsid w:val="000D4919"/>
    <w:rsid w:val="000D49D6"/>
    <w:rsid w:val="000E1B79"/>
    <w:rsid w:val="000E346E"/>
    <w:rsid w:val="000F00B2"/>
    <w:rsid w:val="000F05A1"/>
    <w:rsid w:val="000F158C"/>
    <w:rsid w:val="000F21A3"/>
    <w:rsid w:val="000F2B65"/>
    <w:rsid w:val="000F493D"/>
    <w:rsid w:val="000F5467"/>
    <w:rsid w:val="000F5813"/>
    <w:rsid w:val="000F69A8"/>
    <w:rsid w:val="001004D7"/>
    <w:rsid w:val="0010183A"/>
    <w:rsid w:val="0010244C"/>
    <w:rsid w:val="0010276C"/>
    <w:rsid w:val="00103841"/>
    <w:rsid w:val="001061A9"/>
    <w:rsid w:val="00106C79"/>
    <w:rsid w:val="00106FBF"/>
    <w:rsid w:val="00110E55"/>
    <w:rsid w:val="0011208F"/>
    <w:rsid w:val="00113505"/>
    <w:rsid w:val="0011479A"/>
    <w:rsid w:val="001211F8"/>
    <w:rsid w:val="001252ED"/>
    <w:rsid w:val="0012683C"/>
    <w:rsid w:val="001308AF"/>
    <w:rsid w:val="001324BE"/>
    <w:rsid w:val="0013388F"/>
    <w:rsid w:val="00133B09"/>
    <w:rsid w:val="00133C0D"/>
    <w:rsid w:val="00133D87"/>
    <w:rsid w:val="0013491E"/>
    <w:rsid w:val="00134A41"/>
    <w:rsid w:val="00136449"/>
    <w:rsid w:val="00140137"/>
    <w:rsid w:val="001428C3"/>
    <w:rsid w:val="001435F0"/>
    <w:rsid w:val="001468C6"/>
    <w:rsid w:val="0014744A"/>
    <w:rsid w:val="00150972"/>
    <w:rsid w:val="00152353"/>
    <w:rsid w:val="001528B0"/>
    <w:rsid w:val="00153580"/>
    <w:rsid w:val="00153F5F"/>
    <w:rsid w:val="0015581C"/>
    <w:rsid w:val="00156E11"/>
    <w:rsid w:val="001570F2"/>
    <w:rsid w:val="001573D0"/>
    <w:rsid w:val="00160229"/>
    <w:rsid w:val="0016293E"/>
    <w:rsid w:val="00163333"/>
    <w:rsid w:val="00164744"/>
    <w:rsid w:val="00167F55"/>
    <w:rsid w:val="00170C40"/>
    <w:rsid w:val="001715DD"/>
    <w:rsid w:val="00173D70"/>
    <w:rsid w:val="00174373"/>
    <w:rsid w:val="001748B4"/>
    <w:rsid w:val="001750DB"/>
    <w:rsid w:val="0017614C"/>
    <w:rsid w:val="0018011B"/>
    <w:rsid w:val="00180131"/>
    <w:rsid w:val="001802B6"/>
    <w:rsid w:val="001818C4"/>
    <w:rsid w:val="00185C08"/>
    <w:rsid w:val="00187F38"/>
    <w:rsid w:val="00190912"/>
    <w:rsid w:val="00191478"/>
    <w:rsid w:val="001924DE"/>
    <w:rsid w:val="001926C2"/>
    <w:rsid w:val="001A0ABC"/>
    <w:rsid w:val="001A3743"/>
    <w:rsid w:val="001A3A69"/>
    <w:rsid w:val="001A49F8"/>
    <w:rsid w:val="001A4E29"/>
    <w:rsid w:val="001A526C"/>
    <w:rsid w:val="001A53CB"/>
    <w:rsid w:val="001A5626"/>
    <w:rsid w:val="001A5ACC"/>
    <w:rsid w:val="001A6296"/>
    <w:rsid w:val="001A6455"/>
    <w:rsid w:val="001A685E"/>
    <w:rsid w:val="001A722D"/>
    <w:rsid w:val="001A7784"/>
    <w:rsid w:val="001A7D5F"/>
    <w:rsid w:val="001B0899"/>
    <w:rsid w:val="001B2F90"/>
    <w:rsid w:val="001B380A"/>
    <w:rsid w:val="001B43B7"/>
    <w:rsid w:val="001B4567"/>
    <w:rsid w:val="001B4E8F"/>
    <w:rsid w:val="001B5D20"/>
    <w:rsid w:val="001B78C2"/>
    <w:rsid w:val="001C4732"/>
    <w:rsid w:val="001C4A36"/>
    <w:rsid w:val="001C6BB0"/>
    <w:rsid w:val="001D0032"/>
    <w:rsid w:val="001D004C"/>
    <w:rsid w:val="001D1A3F"/>
    <w:rsid w:val="001D2B58"/>
    <w:rsid w:val="001D7C01"/>
    <w:rsid w:val="001D7D39"/>
    <w:rsid w:val="001E099A"/>
    <w:rsid w:val="001E0ABA"/>
    <w:rsid w:val="001E0AF6"/>
    <w:rsid w:val="001E1A2D"/>
    <w:rsid w:val="001E2F4B"/>
    <w:rsid w:val="001E3644"/>
    <w:rsid w:val="001E4A42"/>
    <w:rsid w:val="001E66FA"/>
    <w:rsid w:val="001E731A"/>
    <w:rsid w:val="001E7526"/>
    <w:rsid w:val="001E7973"/>
    <w:rsid w:val="001E7D34"/>
    <w:rsid w:val="001F299C"/>
    <w:rsid w:val="001F3431"/>
    <w:rsid w:val="001F4458"/>
    <w:rsid w:val="002026A7"/>
    <w:rsid w:val="00204EFF"/>
    <w:rsid w:val="0020512B"/>
    <w:rsid w:val="00205DB3"/>
    <w:rsid w:val="00210529"/>
    <w:rsid w:val="00210550"/>
    <w:rsid w:val="00210B4E"/>
    <w:rsid w:val="00210C54"/>
    <w:rsid w:val="00211FFF"/>
    <w:rsid w:val="0021271E"/>
    <w:rsid w:val="00217AC0"/>
    <w:rsid w:val="00217D7C"/>
    <w:rsid w:val="00222983"/>
    <w:rsid w:val="0022327C"/>
    <w:rsid w:val="00223DCE"/>
    <w:rsid w:val="002242D1"/>
    <w:rsid w:val="00224B25"/>
    <w:rsid w:val="0023042E"/>
    <w:rsid w:val="00231A6F"/>
    <w:rsid w:val="00232B66"/>
    <w:rsid w:val="00232BF3"/>
    <w:rsid w:val="002340C7"/>
    <w:rsid w:val="00235255"/>
    <w:rsid w:val="00237550"/>
    <w:rsid w:val="0024078D"/>
    <w:rsid w:val="00241054"/>
    <w:rsid w:val="00241FC1"/>
    <w:rsid w:val="00242122"/>
    <w:rsid w:val="00243BD3"/>
    <w:rsid w:val="002479B2"/>
    <w:rsid w:val="0025186D"/>
    <w:rsid w:val="00256677"/>
    <w:rsid w:val="00257573"/>
    <w:rsid w:val="00257FBA"/>
    <w:rsid w:val="00262E06"/>
    <w:rsid w:val="002679C3"/>
    <w:rsid w:val="00273995"/>
    <w:rsid w:val="00273BBC"/>
    <w:rsid w:val="00273CC9"/>
    <w:rsid w:val="00275139"/>
    <w:rsid w:val="00275A61"/>
    <w:rsid w:val="00276822"/>
    <w:rsid w:val="00276C0F"/>
    <w:rsid w:val="00277DDA"/>
    <w:rsid w:val="00283B4A"/>
    <w:rsid w:val="00283EDC"/>
    <w:rsid w:val="00284ACD"/>
    <w:rsid w:val="00286A2E"/>
    <w:rsid w:val="00292DE5"/>
    <w:rsid w:val="00296BF6"/>
    <w:rsid w:val="00296E59"/>
    <w:rsid w:val="002A06FB"/>
    <w:rsid w:val="002A593E"/>
    <w:rsid w:val="002B3CBC"/>
    <w:rsid w:val="002B6B14"/>
    <w:rsid w:val="002C2377"/>
    <w:rsid w:val="002C3889"/>
    <w:rsid w:val="002C3D71"/>
    <w:rsid w:val="002C59E9"/>
    <w:rsid w:val="002C6172"/>
    <w:rsid w:val="002D050C"/>
    <w:rsid w:val="002D19E6"/>
    <w:rsid w:val="002D2335"/>
    <w:rsid w:val="002D2920"/>
    <w:rsid w:val="002D3F55"/>
    <w:rsid w:val="002D402B"/>
    <w:rsid w:val="002D575E"/>
    <w:rsid w:val="002D5F10"/>
    <w:rsid w:val="002D6474"/>
    <w:rsid w:val="002D6D1D"/>
    <w:rsid w:val="002D790A"/>
    <w:rsid w:val="002D7FA5"/>
    <w:rsid w:val="002E036C"/>
    <w:rsid w:val="002E1108"/>
    <w:rsid w:val="002E1D67"/>
    <w:rsid w:val="002E3D2D"/>
    <w:rsid w:val="002E5422"/>
    <w:rsid w:val="002E6FFA"/>
    <w:rsid w:val="002E779E"/>
    <w:rsid w:val="002F1E0B"/>
    <w:rsid w:val="002F47DD"/>
    <w:rsid w:val="002F600E"/>
    <w:rsid w:val="002F6928"/>
    <w:rsid w:val="00300C27"/>
    <w:rsid w:val="0030364B"/>
    <w:rsid w:val="003053D4"/>
    <w:rsid w:val="00312567"/>
    <w:rsid w:val="00312676"/>
    <w:rsid w:val="00313CD8"/>
    <w:rsid w:val="00315818"/>
    <w:rsid w:val="00315D26"/>
    <w:rsid w:val="00321A5F"/>
    <w:rsid w:val="00322B4D"/>
    <w:rsid w:val="00325C5C"/>
    <w:rsid w:val="00331814"/>
    <w:rsid w:val="003338A1"/>
    <w:rsid w:val="00333E7B"/>
    <w:rsid w:val="0033644C"/>
    <w:rsid w:val="00340CF9"/>
    <w:rsid w:val="00342CB3"/>
    <w:rsid w:val="003437B8"/>
    <w:rsid w:val="00343981"/>
    <w:rsid w:val="00345E66"/>
    <w:rsid w:val="0035132E"/>
    <w:rsid w:val="003515C0"/>
    <w:rsid w:val="003534F6"/>
    <w:rsid w:val="0035547E"/>
    <w:rsid w:val="00355546"/>
    <w:rsid w:val="00356731"/>
    <w:rsid w:val="0035760C"/>
    <w:rsid w:val="003608DE"/>
    <w:rsid w:val="0036132B"/>
    <w:rsid w:val="003618A3"/>
    <w:rsid w:val="00361AE9"/>
    <w:rsid w:val="00361FA8"/>
    <w:rsid w:val="0036331C"/>
    <w:rsid w:val="003646E2"/>
    <w:rsid w:val="00371971"/>
    <w:rsid w:val="00374646"/>
    <w:rsid w:val="00375459"/>
    <w:rsid w:val="00375A8A"/>
    <w:rsid w:val="00376793"/>
    <w:rsid w:val="00377B2A"/>
    <w:rsid w:val="0038258D"/>
    <w:rsid w:val="00383857"/>
    <w:rsid w:val="00384815"/>
    <w:rsid w:val="00385D34"/>
    <w:rsid w:val="003862ED"/>
    <w:rsid w:val="0038697D"/>
    <w:rsid w:val="00387540"/>
    <w:rsid w:val="00390625"/>
    <w:rsid w:val="00390A75"/>
    <w:rsid w:val="00390FB2"/>
    <w:rsid w:val="003915D6"/>
    <w:rsid w:val="003918BE"/>
    <w:rsid w:val="00392FBD"/>
    <w:rsid w:val="00394AAD"/>
    <w:rsid w:val="0039574A"/>
    <w:rsid w:val="00395C92"/>
    <w:rsid w:val="0039682B"/>
    <w:rsid w:val="00397AEC"/>
    <w:rsid w:val="00397C5C"/>
    <w:rsid w:val="00397E19"/>
    <w:rsid w:val="003A061A"/>
    <w:rsid w:val="003A19CB"/>
    <w:rsid w:val="003A3A92"/>
    <w:rsid w:val="003A57B8"/>
    <w:rsid w:val="003B0703"/>
    <w:rsid w:val="003B0D16"/>
    <w:rsid w:val="003B3EB5"/>
    <w:rsid w:val="003B40B4"/>
    <w:rsid w:val="003B68B2"/>
    <w:rsid w:val="003B73A5"/>
    <w:rsid w:val="003C09EA"/>
    <w:rsid w:val="003D0235"/>
    <w:rsid w:val="003D095F"/>
    <w:rsid w:val="003D2B10"/>
    <w:rsid w:val="003D387F"/>
    <w:rsid w:val="003D5F42"/>
    <w:rsid w:val="003D6471"/>
    <w:rsid w:val="003D797C"/>
    <w:rsid w:val="003D7CFC"/>
    <w:rsid w:val="003E19F3"/>
    <w:rsid w:val="003E3998"/>
    <w:rsid w:val="003E4814"/>
    <w:rsid w:val="003E73FA"/>
    <w:rsid w:val="003F0804"/>
    <w:rsid w:val="003F0D1C"/>
    <w:rsid w:val="003F1612"/>
    <w:rsid w:val="003F2734"/>
    <w:rsid w:val="003F2AE1"/>
    <w:rsid w:val="003F3090"/>
    <w:rsid w:val="003F7188"/>
    <w:rsid w:val="003F77B9"/>
    <w:rsid w:val="003F7A1F"/>
    <w:rsid w:val="004000B7"/>
    <w:rsid w:val="00400BE1"/>
    <w:rsid w:val="00400FE0"/>
    <w:rsid w:val="00401ABB"/>
    <w:rsid w:val="004037BC"/>
    <w:rsid w:val="0040530B"/>
    <w:rsid w:val="00406D80"/>
    <w:rsid w:val="00406EC6"/>
    <w:rsid w:val="00410C55"/>
    <w:rsid w:val="0041150E"/>
    <w:rsid w:val="00414AD0"/>
    <w:rsid w:val="00420A82"/>
    <w:rsid w:val="00422665"/>
    <w:rsid w:val="0042379D"/>
    <w:rsid w:val="00424ACA"/>
    <w:rsid w:val="0042519A"/>
    <w:rsid w:val="00426CD4"/>
    <w:rsid w:val="004270D3"/>
    <w:rsid w:val="00431207"/>
    <w:rsid w:val="004343B4"/>
    <w:rsid w:val="00435203"/>
    <w:rsid w:val="00435545"/>
    <w:rsid w:val="00436FCA"/>
    <w:rsid w:val="00440E7B"/>
    <w:rsid w:val="00440E7C"/>
    <w:rsid w:val="00441068"/>
    <w:rsid w:val="00446561"/>
    <w:rsid w:val="00446733"/>
    <w:rsid w:val="00446F46"/>
    <w:rsid w:val="004502A6"/>
    <w:rsid w:val="00451868"/>
    <w:rsid w:val="00452298"/>
    <w:rsid w:val="0045348F"/>
    <w:rsid w:val="004548ED"/>
    <w:rsid w:val="00464480"/>
    <w:rsid w:val="00465DB0"/>
    <w:rsid w:val="00465DC8"/>
    <w:rsid w:val="00470188"/>
    <w:rsid w:val="00470DA3"/>
    <w:rsid w:val="00471443"/>
    <w:rsid w:val="0047187B"/>
    <w:rsid w:val="004733B4"/>
    <w:rsid w:val="0047573A"/>
    <w:rsid w:val="00477C0A"/>
    <w:rsid w:val="00480CC0"/>
    <w:rsid w:val="00481BD8"/>
    <w:rsid w:val="00481CE1"/>
    <w:rsid w:val="00483F78"/>
    <w:rsid w:val="004840B6"/>
    <w:rsid w:val="004857F5"/>
    <w:rsid w:val="00485E48"/>
    <w:rsid w:val="00487B1E"/>
    <w:rsid w:val="00494F8B"/>
    <w:rsid w:val="004A12B6"/>
    <w:rsid w:val="004A2251"/>
    <w:rsid w:val="004A2EEC"/>
    <w:rsid w:val="004A794F"/>
    <w:rsid w:val="004B0E6D"/>
    <w:rsid w:val="004B3076"/>
    <w:rsid w:val="004B36B0"/>
    <w:rsid w:val="004B386B"/>
    <w:rsid w:val="004B57BA"/>
    <w:rsid w:val="004B5A05"/>
    <w:rsid w:val="004C193F"/>
    <w:rsid w:val="004C3BEF"/>
    <w:rsid w:val="004C5EA9"/>
    <w:rsid w:val="004C67E6"/>
    <w:rsid w:val="004C7E4B"/>
    <w:rsid w:val="004D1614"/>
    <w:rsid w:val="004D2D81"/>
    <w:rsid w:val="004D412C"/>
    <w:rsid w:val="004E0676"/>
    <w:rsid w:val="004E0E07"/>
    <w:rsid w:val="004E10FC"/>
    <w:rsid w:val="004E2173"/>
    <w:rsid w:val="004E28E5"/>
    <w:rsid w:val="004E5105"/>
    <w:rsid w:val="004F1554"/>
    <w:rsid w:val="004F5EC1"/>
    <w:rsid w:val="004F7316"/>
    <w:rsid w:val="004F77A4"/>
    <w:rsid w:val="00502AB1"/>
    <w:rsid w:val="00503041"/>
    <w:rsid w:val="00505E56"/>
    <w:rsid w:val="005061BA"/>
    <w:rsid w:val="00506F1D"/>
    <w:rsid w:val="0050717C"/>
    <w:rsid w:val="00507655"/>
    <w:rsid w:val="00507E62"/>
    <w:rsid w:val="005100B1"/>
    <w:rsid w:val="00510B97"/>
    <w:rsid w:val="0051396B"/>
    <w:rsid w:val="00513AC3"/>
    <w:rsid w:val="00520B84"/>
    <w:rsid w:val="00521D95"/>
    <w:rsid w:val="00523E5E"/>
    <w:rsid w:val="00524F5B"/>
    <w:rsid w:val="00525BBA"/>
    <w:rsid w:val="00526CAE"/>
    <w:rsid w:val="00527B34"/>
    <w:rsid w:val="00530DE0"/>
    <w:rsid w:val="00531136"/>
    <w:rsid w:val="00532EA1"/>
    <w:rsid w:val="00534FC6"/>
    <w:rsid w:val="005359B2"/>
    <w:rsid w:val="00537441"/>
    <w:rsid w:val="00541719"/>
    <w:rsid w:val="00541918"/>
    <w:rsid w:val="005451EE"/>
    <w:rsid w:val="005516E6"/>
    <w:rsid w:val="00556339"/>
    <w:rsid w:val="00556F7F"/>
    <w:rsid w:val="00561DC3"/>
    <w:rsid w:val="005665DE"/>
    <w:rsid w:val="00570CE1"/>
    <w:rsid w:val="00571F08"/>
    <w:rsid w:val="0057351A"/>
    <w:rsid w:val="005746FE"/>
    <w:rsid w:val="00577841"/>
    <w:rsid w:val="00577FC9"/>
    <w:rsid w:val="005806C2"/>
    <w:rsid w:val="00581C59"/>
    <w:rsid w:val="00582E89"/>
    <w:rsid w:val="005843E2"/>
    <w:rsid w:val="0058600D"/>
    <w:rsid w:val="005878DB"/>
    <w:rsid w:val="005925E5"/>
    <w:rsid w:val="00592C45"/>
    <w:rsid w:val="00594FA8"/>
    <w:rsid w:val="005957B0"/>
    <w:rsid w:val="005969DE"/>
    <w:rsid w:val="005A2A03"/>
    <w:rsid w:val="005A4FF7"/>
    <w:rsid w:val="005A7870"/>
    <w:rsid w:val="005B095D"/>
    <w:rsid w:val="005B1AB9"/>
    <w:rsid w:val="005B2CBB"/>
    <w:rsid w:val="005B2FBB"/>
    <w:rsid w:val="005B40E8"/>
    <w:rsid w:val="005B6C0F"/>
    <w:rsid w:val="005B70BC"/>
    <w:rsid w:val="005B761D"/>
    <w:rsid w:val="005B7BF2"/>
    <w:rsid w:val="005C0012"/>
    <w:rsid w:val="005C0617"/>
    <w:rsid w:val="005C0937"/>
    <w:rsid w:val="005C0B26"/>
    <w:rsid w:val="005C0CA6"/>
    <w:rsid w:val="005C2C77"/>
    <w:rsid w:val="005C304D"/>
    <w:rsid w:val="005C3419"/>
    <w:rsid w:val="005C4123"/>
    <w:rsid w:val="005C7885"/>
    <w:rsid w:val="005D0FDC"/>
    <w:rsid w:val="005D3F2D"/>
    <w:rsid w:val="005D45AB"/>
    <w:rsid w:val="005D51A5"/>
    <w:rsid w:val="005D6115"/>
    <w:rsid w:val="005E06FA"/>
    <w:rsid w:val="005E12AA"/>
    <w:rsid w:val="005E259A"/>
    <w:rsid w:val="005E3240"/>
    <w:rsid w:val="005E47CB"/>
    <w:rsid w:val="005F0C53"/>
    <w:rsid w:val="005F27DD"/>
    <w:rsid w:val="005F2910"/>
    <w:rsid w:val="005F39FA"/>
    <w:rsid w:val="005F5792"/>
    <w:rsid w:val="005F5B9D"/>
    <w:rsid w:val="005F649A"/>
    <w:rsid w:val="005F7E7C"/>
    <w:rsid w:val="00600777"/>
    <w:rsid w:val="00601F2C"/>
    <w:rsid w:val="00602614"/>
    <w:rsid w:val="006031CD"/>
    <w:rsid w:val="00606A61"/>
    <w:rsid w:val="00607BD9"/>
    <w:rsid w:val="00610134"/>
    <w:rsid w:val="00610175"/>
    <w:rsid w:val="00611F56"/>
    <w:rsid w:val="006158EF"/>
    <w:rsid w:val="00617284"/>
    <w:rsid w:val="006176BB"/>
    <w:rsid w:val="00621059"/>
    <w:rsid w:val="006230F5"/>
    <w:rsid w:val="0063287B"/>
    <w:rsid w:val="00632D31"/>
    <w:rsid w:val="006356CA"/>
    <w:rsid w:val="006364FC"/>
    <w:rsid w:val="00636A13"/>
    <w:rsid w:val="00640C7F"/>
    <w:rsid w:val="00641250"/>
    <w:rsid w:val="006446C3"/>
    <w:rsid w:val="00646033"/>
    <w:rsid w:val="006467F6"/>
    <w:rsid w:val="00647885"/>
    <w:rsid w:val="00652A10"/>
    <w:rsid w:val="00652E2B"/>
    <w:rsid w:val="006549A2"/>
    <w:rsid w:val="00657635"/>
    <w:rsid w:val="00660211"/>
    <w:rsid w:val="00665977"/>
    <w:rsid w:val="00665D97"/>
    <w:rsid w:val="00665FCA"/>
    <w:rsid w:val="006669D0"/>
    <w:rsid w:val="00666D2C"/>
    <w:rsid w:val="00667DC3"/>
    <w:rsid w:val="00670293"/>
    <w:rsid w:val="0067034E"/>
    <w:rsid w:val="0067373D"/>
    <w:rsid w:val="00673B17"/>
    <w:rsid w:val="00673D19"/>
    <w:rsid w:val="006768DE"/>
    <w:rsid w:val="00677225"/>
    <w:rsid w:val="00677546"/>
    <w:rsid w:val="00680BB3"/>
    <w:rsid w:val="00681099"/>
    <w:rsid w:val="00684D23"/>
    <w:rsid w:val="00687B1F"/>
    <w:rsid w:val="0069228A"/>
    <w:rsid w:val="006A2E12"/>
    <w:rsid w:val="006A4CF0"/>
    <w:rsid w:val="006A4E76"/>
    <w:rsid w:val="006A58DA"/>
    <w:rsid w:val="006A6049"/>
    <w:rsid w:val="006A6906"/>
    <w:rsid w:val="006A6A1F"/>
    <w:rsid w:val="006A7D7B"/>
    <w:rsid w:val="006B0C51"/>
    <w:rsid w:val="006B2255"/>
    <w:rsid w:val="006B35E4"/>
    <w:rsid w:val="006C2BB1"/>
    <w:rsid w:val="006C5015"/>
    <w:rsid w:val="006C63AB"/>
    <w:rsid w:val="006C6F34"/>
    <w:rsid w:val="006C731D"/>
    <w:rsid w:val="006D169D"/>
    <w:rsid w:val="006D21BD"/>
    <w:rsid w:val="006D33E0"/>
    <w:rsid w:val="006D77B7"/>
    <w:rsid w:val="006D7989"/>
    <w:rsid w:val="006E01EB"/>
    <w:rsid w:val="006E2ED5"/>
    <w:rsid w:val="006E3924"/>
    <w:rsid w:val="006E5B5F"/>
    <w:rsid w:val="006E7DAF"/>
    <w:rsid w:val="006F0E5B"/>
    <w:rsid w:val="006F1E7A"/>
    <w:rsid w:val="006F2562"/>
    <w:rsid w:val="006F40C0"/>
    <w:rsid w:val="006F5C7B"/>
    <w:rsid w:val="006F7C1B"/>
    <w:rsid w:val="00701475"/>
    <w:rsid w:val="00701762"/>
    <w:rsid w:val="00703845"/>
    <w:rsid w:val="0070518B"/>
    <w:rsid w:val="007052B1"/>
    <w:rsid w:val="00705DB8"/>
    <w:rsid w:val="00705FD3"/>
    <w:rsid w:val="00707B47"/>
    <w:rsid w:val="007121BE"/>
    <w:rsid w:val="007123C6"/>
    <w:rsid w:val="00712CA0"/>
    <w:rsid w:val="00713A6F"/>
    <w:rsid w:val="00713E7B"/>
    <w:rsid w:val="007142BB"/>
    <w:rsid w:val="007150D6"/>
    <w:rsid w:val="00715439"/>
    <w:rsid w:val="007156A0"/>
    <w:rsid w:val="00716909"/>
    <w:rsid w:val="00716A2E"/>
    <w:rsid w:val="007174AD"/>
    <w:rsid w:val="007204F4"/>
    <w:rsid w:val="007208EE"/>
    <w:rsid w:val="0072130F"/>
    <w:rsid w:val="007219DC"/>
    <w:rsid w:val="00724F49"/>
    <w:rsid w:val="00732139"/>
    <w:rsid w:val="0073256E"/>
    <w:rsid w:val="00733011"/>
    <w:rsid w:val="007333C8"/>
    <w:rsid w:val="00733DD3"/>
    <w:rsid w:val="00734DBF"/>
    <w:rsid w:val="007363AF"/>
    <w:rsid w:val="0073646A"/>
    <w:rsid w:val="00737A1D"/>
    <w:rsid w:val="00737BCD"/>
    <w:rsid w:val="007405CA"/>
    <w:rsid w:val="0074604B"/>
    <w:rsid w:val="0074649B"/>
    <w:rsid w:val="00754C96"/>
    <w:rsid w:val="00755639"/>
    <w:rsid w:val="0075591E"/>
    <w:rsid w:val="00757099"/>
    <w:rsid w:val="00757586"/>
    <w:rsid w:val="00757A56"/>
    <w:rsid w:val="00761D86"/>
    <w:rsid w:val="00763529"/>
    <w:rsid w:val="007635A7"/>
    <w:rsid w:val="00763D6C"/>
    <w:rsid w:val="00763F6F"/>
    <w:rsid w:val="00764015"/>
    <w:rsid w:val="007653FC"/>
    <w:rsid w:val="00765425"/>
    <w:rsid w:val="00766644"/>
    <w:rsid w:val="00766FAE"/>
    <w:rsid w:val="007679EA"/>
    <w:rsid w:val="0077305C"/>
    <w:rsid w:val="007746C1"/>
    <w:rsid w:val="00775CEA"/>
    <w:rsid w:val="00777C0E"/>
    <w:rsid w:val="00782704"/>
    <w:rsid w:val="00782DB3"/>
    <w:rsid w:val="00783E8F"/>
    <w:rsid w:val="00783F33"/>
    <w:rsid w:val="007919BD"/>
    <w:rsid w:val="00793218"/>
    <w:rsid w:val="00793347"/>
    <w:rsid w:val="00793D48"/>
    <w:rsid w:val="007958F7"/>
    <w:rsid w:val="00797D24"/>
    <w:rsid w:val="007A4EF1"/>
    <w:rsid w:val="007A52C4"/>
    <w:rsid w:val="007A6B3B"/>
    <w:rsid w:val="007A7AED"/>
    <w:rsid w:val="007A7DD9"/>
    <w:rsid w:val="007B1937"/>
    <w:rsid w:val="007B34D4"/>
    <w:rsid w:val="007B3F21"/>
    <w:rsid w:val="007B5C09"/>
    <w:rsid w:val="007C2499"/>
    <w:rsid w:val="007C3017"/>
    <w:rsid w:val="007C5A39"/>
    <w:rsid w:val="007C5BAC"/>
    <w:rsid w:val="007C7384"/>
    <w:rsid w:val="007D0141"/>
    <w:rsid w:val="007D04FC"/>
    <w:rsid w:val="007D0704"/>
    <w:rsid w:val="007D786A"/>
    <w:rsid w:val="007E2BD2"/>
    <w:rsid w:val="007E5269"/>
    <w:rsid w:val="007E59E4"/>
    <w:rsid w:val="007E6D18"/>
    <w:rsid w:val="007E7599"/>
    <w:rsid w:val="007F031F"/>
    <w:rsid w:val="007F0A55"/>
    <w:rsid w:val="007F2E42"/>
    <w:rsid w:val="007F395A"/>
    <w:rsid w:val="007F3BD3"/>
    <w:rsid w:val="007F605E"/>
    <w:rsid w:val="007F67FF"/>
    <w:rsid w:val="007F692C"/>
    <w:rsid w:val="007F6D05"/>
    <w:rsid w:val="00800A5B"/>
    <w:rsid w:val="00800B31"/>
    <w:rsid w:val="008018CC"/>
    <w:rsid w:val="008023B7"/>
    <w:rsid w:val="008023CC"/>
    <w:rsid w:val="0080273E"/>
    <w:rsid w:val="0080456C"/>
    <w:rsid w:val="008047C6"/>
    <w:rsid w:val="008113BB"/>
    <w:rsid w:val="008120AB"/>
    <w:rsid w:val="008131C8"/>
    <w:rsid w:val="00816C74"/>
    <w:rsid w:val="00817599"/>
    <w:rsid w:val="008203A5"/>
    <w:rsid w:val="00820615"/>
    <w:rsid w:val="00820AC8"/>
    <w:rsid w:val="008222E4"/>
    <w:rsid w:val="008228EA"/>
    <w:rsid w:val="00830200"/>
    <w:rsid w:val="00832A05"/>
    <w:rsid w:val="00833708"/>
    <w:rsid w:val="00833CFD"/>
    <w:rsid w:val="0083528C"/>
    <w:rsid w:val="00835644"/>
    <w:rsid w:val="00840826"/>
    <w:rsid w:val="008408CE"/>
    <w:rsid w:val="00844C15"/>
    <w:rsid w:val="0085164F"/>
    <w:rsid w:val="0085169D"/>
    <w:rsid w:val="00851F9D"/>
    <w:rsid w:val="00852DD7"/>
    <w:rsid w:val="008550EA"/>
    <w:rsid w:val="00856EB3"/>
    <w:rsid w:val="00857697"/>
    <w:rsid w:val="008608B2"/>
    <w:rsid w:val="00860D33"/>
    <w:rsid w:val="00861A38"/>
    <w:rsid w:val="008627C6"/>
    <w:rsid w:val="008641A2"/>
    <w:rsid w:val="00865F6D"/>
    <w:rsid w:val="00866092"/>
    <w:rsid w:val="008666A3"/>
    <w:rsid w:val="0087021F"/>
    <w:rsid w:val="00870845"/>
    <w:rsid w:val="008740E5"/>
    <w:rsid w:val="00875E04"/>
    <w:rsid w:val="008761A9"/>
    <w:rsid w:val="008767F9"/>
    <w:rsid w:val="00882B30"/>
    <w:rsid w:val="00883D32"/>
    <w:rsid w:val="008859CA"/>
    <w:rsid w:val="008876F3"/>
    <w:rsid w:val="00890DFD"/>
    <w:rsid w:val="00892C97"/>
    <w:rsid w:val="008932C5"/>
    <w:rsid w:val="00894036"/>
    <w:rsid w:val="00894EB3"/>
    <w:rsid w:val="008970A9"/>
    <w:rsid w:val="008A2003"/>
    <w:rsid w:val="008A3290"/>
    <w:rsid w:val="008A3B11"/>
    <w:rsid w:val="008A5A18"/>
    <w:rsid w:val="008A5CAE"/>
    <w:rsid w:val="008A61D0"/>
    <w:rsid w:val="008A7664"/>
    <w:rsid w:val="008A7AA7"/>
    <w:rsid w:val="008B135C"/>
    <w:rsid w:val="008B3B4D"/>
    <w:rsid w:val="008B61C6"/>
    <w:rsid w:val="008B6FE0"/>
    <w:rsid w:val="008C1F5D"/>
    <w:rsid w:val="008C21D9"/>
    <w:rsid w:val="008C2AD1"/>
    <w:rsid w:val="008C3134"/>
    <w:rsid w:val="008C3BBC"/>
    <w:rsid w:val="008C42C9"/>
    <w:rsid w:val="008C49AD"/>
    <w:rsid w:val="008C598D"/>
    <w:rsid w:val="008D0970"/>
    <w:rsid w:val="008D1E9E"/>
    <w:rsid w:val="008D2439"/>
    <w:rsid w:val="008D2659"/>
    <w:rsid w:val="008D586A"/>
    <w:rsid w:val="008E0A50"/>
    <w:rsid w:val="008E1F03"/>
    <w:rsid w:val="008E2F9A"/>
    <w:rsid w:val="008E394B"/>
    <w:rsid w:val="008E56E5"/>
    <w:rsid w:val="008E6DD2"/>
    <w:rsid w:val="008F4DDC"/>
    <w:rsid w:val="008F59D4"/>
    <w:rsid w:val="008F7BC6"/>
    <w:rsid w:val="0090060B"/>
    <w:rsid w:val="009039B1"/>
    <w:rsid w:val="00904160"/>
    <w:rsid w:val="009059F5"/>
    <w:rsid w:val="00905F64"/>
    <w:rsid w:val="00905FFE"/>
    <w:rsid w:val="0090600B"/>
    <w:rsid w:val="0090689B"/>
    <w:rsid w:val="00906DCA"/>
    <w:rsid w:val="009115DF"/>
    <w:rsid w:val="0091245E"/>
    <w:rsid w:val="009159B5"/>
    <w:rsid w:val="00915D11"/>
    <w:rsid w:val="009214F7"/>
    <w:rsid w:val="009221AF"/>
    <w:rsid w:val="0092538D"/>
    <w:rsid w:val="00931C9C"/>
    <w:rsid w:val="00932C1C"/>
    <w:rsid w:val="00935BF5"/>
    <w:rsid w:val="00936DCD"/>
    <w:rsid w:val="009371AC"/>
    <w:rsid w:val="00937E7E"/>
    <w:rsid w:val="009439BB"/>
    <w:rsid w:val="009441E6"/>
    <w:rsid w:val="00944ACE"/>
    <w:rsid w:val="00947C9B"/>
    <w:rsid w:val="0095142D"/>
    <w:rsid w:val="00954041"/>
    <w:rsid w:val="00956EAF"/>
    <w:rsid w:val="00956FCE"/>
    <w:rsid w:val="00956FE3"/>
    <w:rsid w:val="00957D73"/>
    <w:rsid w:val="009620D2"/>
    <w:rsid w:val="009632EE"/>
    <w:rsid w:val="00965C49"/>
    <w:rsid w:val="00966E50"/>
    <w:rsid w:val="009677A4"/>
    <w:rsid w:val="0097340B"/>
    <w:rsid w:val="009753D4"/>
    <w:rsid w:val="009754A8"/>
    <w:rsid w:val="00980053"/>
    <w:rsid w:val="00984988"/>
    <w:rsid w:val="0098544C"/>
    <w:rsid w:val="0098559F"/>
    <w:rsid w:val="009860E1"/>
    <w:rsid w:val="009904B0"/>
    <w:rsid w:val="009907A7"/>
    <w:rsid w:val="00990EED"/>
    <w:rsid w:val="0099179E"/>
    <w:rsid w:val="00994A52"/>
    <w:rsid w:val="009974F0"/>
    <w:rsid w:val="009A1021"/>
    <w:rsid w:val="009A26A0"/>
    <w:rsid w:val="009A26ED"/>
    <w:rsid w:val="009A39D3"/>
    <w:rsid w:val="009A4A8B"/>
    <w:rsid w:val="009A67D9"/>
    <w:rsid w:val="009B07E8"/>
    <w:rsid w:val="009B41DF"/>
    <w:rsid w:val="009B576E"/>
    <w:rsid w:val="009C0451"/>
    <w:rsid w:val="009C307E"/>
    <w:rsid w:val="009C5D98"/>
    <w:rsid w:val="009D1F66"/>
    <w:rsid w:val="009D3C2D"/>
    <w:rsid w:val="009D3D8B"/>
    <w:rsid w:val="009D4067"/>
    <w:rsid w:val="009D50DC"/>
    <w:rsid w:val="009D5368"/>
    <w:rsid w:val="009D53B6"/>
    <w:rsid w:val="009D7FA0"/>
    <w:rsid w:val="009E1991"/>
    <w:rsid w:val="009E273B"/>
    <w:rsid w:val="009E2A68"/>
    <w:rsid w:val="009E561B"/>
    <w:rsid w:val="009E58F7"/>
    <w:rsid w:val="009F223D"/>
    <w:rsid w:val="009F27A6"/>
    <w:rsid w:val="009F2E70"/>
    <w:rsid w:val="009F323A"/>
    <w:rsid w:val="009F5EC9"/>
    <w:rsid w:val="009F5EE7"/>
    <w:rsid w:val="009F72BD"/>
    <w:rsid w:val="00A005C2"/>
    <w:rsid w:val="00A00C40"/>
    <w:rsid w:val="00A00E7A"/>
    <w:rsid w:val="00A00ED0"/>
    <w:rsid w:val="00A0130E"/>
    <w:rsid w:val="00A0358B"/>
    <w:rsid w:val="00A03E29"/>
    <w:rsid w:val="00A04817"/>
    <w:rsid w:val="00A0555A"/>
    <w:rsid w:val="00A065CF"/>
    <w:rsid w:val="00A06D9F"/>
    <w:rsid w:val="00A12A05"/>
    <w:rsid w:val="00A13460"/>
    <w:rsid w:val="00A139C8"/>
    <w:rsid w:val="00A1473D"/>
    <w:rsid w:val="00A156C1"/>
    <w:rsid w:val="00A15B18"/>
    <w:rsid w:val="00A2008E"/>
    <w:rsid w:val="00A2013E"/>
    <w:rsid w:val="00A20576"/>
    <w:rsid w:val="00A21322"/>
    <w:rsid w:val="00A21A8F"/>
    <w:rsid w:val="00A23BF8"/>
    <w:rsid w:val="00A2459F"/>
    <w:rsid w:val="00A2470B"/>
    <w:rsid w:val="00A2563C"/>
    <w:rsid w:val="00A25889"/>
    <w:rsid w:val="00A25E32"/>
    <w:rsid w:val="00A2647E"/>
    <w:rsid w:val="00A30C8C"/>
    <w:rsid w:val="00A31963"/>
    <w:rsid w:val="00A320D5"/>
    <w:rsid w:val="00A323DB"/>
    <w:rsid w:val="00A344D5"/>
    <w:rsid w:val="00A346D8"/>
    <w:rsid w:val="00A3478F"/>
    <w:rsid w:val="00A4230C"/>
    <w:rsid w:val="00A42BD2"/>
    <w:rsid w:val="00A4311A"/>
    <w:rsid w:val="00A44DEE"/>
    <w:rsid w:val="00A601DD"/>
    <w:rsid w:val="00A6507A"/>
    <w:rsid w:val="00A65270"/>
    <w:rsid w:val="00A6566D"/>
    <w:rsid w:val="00A67446"/>
    <w:rsid w:val="00A705E9"/>
    <w:rsid w:val="00A7699B"/>
    <w:rsid w:val="00A76C8E"/>
    <w:rsid w:val="00A80482"/>
    <w:rsid w:val="00A851CB"/>
    <w:rsid w:val="00A873D8"/>
    <w:rsid w:val="00A90878"/>
    <w:rsid w:val="00A91483"/>
    <w:rsid w:val="00A9245B"/>
    <w:rsid w:val="00A93C71"/>
    <w:rsid w:val="00A94867"/>
    <w:rsid w:val="00A94B8F"/>
    <w:rsid w:val="00A9553F"/>
    <w:rsid w:val="00A95DA8"/>
    <w:rsid w:val="00A964B0"/>
    <w:rsid w:val="00A9763B"/>
    <w:rsid w:val="00A97E3B"/>
    <w:rsid w:val="00AA1BB5"/>
    <w:rsid w:val="00AA7E7A"/>
    <w:rsid w:val="00AB0CDC"/>
    <w:rsid w:val="00AB14D9"/>
    <w:rsid w:val="00AB62A5"/>
    <w:rsid w:val="00AC1015"/>
    <w:rsid w:val="00AC2029"/>
    <w:rsid w:val="00AC22F6"/>
    <w:rsid w:val="00AC2EBB"/>
    <w:rsid w:val="00AC2F0D"/>
    <w:rsid w:val="00AC407E"/>
    <w:rsid w:val="00AC4C98"/>
    <w:rsid w:val="00AC51EB"/>
    <w:rsid w:val="00AC5CAC"/>
    <w:rsid w:val="00AC7BF1"/>
    <w:rsid w:val="00AD02C7"/>
    <w:rsid w:val="00AD20B3"/>
    <w:rsid w:val="00AD2660"/>
    <w:rsid w:val="00AD276C"/>
    <w:rsid w:val="00AD2F31"/>
    <w:rsid w:val="00AD40ED"/>
    <w:rsid w:val="00AD6A86"/>
    <w:rsid w:val="00AE09FE"/>
    <w:rsid w:val="00AE0DFC"/>
    <w:rsid w:val="00AE1FD4"/>
    <w:rsid w:val="00AE4D10"/>
    <w:rsid w:val="00AE538D"/>
    <w:rsid w:val="00AE7872"/>
    <w:rsid w:val="00AE7E4B"/>
    <w:rsid w:val="00AF202F"/>
    <w:rsid w:val="00AF2ED4"/>
    <w:rsid w:val="00AF4000"/>
    <w:rsid w:val="00AF4ED4"/>
    <w:rsid w:val="00AF5078"/>
    <w:rsid w:val="00B0060C"/>
    <w:rsid w:val="00B00797"/>
    <w:rsid w:val="00B0491C"/>
    <w:rsid w:val="00B06077"/>
    <w:rsid w:val="00B07B9A"/>
    <w:rsid w:val="00B1246B"/>
    <w:rsid w:val="00B1264B"/>
    <w:rsid w:val="00B12AF8"/>
    <w:rsid w:val="00B144C8"/>
    <w:rsid w:val="00B15C6C"/>
    <w:rsid w:val="00B16778"/>
    <w:rsid w:val="00B17A4E"/>
    <w:rsid w:val="00B17DEE"/>
    <w:rsid w:val="00B201A7"/>
    <w:rsid w:val="00B205D5"/>
    <w:rsid w:val="00B20DDB"/>
    <w:rsid w:val="00B26525"/>
    <w:rsid w:val="00B26923"/>
    <w:rsid w:val="00B26EF3"/>
    <w:rsid w:val="00B318D6"/>
    <w:rsid w:val="00B32388"/>
    <w:rsid w:val="00B326D9"/>
    <w:rsid w:val="00B3616E"/>
    <w:rsid w:val="00B40296"/>
    <w:rsid w:val="00B427D4"/>
    <w:rsid w:val="00B428BE"/>
    <w:rsid w:val="00B4292E"/>
    <w:rsid w:val="00B45103"/>
    <w:rsid w:val="00B45F39"/>
    <w:rsid w:val="00B45FB7"/>
    <w:rsid w:val="00B47234"/>
    <w:rsid w:val="00B527A6"/>
    <w:rsid w:val="00B52945"/>
    <w:rsid w:val="00B54451"/>
    <w:rsid w:val="00B54D10"/>
    <w:rsid w:val="00B552BB"/>
    <w:rsid w:val="00B62135"/>
    <w:rsid w:val="00B63C24"/>
    <w:rsid w:val="00B65319"/>
    <w:rsid w:val="00B66D1C"/>
    <w:rsid w:val="00B67024"/>
    <w:rsid w:val="00B67F65"/>
    <w:rsid w:val="00B7005C"/>
    <w:rsid w:val="00B73AAE"/>
    <w:rsid w:val="00B75F68"/>
    <w:rsid w:val="00B8019E"/>
    <w:rsid w:val="00B80221"/>
    <w:rsid w:val="00B80D99"/>
    <w:rsid w:val="00B8183B"/>
    <w:rsid w:val="00B82249"/>
    <w:rsid w:val="00B84384"/>
    <w:rsid w:val="00B8444A"/>
    <w:rsid w:val="00B864EA"/>
    <w:rsid w:val="00B875F0"/>
    <w:rsid w:val="00B87851"/>
    <w:rsid w:val="00B87CF9"/>
    <w:rsid w:val="00B9255B"/>
    <w:rsid w:val="00B92E67"/>
    <w:rsid w:val="00B9360B"/>
    <w:rsid w:val="00B9667C"/>
    <w:rsid w:val="00B975EA"/>
    <w:rsid w:val="00B97F78"/>
    <w:rsid w:val="00BA47E7"/>
    <w:rsid w:val="00BA634A"/>
    <w:rsid w:val="00BB1814"/>
    <w:rsid w:val="00BB23B4"/>
    <w:rsid w:val="00BB277A"/>
    <w:rsid w:val="00BB612A"/>
    <w:rsid w:val="00BB6894"/>
    <w:rsid w:val="00BB6912"/>
    <w:rsid w:val="00BB728E"/>
    <w:rsid w:val="00BC1085"/>
    <w:rsid w:val="00BC40D9"/>
    <w:rsid w:val="00BC4855"/>
    <w:rsid w:val="00BC4E5B"/>
    <w:rsid w:val="00BC510F"/>
    <w:rsid w:val="00BC6C45"/>
    <w:rsid w:val="00BC7958"/>
    <w:rsid w:val="00BC7A2A"/>
    <w:rsid w:val="00BD0700"/>
    <w:rsid w:val="00BD2B44"/>
    <w:rsid w:val="00BD401F"/>
    <w:rsid w:val="00BD45CE"/>
    <w:rsid w:val="00BD4C1B"/>
    <w:rsid w:val="00BD5F01"/>
    <w:rsid w:val="00BD61DC"/>
    <w:rsid w:val="00BD6CDF"/>
    <w:rsid w:val="00BD6EA0"/>
    <w:rsid w:val="00BD7E22"/>
    <w:rsid w:val="00BE08FC"/>
    <w:rsid w:val="00BE3196"/>
    <w:rsid w:val="00BE34B6"/>
    <w:rsid w:val="00BE5C0B"/>
    <w:rsid w:val="00BE7181"/>
    <w:rsid w:val="00BE793A"/>
    <w:rsid w:val="00BF0AE5"/>
    <w:rsid w:val="00BF0FC7"/>
    <w:rsid w:val="00BF2DF1"/>
    <w:rsid w:val="00BF3678"/>
    <w:rsid w:val="00BF50AE"/>
    <w:rsid w:val="00BF639F"/>
    <w:rsid w:val="00BF697C"/>
    <w:rsid w:val="00BF6AA3"/>
    <w:rsid w:val="00C034FB"/>
    <w:rsid w:val="00C07D17"/>
    <w:rsid w:val="00C11FD2"/>
    <w:rsid w:val="00C13136"/>
    <w:rsid w:val="00C13A11"/>
    <w:rsid w:val="00C13D7E"/>
    <w:rsid w:val="00C15C56"/>
    <w:rsid w:val="00C16438"/>
    <w:rsid w:val="00C17458"/>
    <w:rsid w:val="00C1799D"/>
    <w:rsid w:val="00C20B5C"/>
    <w:rsid w:val="00C23A06"/>
    <w:rsid w:val="00C306C8"/>
    <w:rsid w:val="00C310AB"/>
    <w:rsid w:val="00C310E8"/>
    <w:rsid w:val="00C31EBC"/>
    <w:rsid w:val="00C33D07"/>
    <w:rsid w:val="00C341C3"/>
    <w:rsid w:val="00C34C9D"/>
    <w:rsid w:val="00C35238"/>
    <w:rsid w:val="00C352E1"/>
    <w:rsid w:val="00C37763"/>
    <w:rsid w:val="00C41FE2"/>
    <w:rsid w:val="00C4236C"/>
    <w:rsid w:val="00C42E85"/>
    <w:rsid w:val="00C444A5"/>
    <w:rsid w:val="00C45403"/>
    <w:rsid w:val="00C45B2C"/>
    <w:rsid w:val="00C46DA9"/>
    <w:rsid w:val="00C51C75"/>
    <w:rsid w:val="00C526CA"/>
    <w:rsid w:val="00C53614"/>
    <w:rsid w:val="00C537E7"/>
    <w:rsid w:val="00C54173"/>
    <w:rsid w:val="00C5686E"/>
    <w:rsid w:val="00C56AEF"/>
    <w:rsid w:val="00C57006"/>
    <w:rsid w:val="00C57A47"/>
    <w:rsid w:val="00C63CAF"/>
    <w:rsid w:val="00C65350"/>
    <w:rsid w:val="00C66117"/>
    <w:rsid w:val="00C66443"/>
    <w:rsid w:val="00C67209"/>
    <w:rsid w:val="00C679F1"/>
    <w:rsid w:val="00C71116"/>
    <w:rsid w:val="00C71E77"/>
    <w:rsid w:val="00C72ED8"/>
    <w:rsid w:val="00C755BF"/>
    <w:rsid w:val="00C773B6"/>
    <w:rsid w:val="00C77FA2"/>
    <w:rsid w:val="00C827BB"/>
    <w:rsid w:val="00C828D2"/>
    <w:rsid w:val="00C86DE7"/>
    <w:rsid w:val="00C879BA"/>
    <w:rsid w:val="00C910D5"/>
    <w:rsid w:val="00C94225"/>
    <w:rsid w:val="00C94937"/>
    <w:rsid w:val="00C94C05"/>
    <w:rsid w:val="00C94C11"/>
    <w:rsid w:val="00C94D09"/>
    <w:rsid w:val="00C963F1"/>
    <w:rsid w:val="00C9745E"/>
    <w:rsid w:val="00CA044F"/>
    <w:rsid w:val="00CA1C0E"/>
    <w:rsid w:val="00CA30EE"/>
    <w:rsid w:val="00CA3E9A"/>
    <w:rsid w:val="00CA69F4"/>
    <w:rsid w:val="00CA6A2C"/>
    <w:rsid w:val="00CB20CA"/>
    <w:rsid w:val="00CB2F75"/>
    <w:rsid w:val="00CB31BA"/>
    <w:rsid w:val="00CB425A"/>
    <w:rsid w:val="00CB7991"/>
    <w:rsid w:val="00CC10FF"/>
    <w:rsid w:val="00CC13F3"/>
    <w:rsid w:val="00CC255B"/>
    <w:rsid w:val="00CC2860"/>
    <w:rsid w:val="00CC3BA8"/>
    <w:rsid w:val="00CC630C"/>
    <w:rsid w:val="00CC719D"/>
    <w:rsid w:val="00CC7311"/>
    <w:rsid w:val="00CD325F"/>
    <w:rsid w:val="00CD50D1"/>
    <w:rsid w:val="00CD7A08"/>
    <w:rsid w:val="00CE0A11"/>
    <w:rsid w:val="00CE1737"/>
    <w:rsid w:val="00CE34C9"/>
    <w:rsid w:val="00CE3EA0"/>
    <w:rsid w:val="00CE74B5"/>
    <w:rsid w:val="00CE7FBD"/>
    <w:rsid w:val="00CF1AA2"/>
    <w:rsid w:val="00CF2092"/>
    <w:rsid w:val="00CF523F"/>
    <w:rsid w:val="00CF5CF8"/>
    <w:rsid w:val="00CF693B"/>
    <w:rsid w:val="00CF70EF"/>
    <w:rsid w:val="00CF7166"/>
    <w:rsid w:val="00CF746F"/>
    <w:rsid w:val="00D01D2F"/>
    <w:rsid w:val="00D026B9"/>
    <w:rsid w:val="00D02FA9"/>
    <w:rsid w:val="00D1177B"/>
    <w:rsid w:val="00D11AB9"/>
    <w:rsid w:val="00D12646"/>
    <w:rsid w:val="00D12973"/>
    <w:rsid w:val="00D1326E"/>
    <w:rsid w:val="00D138A4"/>
    <w:rsid w:val="00D14204"/>
    <w:rsid w:val="00D14DD2"/>
    <w:rsid w:val="00D1522B"/>
    <w:rsid w:val="00D15353"/>
    <w:rsid w:val="00D17A3F"/>
    <w:rsid w:val="00D21B99"/>
    <w:rsid w:val="00D223C9"/>
    <w:rsid w:val="00D22428"/>
    <w:rsid w:val="00D2267C"/>
    <w:rsid w:val="00D234FB"/>
    <w:rsid w:val="00D240C3"/>
    <w:rsid w:val="00D254B3"/>
    <w:rsid w:val="00D25AC7"/>
    <w:rsid w:val="00D2665A"/>
    <w:rsid w:val="00D27C7C"/>
    <w:rsid w:val="00D30C48"/>
    <w:rsid w:val="00D31A88"/>
    <w:rsid w:val="00D330FF"/>
    <w:rsid w:val="00D37AA9"/>
    <w:rsid w:val="00D428A0"/>
    <w:rsid w:val="00D42C36"/>
    <w:rsid w:val="00D42E53"/>
    <w:rsid w:val="00D43507"/>
    <w:rsid w:val="00D43FA9"/>
    <w:rsid w:val="00D443DC"/>
    <w:rsid w:val="00D52876"/>
    <w:rsid w:val="00D5355E"/>
    <w:rsid w:val="00D558CA"/>
    <w:rsid w:val="00D5728D"/>
    <w:rsid w:val="00D57B91"/>
    <w:rsid w:val="00D627E2"/>
    <w:rsid w:val="00D6319E"/>
    <w:rsid w:val="00D643F7"/>
    <w:rsid w:val="00D6545B"/>
    <w:rsid w:val="00D654A3"/>
    <w:rsid w:val="00D66A68"/>
    <w:rsid w:val="00D752C1"/>
    <w:rsid w:val="00D7540D"/>
    <w:rsid w:val="00D7695D"/>
    <w:rsid w:val="00D82A26"/>
    <w:rsid w:val="00D869CC"/>
    <w:rsid w:val="00D87DD0"/>
    <w:rsid w:val="00D900CE"/>
    <w:rsid w:val="00D92CD2"/>
    <w:rsid w:val="00D94896"/>
    <w:rsid w:val="00D94BAB"/>
    <w:rsid w:val="00D94DD5"/>
    <w:rsid w:val="00D953C5"/>
    <w:rsid w:val="00D96352"/>
    <w:rsid w:val="00DA0AD7"/>
    <w:rsid w:val="00DA25D1"/>
    <w:rsid w:val="00DA3A83"/>
    <w:rsid w:val="00DA55DB"/>
    <w:rsid w:val="00DB0C9C"/>
    <w:rsid w:val="00DB17F9"/>
    <w:rsid w:val="00DB1E22"/>
    <w:rsid w:val="00DB4B56"/>
    <w:rsid w:val="00DC024E"/>
    <w:rsid w:val="00DC0AAD"/>
    <w:rsid w:val="00DC272B"/>
    <w:rsid w:val="00DC44AF"/>
    <w:rsid w:val="00DD09BB"/>
    <w:rsid w:val="00DD4C90"/>
    <w:rsid w:val="00DE5641"/>
    <w:rsid w:val="00DE6AE1"/>
    <w:rsid w:val="00DE72F7"/>
    <w:rsid w:val="00DE7F58"/>
    <w:rsid w:val="00DF00E9"/>
    <w:rsid w:val="00DF1EF5"/>
    <w:rsid w:val="00DF25FB"/>
    <w:rsid w:val="00DF485C"/>
    <w:rsid w:val="00DF4F55"/>
    <w:rsid w:val="00DF545B"/>
    <w:rsid w:val="00DF587C"/>
    <w:rsid w:val="00E0009C"/>
    <w:rsid w:val="00E02471"/>
    <w:rsid w:val="00E02ECF"/>
    <w:rsid w:val="00E02EEC"/>
    <w:rsid w:val="00E0468D"/>
    <w:rsid w:val="00E06072"/>
    <w:rsid w:val="00E07829"/>
    <w:rsid w:val="00E10F4D"/>
    <w:rsid w:val="00E17AF7"/>
    <w:rsid w:val="00E17F89"/>
    <w:rsid w:val="00E22099"/>
    <w:rsid w:val="00E24482"/>
    <w:rsid w:val="00E24E13"/>
    <w:rsid w:val="00E25D38"/>
    <w:rsid w:val="00E25FDC"/>
    <w:rsid w:val="00E261C2"/>
    <w:rsid w:val="00E26B43"/>
    <w:rsid w:val="00E30F00"/>
    <w:rsid w:val="00E365CD"/>
    <w:rsid w:val="00E369BE"/>
    <w:rsid w:val="00E36E65"/>
    <w:rsid w:val="00E415E7"/>
    <w:rsid w:val="00E417C2"/>
    <w:rsid w:val="00E419D3"/>
    <w:rsid w:val="00E43688"/>
    <w:rsid w:val="00E43FD1"/>
    <w:rsid w:val="00E4581B"/>
    <w:rsid w:val="00E502A8"/>
    <w:rsid w:val="00E50CBB"/>
    <w:rsid w:val="00E534EC"/>
    <w:rsid w:val="00E565C8"/>
    <w:rsid w:val="00E5775D"/>
    <w:rsid w:val="00E61681"/>
    <w:rsid w:val="00E63779"/>
    <w:rsid w:val="00E6610E"/>
    <w:rsid w:val="00E66F56"/>
    <w:rsid w:val="00E674A9"/>
    <w:rsid w:val="00E73EDF"/>
    <w:rsid w:val="00E74F44"/>
    <w:rsid w:val="00E751B7"/>
    <w:rsid w:val="00E76FD1"/>
    <w:rsid w:val="00E77396"/>
    <w:rsid w:val="00E81500"/>
    <w:rsid w:val="00E82F9A"/>
    <w:rsid w:val="00E84648"/>
    <w:rsid w:val="00E84B63"/>
    <w:rsid w:val="00E850E9"/>
    <w:rsid w:val="00E861D6"/>
    <w:rsid w:val="00E9162B"/>
    <w:rsid w:val="00E96536"/>
    <w:rsid w:val="00E96D6A"/>
    <w:rsid w:val="00E96E9D"/>
    <w:rsid w:val="00EA4A2F"/>
    <w:rsid w:val="00EB1D5A"/>
    <w:rsid w:val="00EB2BAB"/>
    <w:rsid w:val="00EB405C"/>
    <w:rsid w:val="00EB43E9"/>
    <w:rsid w:val="00EB5347"/>
    <w:rsid w:val="00EC19C7"/>
    <w:rsid w:val="00EC4E9E"/>
    <w:rsid w:val="00EC5D97"/>
    <w:rsid w:val="00ED0377"/>
    <w:rsid w:val="00ED10CC"/>
    <w:rsid w:val="00ED2B3A"/>
    <w:rsid w:val="00ED3235"/>
    <w:rsid w:val="00ED359D"/>
    <w:rsid w:val="00ED49F6"/>
    <w:rsid w:val="00ED681A"/>
    <w:rsid w:val="00ED6FEF"/>
    <w:rsid w:val="00EE00CC"/>
    <w:rsid w:val="00EE1250"/>
    <w:rsid w:val="00EE1959"/>
    <w:rsid w:val="00EE1A5A"/>
    <w:rsid w:val="00EE221A"/>
    <w:rsid w:val="00EE288B"/>
    <w:rsid w:val="00EE645B"/>
    <w:rsid w:val="00EE6EB0"/>
    <w:rsid w:val="00EF1E2A"/>
    <w:rsid w:val="00EF2463"/>
    <w:rsid w:val="00EF2828"/>
    <w:rsid w:val="00EF4184"/>
    <w:rsid w:val="00EF466F"/>
    <w:rsid w:val="00EF7905"/>
    <w:rsid w:val="00F001ED"/>
    <w:rsid w:val="00F0128D"/>
    <w:rsid w:val="00F015DD"/>
    <w:rsid w:val="00F04C19"/>
    <w:rsid w:val="00F10803"/>
    <w:rsid w:val="00F12C6A"/>
    <w:rsid w:val="00F13D6C"/>
    <w:rsid w:val="00F14809"/>
    <w:rsid w:val="00F174D0"/>
    <w:rsid w:val="00F17B8E"/>
    <w:rsid w:val="00F20C6D"/>
    <w:rsid w:val="00F21C12"/>
    <w:rsid w:val="00F23EDD"/>
    <w:rsid w:val="00F24FB2"/>
    <w:rsid w:val="00F25EA0"/>
    <w:rsid w:val="00F31867"/>
    <w:rsid w:val="00F32C9A"/>
    <w:rsid w:val="00F33009"/>
    <w:rsid w:val="00F33E6E"/>
    <w:rsid w:val="00F346EC"/>
    <w:rsid w:val="00F34FD9"/>
    <w:rsid w:val="00F365D2"/>
    <w:rsid w:val="00F36977"/>
    <w:rsid w:val="00F36E91"/>
    <w:rsid w:val="00F3791B"/>
    <w:rsid w:val="00F4180D"/>
    <w:rsid w:val="00F42645"/>
    <w:rsid w:val="00F430B7"/>
    <w:rsid w:val="00F4514A"/>
    <w:rsid w:val="00F46A6C"/>
    <w:rsid w:val="00F46E54"/>
    <w:rsid w:val="00F47C16"/>
    <w:rsid w:val="00F505E4"/>
    <w:rsid w:val="00F505F3"/>
    <w:rsid w:val="00F51CD0"/>
    <w:rsid w:val="00F520DC"/>
    <w:rsid w:val="00F52C65"/>
    <w:rsid w:val="00F52E9E"/>
    <w:rsid w:val="00F550FF"/>
    <w:rsid w:val="00F56F65"/>
    <w:rsid w:val="00F57601"/>
    <w:rsid w:val="00F61E5D"/>
    <w:rsid w:val="00F6217F"/>
    <w:rsid w:val="00F6243C"/>
    <w:rsid w:val="00F62D34"/>
    <w:rsid w:val="00F64295"/>
    <w:rsid w:val="00F672EF"/>
    <w:rsid w:val="00F71344"/>
    <w:rsid w:val="00F7272A"/>
    <w:rsid w:val="00F73D61"/>
    <w:rsid w:val="00F742D9"/>
    <w:rsid w:val="00F754ED"/>
    <w:rsid w:val="00F7619D"/>
    <w:rsid w:val="00F8000F"/>
    <w:rsid w:val="00F82771"/>
    <w:rsid w:val="00F8373A"/>
    <w:rsid w:val="00F8433A"/>
    <w:rsid w:val="00F8439C"/>
    <w:rsid w:val="00F85BA1"/>
    <w:rsid w:val="00F86D6E"/>
    <w:rsid w:val="00F92452"/>
    <w:rsid w:val="00F929BD"/>
    <w:rsid w:val="00F93B00"/>
    <w:rsid w:val="00F944DD"/>
    <w:rsid w:val="00F954CF"/>
    <w:rsid w:val="00FA0493"/>
    <w:rsid w:val="00FA09E1"/>
    <w:rsid w:val="00FA0E86"/>
    <w:rsid w:val="00FA1165"/>
    <w:rsid w:val="00FA2EEC"/>
    <w:rsid w:val="00FA3125"/>
    <w:rsid w:val="00FA428D"/>
    <w:rsid w:val="00FA5A96"/>
    <w:rsid w:val="00FA6E55"/>
    <w:rsid w:val="00FB0F8D"/>
    <w:rsid w:val="00FB10F5"/>
    <w:rsid w:val="00FB3AF4"/>
    <w:rsid w:val="00FB4E2A"/>
    <w:rsid w:val="00FB503D"/>
    <w:rsid w:val="00FB7C03"/>
    <w:rsid w:val="00FB7C43"/>
    <w:rsid w:val="00FC123B"/>
    <w:rsid w:val="00FC7CF5"/>
    <w:rsid w:val="00FD40B9"/>
    <w:rsid w:val="00FD4D73"/>
    <w:rsid w:val="00FD509F"/>
    <w:rsid w:val="00FD7386"/>
    <w:rsid w:val="00FE2183"/>
    <w:rsid w:val="00FE22C3"/>
    <w:rsid w:val="00FE2FA3"/>
    <w:rsid w:val="00FE3F85"/>
    <w:rsid w:val="00FE469C"/>
    <w:rsid w:val="00FE486F"/>
    <w:rsid w:val="00FE6EBA"/>
    <w:rsid w:val="00FF1D5E"/>
    <w:rsid w:val="00FF3B1C"/>
    <w:rsid w:val="00FF6266"/>
    <w:rsid w:val="00FF746F"/>
    <w:rsid w:val="00FF74C7"/>
    <w:rsid w:val="0186ABEA"/>
    <w:rsid w:val="01C89DEF"/>
    <w:rsid w:val="0346BA08"/>
    <w:rsid w:val="0353471E"/>
    <w:rsid w:val="03A12A8C"/>
    <w:rsid w:val="03DD794B"/>
    <w:rsid w:val="03EFEDAA"/>
    <w:rsid w:val="043F246C"/>
    <w:rsid w:val="04E8E3B7"/>
    <w:rsid w:val="069DEBAC"/>
    <w:rsid w:val="0856C94C"/>
    <w:rsid w:val="09B327E5"/>
    <w:rsid w:val="0B20819F"/>
    <w:rsid w:val="0BDF6A11"/>
    <w:rsid w:val="0C145981"/>
    <w:rsid w:val="0FFA6126"/>
    <w:rsid w:val="117074A3"/>
    <w:rsid w:val="11D04969"/>
    <w:rsid w:val="130C4504"/>
    <w:rsid w:val="14A81565"/>
    <w:rsid w:val="17D2F351"/>
    <w:rsid w:val="19F88E9B"/>
    <w:rsid w:val="1A8C8317"/>
    <w:rsid w:val="1B131911"/>
    <w:rsid w:val="1B9F2450"/>
    <w:rsid w:val="1E4BB3D7"/>
    <w:rsid w:val="1EBCD454"/>
    <w:rsid w:val="207B772D"/>
    <w:rsid w:val="2239DA57"/>
    <w:rsid w:val="229276B0"/>
    <w:rsid w:val="230D17E5"/>
    <w:rsid w:val="2344053B"/>
    <w:rsid w:val="2596711E"/>
    <w:rsid w:val="2962A535"/>
    <w:rsid w:val="2A073B48"/>
    <w:rsid w:val="2A9B4EEF"/>
    <w:rsid w:val="2B831C88"/>
    <w:rsid w:val="2BB7D0CE"/>
    <w:rsid w:val="2BE10C14"/>
    <w:rsid w:val="2EEF9CBF"/>
    <w:rsid w:val="2F15384C"/>
    <w:rsid w:val="3021F0CB"/>
    <w:rsid w:val="30E67D7F"/>
    <w:rsid w:val="3299EF59"/>
    <w:rsid w:val="34AE9D5F"/>
    <w:rsid w:val="36E4BA4F"/>
    <w:rsid w:val="37156B7B"/>
    <w:rsid w:val="377E29F9"/>
    <w:rsid w:val="37B9AD79"/>
    <w:rsid w:val="38228E03"/>
    <w:rsid w:val="38D5F21E"/>
    <w:rsid w:val="38E9899D"/>
    <w:rsid w:val="3A3493B1"/>
    <w:rsid w:val="3AD81B5F"/>
    <w:rsid w:val="3BBC1FCE"/>
    <w:rsid w:val="3BC6F0A3"/>
    <w:rsid w:val="3BDE7DAA"/>
    <w:rsid w:val="3C73EBC0"/>
    <w:rsid w:val="3CB49D0B"/>
    <w:rsid w:val="3D110B81"/>
    <w:rsid w:val="3DF11E79"/>
    <w:rsid w:val="3F166A24"/>
    <w:rsid w:val="40AF65DB"/>
    <w:rsid w:val="4138C500"/>
    <w:rsid w:val="4385918C"/>
    <w:rsid w:val="43C1AB15"/>
    <w:rsid w:val="450FE66E"/>
    <w:rsid w:val="4643FE85"/>
    <w:rsid w:val="46473410"/>
    <w:rsid w:val="47974670"/>
    <w:rsid w:val="47A4326C"/>
    <w:rsid w:val="47FC63CB"/>
    <w:rsid w:val="490332F8"/>
    <w:rsid w:val="4946A334"/>
    <w:rsid w:val="49C3D640"/>
    <w:rsid w:val="4A5D9E2F"/>
    <w:rsid w:val="4B230DC6"/>
    <w:rsid w:val="4B867381"/>
    <w:rsid w:val="5042D67E"/>
    <w:rsid w:val="51A2B4EC"/>
    <w:rsid w:val="52381B43"/>
    <w:rsid w:val="52674E53"/>
    <w:rsid w:val="52F505F4"/>
    <w:rsid w:val="53B20D55"/>
    <w:rsid w:val="548C751A"/>
    <w:rsid w:val="552C620C"/>
    <w:rsid w:val="5596DE6C"/>
    <w:rsid w:val="55FC575E"/>
    <w:rsid w:val="56E75037"/>
    <w:rsid w:val="5A596AAC"/>
    <w:rsid w:val="5B401615"/>
    <w:rsid w:val="5C9526A0"/>
    <w:rsid w:val="5D0741CA"/>
    <w:rsid w:val="5D3BAB7B"/>
    <w:rsid w:val="5D464650"/>
    <w:rsid w:val="5EE2880B"/>
    <w:rsid w:val="5F253CA0"/>
    <w:rsid w:val="60F3F350"/>
    <w:rsid w:val="61AEBE06"/>
    <w:rsid w:val="64004CF2"/>
    <w:rsid w:val="640BC432"/>
    <w:rsid w:val="673C3443"/>
    <w:rsid w:val="6AA1CB79"/>
    <w:rsid w:val="6AAC6609"/>
    <w:rsid w:val="6B472A17"/>
    <w:rsid w:val="6C160136"/>
    <w:rsid w:val="6CABE630"/>
    <w:rsid w:val="6E4DDBE0"/>
    <w:rsid w:val="6F35363B"/>
    <w:rsid w:val="7172C8DB"/>
    <w:rsid w:val="74B93830"/>
    <w:rsid w:val="74C2E13C"/>
    <w:rsid w:val="74F2EBD8"/>
    <w:rsid w:val="75E5A42C"/>
    <w:rsid w:val="76853C84"/>
    <w:rsid w:val="76E974A5"/>
    <w:rsid w:val="772A901F"/>
    <w:rsid w:val="77B3EC76"/>
    <w:rsid w:val="79843576"/>
    <w:rsid w:val="7C993CD7"/>
    <w:rsid w:val="7CEDB2B6"/>
    <w:rsid w:val="7DC21D89"/>
    <w:rsid w:val="7F85BC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5D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t-L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rsid w:val="00D240C3"/>
  </w:style>
  <w:style w:type="paragraph" w:styleId="ListParagraph">
    <w:name w:val="List Paragraph"/>
    <w:basedOn w:val="Normal"/>
    <w:uiPriority w:val="34"/>
    <w:qFormat/>
    <w:rsid w:val="002F1E0B"/>
    <w:pPr>
      <w:ind w:left="720"/>
      <w:contextualSpacing/>
    </w:pPr>
  </w:style>
  <w:style w:type="character" w:customStyle="1" w:styleId="eop">
    <w:name w:val="eop"/>
    <w:basedOn w:val="DefaultParagraphFont"/>
    <w:rsid w:val="00F23EDD"/>
  </w:style>
  <w:style w:type="paragraph" w:customStyle="1" w:styleId="LegalNumPar">
    <w:name w:val="LegalNumPar"/>
    <w:basedOn w:val="Normal"/>
    <w:rsid w:val="006D21BD"/>
    <w:pPr>
      <w:numPr>
        <w:numId w:val="9"/>
      </w:numPr>
      <w:spacing w:line="360" w:lineRule="auto"/>
    </w:pPr>
  </w:style>
  <w:style w:type="paragraph" w:customStyle="1" w:styleId="LegalNumPar2">
    <w:name w:val="LegalNumPar2"/>
    <w:basedOn w:val="Normal"/>
    <w:rsid w:val="006D21BD"/>
    <w:pPr>
      <w:numPr>
        <w:ilvl w:val="1"/>
        <w:numId w:val="9"/>
      </w:numPr>
      <w:spacing w:line="360" w:lineRule="auto"/>
    </w:pPr>
  </w:style>
  <w:style w:type="paragraph" w:customStyle="1" w:styleId="LegalNumPar3">
    <w:name w:val="LegalNumPar3"/>
    <w:basedOn w:val="Normal"/>
    <w:rsid w:val="006D21BD"/>
    <w:pPr>
      <w:numPr>
        <w:ilvl w:val="2"/>
        <w:numId w:val="9"/>
      </w:numPr>
      <w:spacing w:line="360" w:lineRule="auto"/>
    </w:pPr>
  </w:style>
  <w:style w:type="paragraph" w:styleId="NormalWeb">
    <w:name w:val="Normal (Web)"/>
    <w:basedOn w:val="Normal"/>
    <w:uiPriority w:val="99"/>
    <w:unhideWhenUsed/>
    <w:rsid w:val="009039B1"/>
    <w:pPr>
      <w:spacing w:before="100" w:beforeAutospacing="1" w:after="100" w:afterAutospacing="1"/>
      <w:jc w:val="left"/>
    </w:pPr>
    <w:rPr>
      <w:rFonts w:eastAsia="Times New Roman"/>
      <w:szCs w:val="24"/>
      <w:lang w:eastAsia="en-IE"/>
    </w:rPr>
  </w:style>
  <w:style w:type="character" w:styleId="Strong">
    <w:name w:val="Strong"/>
    <w:basedOn w:val="DefaultParagraphFont"/>
    <w:uiPriority w:val="22"/>
    <w:qFormat/>
    <w:rsid w:val="009039B1"/>
    <w:rPr>
      <w:b/>
      <w:bCs/>
    </w:rPr>
  </w:style>
  <w:style w:type="character" w:customStyle="1" w:styleId="UnresolvedMention1">
    <w:name w:val="Unresolved Mention1"/>
    <w:basedOn w:val="DefaultParagraphFont"/>
    <w:uiPriority w:val="99"/>
    <w:semiHidden/>
    <w:unhideWhenUsed/>
    <w:rsid w:val="00374646"/>
    <w:rPr>
      <w:color w:val="605E5C"/>
      <w:shd w:val="clear" w:color="auto" w:fill="E1DFDD"/>
    </w:rPr>
  </w:style>
  <w:style w:type="character" w:customStyle="1" w:styleId="UnresolvedMention2">
    <w:name w:val="Unresolved Mention2"/>
    <w:basedOn w:val="DefaultParagraphFont"/>
    <w:uiPriority w:val="99"/>
    <w:semiHidden/>
    <w:unhideWhenUsed/>
    <w:rsid w:val="00ED6FEF"/>
    <w:rPr>
      <w:color w:val="605E5C"/>
      <w:shd w:val="clear" w:color="auto" w:fill="E1DFDD"/>
    </w:rPr>
  </w:style>
  <w:style w:type="character" w:customStyle="1" w:styleId="HeaderChar">
    <w:name w:val="Header Char"/>
    <w:basedOn w:val="DefaultParagraphFont"/>
    <w:link w:val="Header"/>
    <w:uiPriority w:val="99"/>
    <w:rsid w:val="00B17A4E"/>
    <w:rPr>
      <w:rFonts w:ascii="Times New Roman" w:hAnsi="Times New Roman" w:cs="Times New Roman"/>
      <w:sz w:val="24"/>
      <w:lang w:val="lt-LT"/>
    </w:rPr>
  </w:style>
  <w:style w:type="character" w:customStyle="1" w:styleId="FooterChar">
    <w:name w:val="Footer Char"/>
    <w:basedOn w:val="DefaultParagraphFont"/>
    <w:link w:val="Footer"/>
    <w:uiPriority w:val="99"/>
    <w:rsid w:val="00B17A4E"/>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17A4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17A4E"/>
    <w:pPr>
      <w:spacing w:before="0"/>
      <w:jc w:val="right"/>
    </w:pPr>
    <w:rPr>
      <w:sz w:val="28"/>
    </w:rPr>
  </w:style>
  <w:style w:type="paragraph" w:customStyle="1" w:styleId="FooterSensitivity">
    <w:name w:val="Footer Sensitivity"/>
    <w:basedOn w:val="Normal"/>
    <w:rsid w:val="00B17A4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B17A4E"/>
    <w:pPr>
      <w:tabs>
        <w:tab w:val="center" w:pos="4535"/>
        <w:tab w:val="right" w:pos="9071"/>
      </w:tabs>
      <w:spacing w:before="0"/>
    </w:pPr>
  </w:style>
  <w:style w:type="paragraph" w:customStyle="1" w:styleId="HeaderLandscape">
    <w:name w:val="HeaderLandscape"/>
    <w:basedOn w:val="Normal"/>
    <w:rsid w:val="00B17A4E"/>
    <w:pPr>
      <w:tabs>
        <w:tab w:val="center" w:pos="7285"/>
        <w:tab w:val="right" w:pos="14003"/>
      </w:tabs>
      <w:spacing w:before="0"/>
    </w:pPr>
  </w:style>
  <w:style w:type="paragraph" w:styleId="Footer">
    <w:name w:val="footer"/>
    <w:basedOn w:val="Normal"/>
    <w:link w:val="FooterChar"/>
    <w:uiPriority w:val="99"/>
    <w:unhideWhenUsed/>
    <w:rsid w:val="00B17A4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B17A4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330">
      <w:bodyDiv w:val="1"/>
      <w:marLeft w:val="0"/>
      <w:marRight w:val="0"/>
      <w:marTop w:val="0"/>
      <w:marBottom w:val="0"/>
      <w:divBdr>
        <w:top w:val="none" w:sz="0" w:space="0" w:color="auto"/>
        <w:left w:val="none" w:sz="0" w:space="0" w:color="auto"/>
        <w:bottom w:val="none" w:sz="0" w:space="0" w:color="auto"/>
        <w:right w:val="none" w:sz="0" w:space="0" w:color="auto"/>
      </w:divBdr>
    </w:div>
    <w:div w:id="88427198">
      <w:bodyDiv w:val="1"/>
      <w:marLeft w:val="0"/>
      <w:marRight w:val="0"/>
      <w:marTop w:val="0"/>
      <w:marBottom w:val="0"/>
      <w:divBdr>
        <w:top w:val="none" w:sz="0" w:space="0" w:color="auto"/>
        <w:left w:val="none" w:sz="0" w:space="0" w:color="auto"/>
        <w:bottom w:val="none" w:sz="0" w:space="0" w:color="auto"/>
        <w:right w:val="none" w:sz="0" w:space="0" w:color="auto"/>
      </w:divBdr>
    </w:div>
    <w:div w:id="106899393">
      <w:bodyDiv w:val="1"/>
      <w:marLeft w:val="0"/>
      <w:marRight w:val="0"/>
      <w:marTop w:val="0"/>
      <w:marBottom w:val="0"/>
      <w:divBdr>
        <w:top w:val="none" w:sz="0" w:space="0" w:color="auto"/>
        <w:left w:val="none" w:sz="0" w:space="0" w:color="auto"/>
        <w:bottom w:val="none" w:sz="0" w:space="0" w:color="auto"/>
        <w:right w:val="none" w:sz="0" w:space="0" w:color="auto"/>
      </w:divBdr>
    </w:div>
    <w:div w:id="302396204">
      <w:bodyDiv w:val="1"/>
      <w:marLeft w:val="0"/>
      <w:marRight w:val="0"/>
      <w:marTop w:val="0"/>
      <w:marBottom w:val="0"/>
      <w:divBdr>
        <w:top w:val="none" w:sz="0" w:space="0" w:color="auto"/>
        <w:left w:val="none" w:sz="0" w:space="0" w:color="auto"/>
        <w:bottom w:val="none" w:sz="0" w:space="0" w:color="auto"/>
        <w:right w:val="none" w:sz="0" w:space="0" w:color="auto"/>
      </w:divBdr>
    </w:div>
    <w:div w:id="327489401">
      <w:bodyDiv w:val="1"/>
      <w:marLeft w:val="0"/>
      <w:marRight w:val="0"/>
      <w:marTop w:val="0"/>
      <w:marBottom w:val="0"/>
      <w:divBdr>
        <w:top w:val="none" w:sz="0" w:space="0" w:color="auto"/>
        <w:left w:val="none" w:sz="0" w:space="0" w:color="auto"/>
        <w:bottom w:val="none" w:sz="0" w:space="0" w:color="auto"/>
        <w:right w:val="none" w:sz="0" w:space="0" w:color="auto"/>
      </w:divBdr>
    </w:div>
    <w:div w:id="341474279">
      <w:bodyDiv w:val="1"/>
      <w:marLeft w:val="0"/>
      <w:marRight w:val="0"/>
      <w:marTop w:val="0"/>
      <w:marBottom w:val="0"/>
      <w:divBdr>
        <w:top w:val="none" w:sz="0" w:space="0" w:color="auto"/>
        <w:left w:val="none" w:sz="0" w:space="0" w:color="auto"/>
        <w:bottom w:val="none" w:sz="0" w:space="0" w:color="auto"/>
        <w:right w:val="none" w:sz="0" w:space="0" w:color="auto"/>
      </w:divBdr>
    </w:div>
    <w:div w:id="443889429">
      <w:bodyDiv w:val="1"/>
      <w:marLeft w:val="0"/>
      <w:marRight w:val="0"/>
      <w:marTop w:val="0"/>
      <w:marBottom w:val="0"/>
      <w:divBdr>
        <w:top w:val="none" w:sz="0" w:space="0" w:color="auto"/>
        <w:left w:val="none" w:sz="0" w:space="0" w:color="auto"/>
        <w:bottom w:val="none" w:sz="0" w:space="0" w:color="auto"/>
        <w:right w:val="none" w:sz="0" w:space="0" w:color="auto"/>
      </w:divBdr>
    </w:div>
    <w:div w:id="672686899">
      <w:bodyDiv w:val="1"/>
      <w:marLeft w:val="0"/>
      <w:marRight w:val="0"/>
      <w:marTop w:val="0"/>
      <w:marBottom w:val="0"/>
      <w:divBdr>
        <w:top w:val="none" w:sz="0" w:space="0" w:color="auto"/>
        <w:left w:val="none" w:sz="0" w:space="0" w:color="auto"/>
        <w:bottom w:val="none" w:sz="0" w:space="0" w:color="auto"/>
        <w:right w:val="none" w:sz="0" w:space="0" w:color="auto"/>
      </w:divBdr>
    </w:div>
    <w:div w:id="766315680">
      <w:bodyDiv w:val="1"/>
      <w:marLeft w:val="0"/>
      <w:marRight w:val="0"/>
      <w:marTop w:val="0"/>
      <w:marBottom w:val="0"/>
      <w:divBdr>
        <w:top w:val="none" w:sz="0" w:space="0" w:color="auto"/>
        <w:left w:val="none" w:sz="0" w:space="0" w:color="auto"/>
        <w:bottom w:val="none" w:sz="0" w:space="0" w:color="auto"/>
        <w:right w:val="none" w:sz="0" w:space="0" w:color="auto"/>
      </w:divBdr>
    </w:div>
    <w:div w:id="829060501">
      <w:bodyDiv w:val="1"/>
      <w:marLeft w:val="0"/>
      <w:marRight w:val="0"/>
      <w:marTop w:val="0"/>
      <w:marBottom w:val="0"/>
      <w:divBdr>
        <w:top w:val="none" w:sz="0" w:space="0" w:color="auto"/>
        <w:left w:val="none" w:sz="0" w:space="0" w:color="auto"/>
        <w:bottom w:val="none" w:sz="0" w:space="0" w:color="auto"/>
        <w:right w:val="none" w:sz="0" w:space="0" w:color="auto"/>
      </w:divBdr>
    </w:div>
    <w:div w:id="942959802">
      <w:bodyDiv w:val="1"/>
      <w:marLeft w:val="0"/>
      <w:marRight w:val="0"/>
      <w:marTop w:val="0"/>
      <w:marBottom w:val="0"/>
      <w:divBdr>
        <w:top w:val="none" w:sz="0" w:space="0" w:color="auto"/>
        <w:left w:val="none" w:sz="0" w:space="0" w:color="auto"/>
        <w:bottom w:val="none" w:sz="0" w:space="0" w:color="auto"/>
        <w:right w:val="none" w:sz="0" w:space="0" w:color="auto"/>
      </w:divBdr>
      <w:divsChild>
        <w:div w:id="670061762">
          <w:marLeft w:val="0"/>
          <w:marRight w:val="0"/>
          <w:marTop w:val="0"/>
          <w:marBottom w:val="0"/>
          <w:divBdr>
            <w:top w:val="none" w:sz="0" w:space="0" w:color="auto"/>
            <w:left w:val="none" w:sz="0" w:space="0" w:color="auto"/>
            <w:bottom w:val="none" w:sz="0" w:space="0" w:color="auto"/>
            <w:right w:val="none" w:sz="0" w:space="0" w:color="auto"/>
          </w:divBdr>
        </w:div>
        <w:div w:id="1130324515">
          <w:marLeft w:val="0"/>
          <w:marRight w:val="0"/>
          <w:marTop w:val="0"/>
          <w:marBottom w:val="0"/>
          <w:divBdr>
            <w:top w:val="single" w:sz="2" w:space="0" w:color="D9D9E3"/>
            <w:left w:val="single" w:sz="2" w:space="0" w:color="D9D9E3"/>
            <w:bottom w:val="single" w:sz="2" w:space="0" w:color="D9D9E3"/>
            <w:right w:val="single" w:sz="2" w:space="0" w:color="D9D9E3"/>
          </w:divBdr>
          <w:divsChild>
            <w:div w:id="1968125514">
              <w:marLeft w:val="0"/>
              <w:marRight w:val="0"/>
              <w:marTop w:val="0"/>
              <w:marBottom w:val="0"/>
              <w:divBdr>
                <w:top w:val="single" w:sz="2" w:space="0" w:color="D9D9E3"/>
                <w:left w:val="single" w:sz="2" w:space="0" w:color="D9D9E3"/>
                <w:bottom w:val="single" w:sz="2" w:space="0" w:color="D9D9E3"/>
                <w:right w:val="single" w:sz="2" w:space="0" w:color="D9D9E3"/>
              </w:divBdr>
              <w:divsChild>
                <w:div w:id="795876874">
                  <w:marLeft w:val="0"/>
                  <w:marRight w:val="0"/>
                  <w:marTop w:val="0"/>
                  <w:marBottom w:val="0"/>
                  <w:divBdr>
                    <w:top w:val="single" w:sz="2" w:space="0" w:color="D9D9E3"/>
                    <w:left w:val="single" w:sz="2" w:space="0" w:color="D9D9E3"/>
                    <w:bottom w:val="single" w:sz="2" w:space="0" w:color="D9D9E3"/>
                    <w:right w:val="single" w:sz="2" w:space="0" w:color="D9D9E3"/>
                  </w:divBdr>
                  <w:divsChild>
                    <w:div w:id="1962615651">
                      <w:marLeft w:val="0"/>
                      <w:marRight w:val="0"/>
                      <w:marTop w:val="0"/>
                      <w:marBottom w:val="0"/>
                      <w:divBdr>
                        <w:top w:val="single" w:sz="2" w:space="0" w:color="D9D9E3"/>
                        <w:left w:val="single" w:sz="2" w:space="0" w:color="D9D9E3"/>
                        <w:bottom w:val="single" w:sz="2" w:space="0" w:color="D9D9E3"/>
                        <w:right w:val="single" w:sz="2" w:space="0" w:color="D9D9E3"/>
                      </w:divBdr>
                      <w:divsChild>
                        <w:div w:id="433289291">
                          <w:marLeft w:val="0"/>
                          <w:marRight w:val="0"/>
                          <w:marTop w:val="0"/>
                          <w:marBottom w:val="0"/>
                          <w:divBdr>
                            <w:top w:val="single" w:sz="2" w:space="0" w:color="D9D9E3"/>
                            <w:left w:val="single" w:sz="2" w:space="0" w:color="D9D9E3"/>
                            <w:bottom w:val="single" w:sz="2" w:space="0" w:color="D9D9E3"/>
                            <w:right w:val="single" w:sz="2" w:space="0" w:color="D9D9E3"/>
                          </w:divBdr>
                          <w:divsChild>
                            <w:div w:id="925111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340874">
                                  <w:marLeft w:val="0"/>
                                  <w:marRight w:val="0"/>
                                  <w:marTop w:val="0"/>
                                  <w:marBottom w:val="0"/>
                                  <w:divBdr>
                                    <w:top w:val="single" w:sz="2" w:space="0" w:color="D9D9E3"/>
                                    <w:left w:val="single" w:sz="2" w:space="0" w:color="D9D9E3"/>
                                    <w:bottom w:val="single" w:sz="2" w:space="0" w:color="D9D9E3"/>
                                    <w:right w:val="single" w:sz="2" w:space="0" w:color="D9D9E3"/>
                                  </w:divBdr>
                                  <w:divsChild>
                                    <w:div w:id="696197172">
                                      <w:marLeft w:val="0"/>
                                      <w:marRight w:val="0"/>
                                      <w:marTop w:val="0"/>
                                      <w:marBottom w:val="0"/>
                                      <w:divBdr>
                                        <w:top w:val="single" w:sz="2" w:space="0" w:color="D9D9E3"/>
                                        <w:left w:val="single" w:sz="2" w:space="0" w:color="D9D9E3"/>
                                        <w:bottom w:val="single" w:sz="2" w:space="0" w:color="D9D9E3"/>
                                        <w:right w:val="single" w:sz="2" w:space="0" w:color="D9D9E3"/>
                                      </w:divBdr>
                                      <w:divsChild>
                                        <w:div w:id="174730661">
                                          <w:marLeft w:val="0"/>
                                          <w:marRight w:val="0"/>
                                          <w:marTop w:val="0"/>
                                          <w:marBottom w:val="0"/>
                                          <w:divBdr>
                                            <w:top w:val="single" w:sz="2" w:space="0" w:color="D9D9E3"/>
                                            <w:left w:val="single" w:sz="2" w:space="0" w:color="D9D9E3"/>
                                            <w:bottom w:val="single" w:sz="2" w:space="0" w:color="D9D9E3"/>
                                            <w:right w:val="single" w:sz="2" w:space="0" w:color="D9D9E3"/>
                                          </w:divBdr>
                                          <w:divsChild>
                                            <w:div w:id="1442147613">
                                              <w:marLeft w:val="0"/>
                                              <w:marRight w:val="0"/>
                                              <w:marTop w:val="0"/>
                                              <w:marBottom w:val="0"/>
                                              <w:divBdr>
                                                <w:top w:val="single" w:sz="2" w:space="0" w:color="D9D9E3"/>
                                                <w:left w:val="single" w:sz="2" w:space="0" w:color="D9D9E3"/>
                                                <w:bottom w:val="single" w:sz="2" w:space="0" w:color="D9D9E3"/>
                                                <w:right w:val="single" w:sz="2" w:space="0" w:color="D9D9E3"/>
                                              </w:divBdr>
                                              <w:divsChild>
                                                <w:div w:id="1835023340">
                                                  <w:marLeft w:val="0"/>
                                                  <w:marRight w:val="0"/>
                                                  <w:marTop w:val="0"/>
                                                  <w:marBottom w:val="0"/>
                                                  <w:divBdr>
                                                    <w:top w:val="single" w:sz="2" w:space="0" w:color="D9D9E3"/>
                                                    <w:left w:val="single" w:sz="2" w:space="0" w:color="D9D9E3"/>
                                                    <w:bottom w:val="single" w:sz="2" w:space="0" w:color="D9D9E3"/>
                                                    <w:right w:val="single" w:sz="2" w:space="0" w:color="D9D9E3"/>
                                                  </w:divBdr>
                                                  <w:divsChild>
                                                    <w:div w:id="1572042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096705111">
      <w:bodyDiv w:val="1"/>
      <w:marLeft w:val="0"/>
      <w:marRight w:val="0"/>
      <w:marTop w:val="0"/>
      <w:marBottom w:val="0"/>
      <w:divBdr>
        <w:top w:val="none" w:sz="0" w:space="0" w:color="auto"/>
        <w:left w:val="none" w:sz="0" w:space="0" w:color="auto"/>
        <w:bottom w:val="none" w:sz="0" w:space="0" w:color="auto"/>
        <w:right w:val="none" w:sz="0" w:space="0" w:color="auto"/>
      </w:divBdr>
    </w:div>
    <w:div w:id="1725903677">
      <w:bodyDiv w:val="1"/>
      <w:marLeft w:val="0"/>
      <w:marRight w:val="0"/>
      <w:marTop w:val="0"/>
      <w:marBottom w:val="0"/>
      <w:divBdr>
        <w:top w:val="none" w:sz="0" w:space="0" w:color="auto"/>
        <w:left w:val="none" w:sz="0" w:space="0" w:color="auto"/>
        <w:bottom w:val="none" w:sz="0" w:space="0" w:color="auto"/>
        <w:right w:val="none" w:sz="0" w:space="0" w:color="auto"/>
      </w:divBdr>
    </w:div>
    <w:div w:id="1798602349">
      <w:bodyDiv w:val="1"/>
      <w:marLeft w:val="0"/>
      <w:marRight w:val="0"/>
      <w:marTop w:val="0"/>
      <w:marBottom w:val="0"/>
      <w:divBdr>
        <w:top w:val="none" w:sz="0" w:space="0" w:color="auto"/>
        <w:left w:val="none" w:sz="0" w:space="0" w:color="auto"/>
        <w:bottom w:val="none" w:sz="0" w:space="0" w:color="auto"/>
        <w:right w:val="none" w:sz="0" w:space="0" w:color="auto"/>
      </w:divBdr>
      <w:divsChild>
        <w:div w:id="512107275">
          <w:marLeft w:val="0"/>
          <w:marRight w:val="0"/>
          <w:marTop w:val="0"/>
          <w:marBottom w:val="0"/>
          <w:divBdr>
            <w:top w:val="none" w:sz="0" w:space="0" w:color="auto"/>
            <w:left w:val="none" w:sz="0" w:space="0" w:color="auto"/>
            <w:bottom w:val="none" w:sz="0" w:space="0" w:color="auto"/>
            <w:right w:val="none" w:sz="0" w:space="0" w:color="auto"/>
          </w:divBdr>
        </w:div>
        <w:div w:id="1692947858">
          <w:marLeft w:val="0"/>
          <w:marRight w:val="0"/>
          <w:marTop w:val="0"/>
          <w:marBottom w:val="0"/>
          <w:divBdr>
            <w:top w:val="single" w:sz="2" w:space="0" w:color="D9D9E3"/>
            <w:left w:val="single" w:sz="2" w:space="0" w:color="D9D9E3"/>
            <w:bottom w:val="single" w:sz="2" w:space="0" w:color="D9D9E3"/>
            <w:right w:val="single" w:sz="2" w:space="0" w:color="D9D9E3"/>
          </w:divBdr>
          <w:divsChild>
            <w:div w:id="423040661">
              <w:marLeft w:val="0"/>
              <w:marRight w:val="0"/>
              <w:marTop w:val="0"/>
              <w:marBottom w:val="0"/>
              <w:divBdr>
                <w:top w:val="single" w:sz="2" w:space="0" w:color="D9D9E3"/>
                <w:left w:val="single" w:sz="2" w:space="0" w:color="D9D9E3"/>
                <w:bottom w:val="single" w:sz="2" w:space="0" w:color="D9D9E3"/>
                <w:right w:val="single" w:sz="2" w:space="0" w:color="D9D9E3"/>
              </w:divBdr>
              <w:divsChild>
                <w:div w:id="582878005">
                  <w:marLeft w:val="0"/>
                  <w:marRight w:val="0"/>
                  <w:marTop w:val="0"/>
                  <w:marBottom w:val="0"/>
                  <w:divBdr>
                    <w:top w:val="single" w:sz="2" w:space="0" w:color="D9D9E3"/>
                    <w:left w:val="single" w:sz="2" w:space="0" w:color="D9D9E3"/>
                    <w:bottom w:val="single" w:sz="2" w:space="0" w:color="D9D9E3"/>
                    <w:right w:val="single" w:sz="2" w:space="0" w:color="D9D9E3"/>
                  </w:divBdr>
                  <w:divsChild>
                    <w:div w:id="869491720">
                      <w:marLeft w:val="0"/>
                      <w:marRight w:val="0"/>
                      <w:marTop w:val="0"/>
                      <w:marBottom w:val="0"/>
                      <w:divBdr>
                        <w:top w:val="single" w:sz="2" w:space="0" w:color="D9D9E3"/>
                        <w:left w:val="single" w:sz="2" w:space="0" w:color="D9D9E3"/>
                        <w:bottom w:val="single" w:sz="2" w:space="0" w:color="D9D9E3"/>
                        <w:right w:val="single" w:sz="2" w:space="0" w:color="D9D9E3"/>
                      </w:divBdr>
                      <w:divsChild>
                        <w:div w:id="1523321908">
                          <w:marLeft w:val="0"/>
                          <w:marRight w:val="0"/>
                          <w:marTop w:val="0"/>
                          <w:marBottom w:val="0"/>
                          <w:divBdr>
                            <w:top w:val="single" w:sz="2" w:space="0" w:color="D9D9E3"/>
                            <w:left w:val="single" w:sz="2" w:space="0" w:color="D9D9E3"/>
                            <w:bottom w:val="single" w:sz="2" w:space="0" w:color="D9D9E3"/>
                            <w:right w:val="single" w:sz="2" w:space="0" w:color="D9D9E3"/>
                          </w:divBdr>
                          <w:divsChild>
                            <w:div w:id="2124759464">
                              <w:marLeft w:val="0"/>
                              <w:marRight w:val="0"/>
                              <w:marTop w:val="100"/>
                              <w:marBottom w:val="100"/>
                              <w:divBdr>
                                <w:top w:val="single" w:sz="2" w:space="0" w:color="D9D9E3"/>
                                <w:left w:val="single" w:sz="2" w:space="0" w:color="D9D9E3"/>
                                <w:bottom w:val="single" w:sz="2" w:space="0" w:color="D9D9E3"/>
                                <w:right w:val="single" w:sz="2" w:space="0" w:color="D9D9E3"/>
                              </w:divBdr>
                              <w:divsChild>
                                <w:div w:id="2118483066">
                                  <w:marLeft w:val="0"/>
                                  <w:marRight w:val="0"/>
                                  <w:marTop w:val="0"/>
                                  <w:marBottom w:val="0"/>
                                  <w:divBdr>
                                    <w:top w:val="single" w:sz="2" w:space="0" w:color="D9D9E3"/>
                                    <w:left w:val="single" w:sz="2" w:space="0" w:color="D9D9E3"/>
                                    <w:bottom w:val="single" w:sz="2" w:space="0" w:color="D9D9E3"/>
                                    <w:right w:val="single" w:sz="2" w:space="0" w:color="D9D9E3"/>
                                  </w:divBdr>
                                  <w:divsChild>
                                    <w:div w:id="364841014">
                                      <w:marLeft w:val="0"/>
                                      <w:marRight w:val="0"/>
                                      <w:marTop w:val="0"/>
                                      <w:marBottom w:val="0"/>
                                      <w:divBdr>
                                        <w:top w:val="single" w:sz="2" w:space="0" w:color="D9D9E3"/>
                                        <w:left w:val="single" w:sz="2" w:space="0" w:color="D9D9E3"/>
                                        <w:bottom w:val="single" w:sz="2" w:space="0" w:color="D9D9E3"/>
                                        <w:right w:val="single" w:sz="2" w:space="0" w:color="D9D9E3"/>
                                      </w:divBdr>
                                      <w:divsChild>
                                        <w:div w:id="539171098">
                                          <w:marLeft w:val="0"/>
                                          <w:marRight w:val="0"/>
                                          <w:marTop w:val="0"/>
                                          <w:marBottom w:val="0"/>
                                          <w:divBdr>
                                            <w:top w:val="single" w:sz="2" w:space="0" w:color="D9D9E3"/>
                                            <w:left w:val="single" w:sz="2" w:space="0" w:color="D9D9E3"/>
                                            <w:bottom w:val="single" w:sz="2" w:space="0" w:color="D9D9E3"/>
                                            <w:right w:val="single" w:sz="2" w:space="0" w:color="D9D9E3"/>
                                          </w:divBdr>
                                          <w:divsChild>
                                            <w:div w:id="366562547">
                                              <w:marLeft w:val="0"/>
                                              <w:marRight w:val="0"/>
                                              <w:marTop w:val="0"/>
                                              <w:marBottom w:val="0"/>
                                              <w:divBdr>
                                                <w:top w:val="single" w:sz="2" w:space="0" w:color="D9D9E3"/>
                                                <w:left w:val="single" w:sz="2" w:space="0" w:color="D9D9E3"/>
                                                <w:bottom w:val="single" w:sz="2" w:space="0" w:color="D9D9E3"/>
                                                <w:right w:val="single" w:sz="2" w:space="0" w:color="D9D9E3"/>
                                              </w:divBdr>
                                              <w:divsChild>
                                                <w:div w:id="575552950">
                                                  <w:marLeft w:val="0"/>
                                                  <w:marRight w:val="0"/>
                                                  <w:marTop w:val="0"/>
                                                  <w:marBottom w:val="0"/>
                                                  <w:divBdr>
                                                    <w:top w:val="single" w:sz="2" w:space="0" w:color="D9D9E3"/>
                                                    <w:left w:val="single" w:sz="2" w:space="0" w:color="D9D9E3"/>
                                                    <w:bottom w:val="single" w:sz="2" w:space="0" w:color="D9D9E3"/>
                                                    <w:right w:val="single" w:sz="2" w:space="0" w:color="D9D9E3"/>
                                                  </w:divBdr>
                                                  <w:divsChild>
                                                    <w:div w:id="1647511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00189785">
      <w:bodyDiv w:val="1"/>
      <w:marLeft w:val="0"/>
      <w:marRight w:val="0"/>
      <w:marTop w:val="0"/>
      <w:marBottom w:val="0"/>
      <w:divBdr>
        <w:top w:val="none" w:sz="0" w:space="0" w:color="auto"/>
        <w:left w:val="none" w:sz="0" w:space="0" w:color="auto"/>
        <w:bottom w:val="none" w:sz="0" w:space="0" w:color="auto"/>
        <w:right w:val="none" w:sz="0" w:space="0" w:color="auto"/>
      </w:divBdr>
    </w:div>
    <w:div w:id="2053653233">
      <w:bodyDiv w:val="1"/>
      <w:marLeft w:val="0"/>
      <w:marRight w:val="0"/>
      <w:marTop w:val="0"/>
      <w:marBottom w:val="0"/>
      <w:divBdr>
        <w:top w:val="none" w:sz="0" w:space="0" w:color="auto"/>
        <w:left w:val="none" w:sz="0" w:space="0" w:color="auto"/>
        <w:bottom w:val="none" w:sz="0" w:space="0" w:color="auto"/>
        <w:right w:val="none" w:sz="0" w:space="0" w:color="auto"/>
      </w:divBdr>
    </w:div>
    <w:div w:id="21290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21/1173/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CCB270-2B01-4825-B178-C48A9262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12</Pages>
  <Words>3238</Words>
  <Characters>23840</Characters>
  <Application>Microsoft Office Word</Application>
  <DocSecurity>0</DocSecurity>
  <Lines>397</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26949</CharactersWithSpaces>
  <SharedDoc>false</SharedDoc>
  <HLinks>
    <vt:vector size="6" baseType="variant">
      <vt:variant>
        <vt:i4>7274606</vt:i4>
      </vt:variant>
      <vt:variant>
        <vt:i4>0</vt:i4>
      </vt:variant>
      <vt:variant>
        <vt:i4>0</vt:i4>
      </vt:variant>
      <vt:variant>
        <vt:i4>5</vt:i4>
      </vt:variant>
      <vt:variant>
        <vt:lpwstr>http://data.europa.eu/eli/reg/2021/1173/oj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2024-02-16T11:55:00Z</dcterms:created>
  <dcterms:modified xsi:type="dcterms:W3CDTF">2024-02-16T11:55:00Z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2024-01-20T21:29:44Z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53d3c991-9fe5-4f2c-acc9-0062603cab76</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SJ-016</vt:lpwstr>
  </property>
  <property fmtid="{D5CDD505-2E9C-101B-9397-08002B2CF9AE}" pid="15" name="DQCStatus">
    <vt:lpwstr>Yellow (DQC version 03)</vt:lpwstr>
  </property>
</Properties>
</file>