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7" w:rsidRDefault="00FA3A17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 w:rsidR="00FA3A17" w:rsidRDefault="003B7A35">
      <w:pPr>
        <w:jc w:val="center"/>
        <w:rPr>
          <w:caps/>
          <w:sz w:val="22"/>
        </w:rPr>
      </w:pPr>
      <w:r>
        <w:rPr>
          <w:caps/>
          <w:noProof/>
          <w:lang w:eastAsia="lt-LT"/>
        </w:rPr>
        <w:drawing>
          <wp:inline distT="0" distB="0" distL="0" distR="0">
            <wp:extent cx="596265" cy="699770"/>
            <wp:effectExtent l="0" t="0" r="0" b="5080"/>
            <wp:docPr id="1" name="Paveikslėlis 1" descr="C:\Documents and Settings\lipetr\My Documents\Vyt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petr\My Documents\Vytis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17" w:rsidRDefault="00FA3A17">
      <w:pPr>
        <w:jc w:val="center"/>
        <w:rPr>
          <w:caps/>
          <w:sz w:val="12"/>
          <w:szCs w:val="12"/>
        </w:rPr>
      </w:pPr>
    </w:p>
    <w:p w:rsidR="00FA3A17" w:rsidRDefault="003B7A35">
      <w:pPr>
        <w:jc w:val="center"/>
        <w:rPr>
          <w:b/>
          <w:bCs/>
          <w:caps/>
        </w:rPr>
      </w:pPr>
      <w:r>
        <w:rPr>
          <w:b/>
          <w:bCs/>
          <w:caps/>
        </w:rPr>
        <w:t>LIETUVOS RESPUBLIKOS</w:t>
      </w:r>
    </w:p>
    <w:p w:rsidR="00FA3A17" w:rsidRDefault="003B7A35">
      <w:pPr>
        <w:jc w:val="center"/>
        <w:rPr>
          <w:b/>
          <w:caps/>
        </w:rPr>
      </w:pPr>
      <w:r>
        <w:rPr>
          <w:b/>
          <w:caps/>
        </w:rPr>
        <w:t>REGLAMENTUOJAMŲ PROFESINIŲ KVALIFIKACIJŲ PRIPAŽINIMO ĮSTATYMO NR. X-1478 1, 2, 5, 58, 59, 63 STRAIPSNIŲ IR 6 PRIEDO PAKEITIMO IR ĮSTATYMO PAPILDYMO 59</w:t>
      </w:r>
      <w:r>
        <w:rPr>
          <w:b/>
          <w:caps/>
          <w:vertAlign w:val="superscript"/>
        </w:rPr>
        <w:t>1</w:t>
      </w:r>
      <w:r>
        <w:rPr>
          <w:b/>
          <w:caps/>
        </w:rPr>
        <w:t xml:space="preserve"> STRAIPSNIU</w:t>
      </w:r>
    </w:p>
    <w:p w:rsidR="00FA3A17" w:rsidRDefault="003B7A35">
      <w:pPr>
        <w:jc w:val="center"/>
        <w:rPr>
          <w:caps/>
        </w:rPr>
      </w:pPr>
      <w:r>
        <w:rPr>
          <w:b/>
          <w:caps/>
        </w:rPr>
        <w:t>ĮSTATYMAS</w:t>
      </w:r>
    </w:p>
    <w:p w:rsidR="00FA3A17" w:rsidRDefault="00FA3A17">
      <w:pPr>
        <w:jc w:val="center"/>
        <w:rPr>
          <w:b/>
          <w:caps/>
        </w:rPr>
      </w:pPr>
    </w:p>
    <w:p w:rsidR="00FA3A17" w:rsidRDefault="003B7A35">
      <w:pPr>
        <w:jc w:val="center"/>
        <w:rPr>
          <w:szCs w:val="24"/>
        </w:rPr>
      </w:pPr>
      <w:r>
        <w:rPr>
          <w:szCs w:val="24"/>
          <w:lang w:val="en-US"/>
        </w:rPr>
        <w:t>2023</w:t>
      </w:r>
      <w:r>
        <w:rPr>
          <w:szCs w:val="24"/>
        </w:rPr>
        <w:t xml:space="preserve"> m. </w:t>
      </w:r>
      <w:r>
        <w:rPr>
          <w:szCs w:val="24"/>
          <w:lang w:val="en-US"/>
        </w:rPr>
        <w:t>balandžio</w:t>
      </w:r>
      <w:r>
        <w:rPr>
          <w:szCs w:val="24"/>
        </w:rPr>
        <w:t xml:space="preserve"> </w:t>
      </w:r>
      <w:r>
        <w:rPr>
          <w:szCs w:val="24"/>
          <w:lang w:val="en-US"/>
        </w:rPr>
        <w:t>25</w:t>
      </w:r>
      <w:r>
        <w:rPr>
          <w:szCs w:val="24"/>
        </w:rPr>
        <w:t xml:space="preserve"> d. Nr. </w:t>
      </w:r>
      <w:r>
        <w:rPr>
          <w:szCs w:val="24"/>
          <w:lang w:val="en-US"/>
        </w:rPr>
        <w:t>XIV-1896</w:t>
      </w:r>
    </w:p>
    <w:p w:rsidR="00FA3A17" w:rsidRDefault="003B7A35">
      <w:pPr>
        <w:jc w:val="center"/>
        <w:rPr>
          <w:szCs w:val="24"/>
        </w:rPr>
      </w:pPr>
      <w:r>
        <w:rPr>
          <w:szCs w:val="24"/>
        </w:rPr>
        <w:t>Vilnius</w:t>
      </w:r>
    </w:p>
    <w:p w:rsidR="00FA3A17" w:rsidRDefault="00FA3A17">
      <w:pPr>
        <w:jc w:val="center"/>
        <w:rPr>
          <w:sz w:val="22"/>
        </w:rPr>
      </w:pPr>
    </w:p>
    <w:p w:rsidR="00FA3A17" w:rsidRDefault="00FA3A17">
      <w:pPr>
        <w:spacing w:line="360" w:lineRule="auto"/>
        <w:ind w:firstLine="720"/>
        <w:jc w:val="both"/>
        <w:rPr>
          <w:sz w:val="16"/>
          <w:szCs w:val="16"/>
        </w:rPr>
      </w:pPr>
    </w:p>
    <w:p w:rsidR="00FA3A17" w:rsidRDefault="00FA3A17">
      <w:pPr>
        <w:spacing w:line="360" w:lineRule="auto"/>
        <w:ind w:firstLine="720"/>
        <w:jc w:val="both"/>
        <w:sectPr w:rsidR="00FA3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1701" w:header="706" w:footer="706" w:gutter="0"/>
          <w:cols w:space="1296"/>
          <w:titlePg/>
        </w:sectPr>
      </w:pPr>
    </w:p>
    <w:p w:rsidR="00FA3A17" w:rsidRDefault="00FA3A17">
      <w:pPr>
        <w:tabs>
          <w:tab w:val="center" w:pos="4153"/>
          <w:tab w:val="right" w:pos="8306"/>
        </w:tabs>
        <w:rPr>
          <w:rFonts w:ascii="TimesLT" w:hAnsi="TimesLT"/>
          <w:lang w:val="en-US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1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 xml:space="preserve">1 straipsnio pakeitimas 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Pakeisti 1 straipsnio 1 dalį ir ją išdėstyti taip:</w:t>
      </w:r>
    </w:p>
    <w:p w:rsidR="00FA3A17" w:rsidRDefault="003B7A35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 Šis įstatymas nustato Europos </w:t>
      </w:r>
      <w:r>
        <w:rPr>
          <w:szCs w:val="24"/>
          <w:lang w:eastAsia="lt-LT"/>
        </w:rPr>
        <w:t>Sąjungos valstybių narių piliečių, Europos ekonominės erdvės valstybių piliečių, Šveicarijos Konfederacijos piliečių (toliau – valstybių narių piliečiai), trečiųjų valstybių piliečių profesinės kvalifikacijos, įgytos Europos Sąjungos, Europos ekonominės er</w:t>
      </w:r>
      <w:r>
        <w:rPr>
          <w:szCs w:val="24"/>
          <w:lang w:eastAsia="lt-LT"/>
        </w:rPr>
        <w:t>dvės valstybėse ir Šveicarijos Konfederacijoje bei trečiosiose valstybėse, pripažinimo principus ir procedūras, administracinį bendradarbiavimą, taisykles dėl teisės iš dalies užsiimti reglamentuojama profesija ir kitoje valstybėje narėje arba trečiojoje v</w:t>
      </w:r>
      <w:r>
        <w:rPr>
          <w:szCs w:val="24"/>
          <w:lang w:eastAsia="lt-LT"/>
        </w:rPr>
        <w:t>alstybėje atliktos profesinės praktikos pripažinimo, suteikia garantijas asmenims, įgijusiems profesinę kvalifikaciją kitoje valstybėje narėje ar trečiojoje valstybėje, dirbti pagal tą pačią reglamentuojamą profesiją arba verstis laisvąja profesija (toliau</w:t>
      </w:r>
      <w:r>
        <w:rPr>
          <w:szCs w:val="24"/>
          <w:lang w:eastAsia="lt-LT"/>
        </w:rPr>
        <w:t xml:space="preserve"> – dirbti pagal reglamentuojamą profesiją) Lietuvos Respublikoje tokiomis pačiomis teisėmis kaip ir Lietuvos Respublikos piliečiams.“</w:t>
      </w:r>
    </w:p>
    <w:p w:rsidR="00FA3A17" w:rsidRDefault="003B7A35">
      <w:pPr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2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>2 straipsnio pakeitimas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>. Pakeisti 2 straipsnio 3 dalį ir ją išdėstyti taip: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Šio įstat</w:t>
      </w:r>
      <w:r>
        <w:rPr>
          <w:szCs w:val="24"/>
          <w:lang w:eastAsia="lt-LT"/>
        </w:rPr>
        <w:t>ymo nuostatos dėl trečiųjų valstybių piliečių teisės dirbti Lietuvos Respublikoje ir dėl trečiųjų valstybių piliečių profesinės kvalifikacijos, įgytos Europos Sąjungos, Europos ekonominės erdvės valstybėse, Šveicarijos Konfederacijoje bei trečiosiose valst</w:t>
      </w:r>
      <w:r>
        <w:rPr>
          <w:szCs w:val="24"/>
          <w:lang w:eastAsia="lt-LT"/>
        </w:rPr>
        <w:t>ybėse, pripažinimo taikomos tiek, kiek jų nereguliuoja kiti Lietuvos Respublikos įstatymai.“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 Pripažinti netekusia galios 2 straipsnio 4 dalį.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Pripažinti netekusia galios 2 straipsnio 6 dalį.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>5 straipsnio pakeitimas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Pakeisti 5 straipsnio 10 dalį ir ją išdėstyti taip:</w:t>
      </w:r>
    </w:p>
    <w:p w:rsidR="00FA3A17" w:rsidRDefault="003B7A3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10</w:t>
      </w:r>
      <w:r>
        <w:rPr>
          <w:szCs w:val="24"/>
          <w:lang w:eastAsia="lt-LT"/>
        </w:rPr>
        <w:t>. Lietuvos Respublikos kompetentingos institucijos išduoda Europos profesinę kortelę profesinę kvalifikaciją turintiems asmenims, nurodytiems šio įstatymo 2 straipsnio 7 dalyje (jų prašymu).“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4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>58 straipsnio pakeitimas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Pakeisti 58 straipsnio 6 dalį ir ją išdėstyti taip: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6</w:t>
      </w:r>
      <w:r>
        <w:rPr>
          <w:szCs w:val="24"/>
          <w:lang w:eastAsia="lt-LT"/>
        </w:rPr>
        <w:t>.</w:t>
      </w:r>
      <w:r>
        <w:rPr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Lietuvos Respublikos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kompetentingos institucijos, atsakingos už atitinkamų reglamentuojamų profesinių kvalifikacijų pripažinimą, yra Lietuvos Respublikos</w:t>
      </w:r>
      <w:r>
        <w:rPr>
          <w:szCs w:val="24"/>
          <w:lang w:eastAsia="lt-LT"/>
        </w:rPr>
        <w:t xml:space="preserve"> ministerijos</w:t>
      </w:r>
      <w:r>
        <w:rPr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pagal ministrams pavestą valdymo sritį ar jų įgaliotos institucijos, išskyrus atvejus, kai kiti subjektai Lietuvos Respublikos kompetentingomis institucijomis yra paskirti įstatymu ar Lietuvos Respublikos Vyriausybės nutarimu.“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5</w:t>
      </w:r>
      <w:r>
        <w:rPr>
          <w:b/>
          <w:bCs/>
          <w:szCs w:val="24"/>
          <w:lang w:eastAsia="lt-LT"/>
        </w:rPr>
        <w:t xml:space="preserve"> s</w:t>
      </w:r>
      <w:r>
        <w:rPr>
          <w:b/>
          <w:bCs/>
          <w:szCs w:val="24"/>
          <w:lang w:eastAsia="lt-LT"/>
        </w:rPr>
        <w:t xml:space="preserve">traipsnis. </w:t>
      </w:r>
      <w:r>
        <w:rPr>
          <w:b/>
          <w:bCs/>
          <w:szCs w:val="24"/>
          <w:lang w:eastAsia="lt-LT"/>
        </w:rPr>
        <w:t>59 straipsnio pakeitimas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>. Pakeisti 59 straipsnio 2 dalies 3 punktą ir jį išdėstyti taip:</w:t>
      </w:r>
    </w:p>
    <w:p w:rsidR="00FA3A17" w:rsidRDefault="003B7A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) praneša kitoms valstybėms narėms ir Europos Komisijai apie Lietuvos Respublikos kompetentingas institucijas, nurodytas šio įstatymo 58 straipsni</w:t>
      </w:r>
      <w:r>
        <w:rPr>
          <w:szCs w:val="24"/>
          <w:lang w:eastAsia="lt-LT"/>
        </w:rPr>
        <w:t>o 6 dalyje;“.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 Pakeisti 59 straipsnio 2 dalies 3</w:t>
      </w:r>
      <w:r>
        <w:rPr>
          <w:szCs w:val="24"/>
          <w:vertAlign w:val="superscript"/>
          <w:lang w:eastAsia="lt-LT"/>
        </w:rPr>
        <w:t>1</w:t>
      </w:r>
      <w:r>
        <w:rPr>
          <w:szCs w:val="24"/>
          <w:lang w:eastAsia="lt-LT"/>
        </w:rPr>
        <w:t xml:space="preserve"> punktą ir jį išdėstyti taip:</w:t>
      </w:r>
    </w:p>
    <w:p w:rsidR="00FA3A17" w:rsidRDefault="003B7A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</w:t>
      </w:r>
      <w:r>
        <w:rPr>
          <w:szCs w:val="24"/>
          <w:vertAlign w:val="superscript"/>
          <w:lang w:eastAsia="lt-LT"/>
        </w:rPr>
        <w:t>1</w:t>
      </w:r>
      <w:r>
        <w:rPr>
          <w:szCs w:val="24"/>
          <w:lang w:eastAsia="lt-LT"/>
        </w:rPr>
        <w:t>) teikia pasiūlymus Lietuvos Respublikos kompetentingai institucijai dėl nuostatų atitikties proporcingumo principui, kaip jis apibrėžtas Lietuvos Respublikos tei</w:t>
      </w:r>
      <w:r>
        <w:rPr>
          <w:szCs w:val="24"/>
          <w:lang w:eastAsia="lt-LT"/>
        </w:rPr>
        <w:t>sėkūros pagrindų įstatyme, peržiūros;“.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Pakeisti 59 straipsnio 2 dalies 9 punktą ir jį išdėstyti taip:</w:t>
      </w:r>
    </w:p>
    <w:p w:rsidR="00FA3A17" w:rsidRDefault="003B7A3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9</w:t>
      </w:r>
      <w:r>
        <w:rPr>
          <w:szCs w:val="24"/>
          <w:lang w:eastAsia="lt-LT"/>
        </w:rPr>
        <w:t xml:space="preserve">) identifikuoja Lietuvos Respublikoje profesijas, kurios atitinka reglamentuojamos profesijos sąvoką, kaip ji apibrėžta šio įstatymo 3 </w:t>
      </w:r>
      <w:r>
        <w:rPr>
          <w:szCs w:val="24"/>
          <w:lang w:eastAsia="lt-LT"/>
        </w:rPr>
        <w:t>straipsnio 22 dalyje, ir jų sąrašą (toliau – Lietuvos Respublikoje reglamentuojamų profesijų sąrašas) teikia Lietuvos Respublikos kontaktiniam centrui (toliau – Kontaktinis centras);“.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>
        <w:rPr>
          <w:szCs w:val="24"/>
          <w:lang w:eastAsia="lt-LT"/>
        </w:rPr>
        <w:t>. Pakeisti 59 straipsnio 3 dalį ir ją išdėstyti taip:</w:t>
      </w:r>
    </w:p>
    <w:p w:rsidR="00FA3A17" w:rsidRDefault="003B7A35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Pr</w:t>
      </w:r>
      <w:r>
        <w:rPr>
          <w:szCs w:val="24"/>
          <w:lang w:eastAsia="lt-LT"/>
        </w:rPr>
        <w:t>ofesinių kvalifikacijų pripažinimo koordinatorius turi teisę gauti informaciją iš Lietuvos Respublikos kompetentingų institucijų ir šio įstatymo 62 straipsnyje nurodyto Lietuvos Respublikos pagalbos centro šio straipsnio 2 dalyje numatytoms pareigoms atlik</w:t>
      </w:r>
      <w:r>
        <w:rPr>
          <w:szCs w:val="24"/>
          <w:lang w:eastAsia="lt-LT"/>
        </w:rPr>
        <w:t>ti.“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spacing w:line="360" w:lineRule="auto"/>
        <w:ind w:firstLine="720"/>
        <w:jc w:val="both"/>
        <w:rPr>
          <w:b/>
          <w:bCs/>
          <w:szCs w:val="24"/>
          <w:shd w:val="clear" w:color="auto" w:fill="FFFFFF"/>
          <w:lang w:eastAsia="lt-LT"/>
        </w:rPr>
      </w:pPr>
      <w:r>
        <w:rPr>
          <w:b/>
          <w:bCs/>
          <w:szCs w:val="24"/>
          <w:lang w:eastAsia="lt-LT"/>
        </w:rPr>
        <w:t>6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shd w:val="clear" w:color="auto" w:fill="FFFFFF"/>
          <w:lang w:eastAsia="lt-LT"/>
        </w:rPr>
        <w:t>Įstatymo papildymas 59</w:t>
      </w:r>
      <w:r>
        <w:rPr>
          <w:b/>
          <w:bCs/>
          <w:szCs w:val="24"/>
          <w:shd w:val="clear" w:color="auto" w:fill="FFFFFF"/>
          <w:vertAlign w:val="superscript"/>
          <w:lang w:eastAsia="lt-LT"/>
        </w:rPr>
        <w:t>1</w:t>
      </w:r>
      <w:r>
        <w:rPr>
          <w:b/>
          <w:bCs/>
          <w:szCs w:val="24"/>
          <w:shd w:val="clear" w:color="auto" w:fill="FFFFFF"/>
          <w:lang w:eastAsia="lt-LT"/>
        </w:rPr>
        <w:t xml:space="preserve"> straipsniu</w:t>
      </w:r>
    </w:p>
    <w:p w:rsidR="00FA3A17" w:rsidRDefault="003B7A35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Papildyti Įstatymą 59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 straipsniu:</w:t>
      </w:r>
    </w:p>
    <w:p w:rsidR="00FA3A17" w:rsidRDefault="003B7A35">
      <w:pPr>
        <w:keepNext/>
        <w:spacing w:line="360" w:lineRule="auto"/>
        <w:ind w:left="2835" w:hanging="2115"/>
        <w:jc w:val="both"/>
        <w:rPr>
          <w:b/>
          <w:bCs/>
          <w:szCs w:val="24"/>
        </w:rPr>
      </w:pPr>
      <w:r>
        <w:rPr>
          <w:szCs w:val="24"/>
        </w:rPr>
        <w:t>„</w:t>
      </w:r>
      <w:r>
        <w:rPr>
          <w:b/>
          <w:bCs/>
          <w:szCs w:val="24"/>
        </w:rPr>
        <w:t>59</w:t>
      </w:r>
      <w:r>
        <w:rPr>
          <w:b/>
          <w:bCs/>
          <w:szCs w:val="24"/>
          <w:vertAlign w:val="superscript"/>
        </w:rPr>
        <w:t>1</w:t>
      </w:r>
      <w:r>
        <w:rPr>
          <w:b/>
          <w:bCs/>
          <w:szCs w:val="24"/>
        </w:rPr>
        <w:t xml:space="preserve"> straipsnis. </w:t>
      </w:r>
      <w:r>
        <w:rPr>
          <w:b/>
          <w:bCs/>
          <w:szCs w:val="24"/>
        </w:rPr>
        <w:t xml:space="preserve">Nuostatų </w:t>
      </w:r>
      <w:r>
        <w:rPr>
          <w:b/>
          <w:szCs w:val="24"/>
          <w:lang w:eastAsia="lt-LT"/>
        </w:rPr>
        <w:t>atitikties proporcingumo principui</w:t>
      </w:r>
      <w:r>
        <w:rPr>
          <w:b/>
          <w:bCs/>
          <w:szCs w:val="24"/>
        </w:rPr>
        <w:t xml:space="preserve"> stebėsena (monitoringas)</w:t>
      </w:r>
    </w:p>
    <w:p w:rsidR="00FA3A17" w:rsidRDefault="003B7A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Profesinių kvalifikacijų pripažinimo koordinatorius ir Lietuvos </w:t>
      </w:r>
      <w:r>
        <w:rPr>
          <w:szCs w:val="24"/>
          <w:lang w:eastAsia="lt-LT"/>
        </w:rPr>
        <w:t>Respublikos kompetentingos institucijos, atsižvelgdamos į pokyčius, įvykusius po atitinkamų nuostatų priėmimo, ir į tai, kaip jos taikomos praktikoje, stebi šių nuostatų atitiktį proporcingumo principui, kaip jis apibrėžtas Teisėkūros pagrindų įstatyme. Nu</w:t>
      </w:r>
      <w:r>
        <w:rPr>
          <w:szCs w:val="24"/>
          <w:lang w:eastAsia="lt-LT"/>
        </w:rPr>
        <w:t>ostatų atitikties proporcingumo principui stebėsena atliekama Lietuvos Respublikos Vyriausybės ar jos įgaliotos institucijos nustatyta tvarka.“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7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>63 straipsnio pakeitimas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Pakeisti 63 straipsnio 1 dalies nuostatą iki dvitaškio ir </w:t>
      </w:r>
      <w:r>
        <w:rPr>
          <w:szCs w:val="24"/>
          <w:lang w:eastAsia="lt-LT"/>
        </w:rPr>
        <w:t>ją išdėstyti taip: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>
        <w:rPr>
          <w:szCs w:val="24"/>
          <w:lang w:eastAsia="lt-LT"/>
        </w:rPr>
        <w:t>1</w:t>
      </w:r>
      <w:r>
        <w:rPr>
          <w:szCs w:val="24"/>
          <w:lang w:eastAsia="lt-LT"/>
        </w:rPr>
        <w:t>. Kontaktinis centras, įsteigtas vadovaujantis Lietuvos Respublikos paslaugų įstatymo nuostatomis, užtikrina, ka</w:t>
      </w:r>
      <w:bookmarkStart w:id="0" w:name="_GoBack"/>
      <w:bookmarkEnd w:id="0"/>
      <w:r>
        <w:rPr>
          <w:szCs w:val="24"/>
          <w:lang w:eastAsia="lt-LT"/>
        </w:rPr>
        <w:t>d jo portale būtų prieinama ir reguliariai atnaujinama ši informacija:“.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8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 xml:space="preserve">Įstatymo 6 priedo </w:t>
      </w:r>
      <w:r>
        <w:rPr>
          <w:b/>
          <w:bCs/>
          <w:szCs w:val="24"/>
          <w:lang w:eastAsia="lt-LT"/>
        </w:rPr>
        <w:t>pakeitimas</w:t>
      </w:r>
    </w:p>
    <w:p w:rsidR="00FA3A17" w:rsidRDefault="003B7A35">
      <w:pPr>
        <w:spacing w:line="360" w:lineRule="auto"/>
        <w:ind w:firstLine="720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Pakeisti Įstatymo 6 priedą ir jį išdėstyti taip:</w:t>
      </w:r>
    </w:p>
    <w:p w:rsidR="00FA3A17" w:rsidRDefault="00FA3A17">
      <w:pPr>
        <w:spacing w:line="360" w:lineRule="auto"/>
        <w:ind w:firstLine="720"/>
        <w:jc w:val="both"/>
        <w:rPr>
          <w:szCs w:val="24"/>
          <w:shd w:val="clear" w:color="auto" w:fill="FFFFFF"/>
          <w:lang w:eastAsia="lt-LT"/>
        </w:rPr>
      </w:pPr>
    </w:p>
    <w:p w:rsidR="00FA3A17" w:rsidRDefault="003B7A35">
      <w:pPr>
        <w:ind w:firstLine="5954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„Lietuvos Respublikos</w:t>
      </w:r>
    </w:p>
    <w:p w:rsidR="00FA3A17" w:rsidRDefault="003B7A35">
      <w:pPr>
        <w:ind w:firstLine="5954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 xml:space="preserve">reglamentuojamų profesinių </w:t>
      </w:r>
    </w:p>
    <w:p w:rsidR="00FA3A17" w:rsidRDefault="003B7A35">
      <w:pPr>
        <w:ind w:firstLine="5954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kvalifikacijų pripažinimo įstatymo</w:t>
      </w:r>
    </w:p>
    <w:p w:rsidR="00FA3A17" w:rsidRDefault="003B7A35">
      <w:pPr>
        <w:spacing w:line="360" w:lineRule="auto"/>
        <w:ind w:firstLine="5954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6</w:t>
      </w:r>
      <w:r>
        <w:rPr>
          <w:szCs w:val="24"/>
          <w:shd w:val="clear" w:color="auto" w:fill="FFFFFF"/>
          <w:lang w:eastAsia="lt-LT"/>
        </w:rPr>
        <w:t xml:space="preserve"> priedas </w:t>
      </w:r>
    </w:p>
    <w:p w:rsidR="00FA3A17" w:rsidRDefault="00FA3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</w:p>
    <w:p w:rsidR="00FA3A17" w:rsidRDefault="003B7A35">
      <w:pPr>
        <w:spacing w:line="360" w:lineRule="auto"/>
        <w:jc w:val="center"/>
        <w:rPr>
          <w:b/>
          <w:szCs w:val="24"/>
          <w:shd w:val="clear" w:color="auto" w:fill="FFFFFF"/>
          <w:lang w:eastAsia="lt-LT"/>
        </w:rPr>
      </w:pPr>
      <w:r>
        <w:rPr>
          <w:b/>
          <w:szCs w:val="24"/>
          <w:shd w:val="clear" w:color="auto" w:fill="FFFFFF"/>
          <w:lang w:eastAsia="lt-LT"/>
        </w:rPr>
        <w:t>ĮGYVENDINAMI EUROPOS SĄJUNGOS TEISĖS AKTAI</w:t>
      </w:r>
    </w:p>
    <w:p w:rsidR="00FA3A17" w:rsidRDefault="00FA3A17">
      <w:pPr>
        <w:spacing w:line="360" w:lineRule="auto"/>
        <w:ind w:firstLine="720"/>
        <w:jc w:val="center"/>
        <w:rPr>
          <w:b/>
          <w:szCs w:val="24"/>
          <w:shd w:val="clear" w:color="auto" w:fill="FFFFFF"/>
          <w:lang w:eastAsia="lt-LT"/>
        </w:rPr>
      </w:pPr>
    </w:p>
    <w:p w:rsidR="00FA3A17" w:rsidRDefault="003B7A35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. 2005 m. rugsėjo 7 d. Europos Parlamento ir Tarybos direktyva </w:t>
      </w:r>
      <w:hyperlink r:id="rId14" w:tgtFrame="_blank" w:history="1">
        <w:r>
          <w:rPr>
            <w:color w:val="0000FF" w:themeColor="hyperlink"/>
            <w:szCs w:val="24"/>
            <w:u w:val="single"/>
            <w:lang w:eastAsia="lt-LT"/>
          </w:rPr>
          <w:t>2005/36/EB</w:t>
        </w:r>
      </w:hyperlink>
      <w:r>
        <w:rPr>
          <w:szCs w:val="24"/>
          <w:lang w:eastAsia="lt-LT"/>
        </w:rPr>
        <w:t xml:space="preserve"> dėl profesinių kvalifikacijų pripažinimo su paskutiniais pakeitimais, padarytais </w:t>
      </w:r>
      <w:r>
        <w:rPr>
          <w:szCs w:val="24"/>
          <w:lang w:eastAsia="lt-LT"/>
        </w:rPr>
        <w:t xml:space="preserve">2021 m. rugpjūčio 25 d. Komisijos deleguotuoju sprendimu (ES) 2021/2183, kuriuo dėl formalios kvalifikacijos įrodymų ir rengimo kursų pavadinimų iš dalies keičiamas Europos Parlamento ir Tarybos direktyvos </w:t>
      </w:r>
      <w:hyperlink r:id="rId15" w:tgtFrame="_blank" w:history="1">
        <w:r>
          <w:rPr>
            <w:color w:val="0000FF" w:themeColor="hyperlink"/>
            <w:szCs w:val="24"/>
            <w:u w:val="single"/>
            <w:lang w:eastAsia="lt-LT"/>
          </w:rPr>
          <w:t>2005/36/EB</w:t>
        </w:r>
      </w:hyperlink>
      <w:r>
        <w:rPr>
          <w:szCs w:val="24"/>
          <w:lang w:eastAsia="lt-LT"/>
        </w:rPr>
        <w:t xml:space="preserve"> V priedas.</w:t>
      </w:r>
    </w:p>
    <w:p w:rsidR="00FA3A17" w:rsidRDefault="003B7A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</w:t>
      </w:r>
      <w:r>
        <w:rPr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2018 m. birželio 28 d. Europos Parlamento ir Tarybos direktyva (ES) 2018/958 dėl proporcingumo patikros prieš priimant naujas profesijų reglamentavimo nuostatas.</w:t>
      </w:r>
    </w:p>
    <w:p w:rsidR="00FA3A17" w:rsidRDefault="003B7A3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______________________“.</w:t>
      </w:r>
    </w:p>
    <w:p w:rsidR="00FA3A17" w:rsidRDefault="003B7A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</w:p>
    <w:p w:rsidR="00FA3A17" w:rsidRDefault="003B7A3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9</w:t>
      </w:r>
      <w:r>
        <w:rPr>
          <w:b/>
          <w:bCs/>
          <w:szCs w:val="24"/>
          <w:lang w:eastAsia="lt-LT"/>
        </w:rPr>
        <w:t xml:space="preserve"> straipsnis. </w:t>
      </w:r>
      <w:r>
        <w:rPr>
          <w:b/>
          <w:bCs/>
          <w:szCs w:val="24"/>
          <w:lang w:eastAsia="lt-LT"/>
        </w:rPr>
        <w:t>Įstatymo įsigaliojimas, įgyvendinimas ir taikymas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>. Šis įstatymas, išskyrus šio straipsnio 2 dalį, įsigalioja 2023 m. gegužės 1 d.</w:t>
      </w:r>
    </w:p>
    <w:p w:rsidR="00FA3A17" w:rsidRDefault="003B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 Lietuvos Respublikos Vyriausybė ir jos įgaliota institucija i</w:t>
      </w:r>
      <w:r>
        <w:rPr>
          <w:szCs w:val="24"/>
          <w:lang w:eastAsia="lt-LT"/>
        </w:rPr>
        <w:t>ki 2023 m. balandžio 30 d. priima šio įstatymo įgyvendinamuosius teisės aktus.</w:t>
      </w:r>
    </w:p>
    <w:p w:rsidR="00FA3A17" w:rsidRDefault="003B7A35">
      <w:pPr>
        <w:spacing w:line="360" w:lineRule="auto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. Iki šio įstatymo įsigaliojimo dienos procedūros, pradėtos dėl valstybių narių piliečių, trečiųjų valstybių piliečių profesinės kvalifikacijos, įgytos Europos Sąjungos, </w:t>
      </w:r>
      <w:r>
        <w:rPr>
          <w:szCs w:val="24"/>
          <w:lang w:eastAsia="lt-LT"/>
        </w:rPr>
        <w:t>Europos ekonominės erdvės valstybėse ir Šveicarijos Konfederacijoje bei trečiosiose valstybėse, pripažinimo, baigiamos pagal iki šio įstatymo įsigaliojimo dienos galiojusį teisinį reguliavimą.</w:t>
      </w:r>
    </w:p>
    <w:p w:rsidR="00FA3A17" w:rsidRDefault="003B7A35">
      <w:pPr>
        <w:spacing w:line="360" w:lineRule="auto"/>
        <w:ind w:firstLine="720"/>
        <w:jc w:val="both"/>
        <w:rPr>
          <w:i/>
          <w:szCs w:val="24"/>
        </w:rPr>
      </w:pPr>
    </w:p>
    <w:p w:rsidR="00FA3A17" w:rsidRDefault="003B7A35">
      <w:pPr>
        <w:spacing w:line="360" w:lineRule="auto"/>
        <w:ind w:firstLine="720"/>
        <w:jc w:val="both"/>
        <w:rPr>
          <w:i/>
          <w:szCs w:val="24"/>
        </w:rPr>
      </w:pPr>
      <w:r>
        <w:rPr>
          <w:i/>
          <w:szCs w:val="24"/>
        </w:rPr>
        <w:t>Skelbiu šį Lietuvos Respublikos Seimo priimtą įstatymą.</w:t>
      </w:r>
    </w:p>
    <w:p w:rsidR="00FA3A17" w:rsidRDefault="00FA3A17">
      <w:pPr>
        <w:spacing w:line="360" w:lineRule="auto"/>
        <w:rPr>
          <w:i/>
          <w:szCs w:val="24"/>
        </w:rPr>
      </w:pPr>
    </w:p>
    <w:p w:rsidR="00FA3A17" w:rsidRDefault="00FA3A17">
      <w:pPr>
        <w:spacing w:line="360" w:lineRule="auto"/>
        <w:rPr>
          <w:i/>
          <w:szCs w:val="24"/>
        </w:rPr>
      </w:pPr>
    </w:p>
    <w:p w:rsidR="00FA3A17" w:rsidRDefault="00FA3A17">
      <w:pPr>
        <w:spacing w:line="360" w:lineRule="auto"/>
      </w:pPr>
    </w:p>
    <w:p w:rsidR="00FA3A17" w:rsidRDefault="003B7A35">
      <w:pPr>
        <w:tabs>
          <w:tab w:val="right" w:pos="9356"/>
        </w:tabs>
      </w:pPr>
      <w:r>
        <w:rPr>
          <w:lang w:val="en-US"/>
        </w:rPr>
        <w:t>Respublikos Prezidentas</w:t>
      </w:r>
      <w:r>
        <w:rPr>
          <w:caps/>
        </w:rPr>
        <w:tab/>
      </w:r>
      <w:r>
        <w:rPr>
          <w:lang w:val="en-US"/>
        </w:rPr>
        <w:t>Gitanas Nausėda</w:t>
      </w:r>
    </w:p>
    <w:sectPr w:rsidR="00FA3A17"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17" w:rsidRDefault="003B7A35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:rsidR="00FA3A17" w:rsidRDefault="003B7A35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3B7A35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:rsidR="00FA3A17" w:rsidRDefault="00FA3A1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FA3A1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FA3A17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17" w:rsidRDefault="003B7A35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:rsidR="00FA3A17" w:rsidRDefault="003B7A35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3B7A35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:rsidR="00FA3A17" w:rsidRDefault="00FA3A1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3B7A35">
    <w:pPr>
      <w:framePr w:wrap="auto" w:vAnchor="text" w:hAnchor="page" w:x="6337" w:y="15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noProof/>
        <w:szCs w:val="24"/>
        <w:lang w:val="en-US"/>
      </w:rPr>
      <w:t>4</w:t>
    </w:r>
    <w:r>
      <w:rPr>
        <w:szCs w:val="24"/>
        <w:lang w:val="en-US"/>
      </w:rPr>
      <w:fldChar w:fldCharType="end"/>
    </w:r>
  </w:p>
  <w:p w:rsidR="00FA3A17" w:rsidRDefault="00FA3A1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17" w:rsidRDefault="00FA3A17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03"/>
    <w:rsid w:val="000F3503"/>
    <w:rsid w:val="003B7A35"/>
    <w:rsid w:val="00F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D7FAD-0250-4B26-A1C4-5AC6FB1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B7A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hyperlink" TargetMode="External" Target="http://eur-lex.europa.eu/legal-content/LIT/TXT/?uri=CELEX:32005L0036&amp;locale=lt"/>
  <Relationship Id="rId15" Type="http://schemas.openxmlformats.org/officeDocument/2006/relationships/hyperlink" TargetMode="External" Target="http://eur-lex.europa.eu/legal-content/LIT/TXT/?uri=CELEX:32005L0036&amp;locale=lt"/>
  <Relationship Id="rId16" Type="http://schemas.openxmlformats.org/officeDocument/2006/relationships/fontTable" Target="fontTable.xml"/>
  <Relationship Id="rId17" Type="http://schemas.openxmlformats.org/officeDocument/2006/relationships/glossaryDocument" Target="glossary/document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DEA0E1B-1867-4C5A-BDA4-05E6DC9135AE}"/>
      </w:docPartPr>
      <w:docPartBody>
        <w:p w:rsidR="00000000" w:rsidRDefault="00FF53AA">
          <w:r w:rsidRPr="00BD4143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A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F53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6743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2023-04-25T11:22:00Z</dcterms:created>
  <dc:creator>MOZERĖ Dainora</dc:creator>
  <lastModifiedBy>TRAPINSKIENĖ Aušrinė</lastModifiedBy>
  <lastPrinted>2023-04-25T08:23:00Z</lastPrinted>
  <dcterms:modified xsi:type="dcterms:W3CDTF">2023-04-26T15:08:00Z</dcterms:modified>
  <revision>3</revision>
</coreProperties>
</file>