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8C3A850F425497D90450865C6EC42BA" style="width:450.75pt;height:351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IL-PARLAMENT EWROPEW, IL-KUNSILL TAL-UNJONI EWROPEA U L-KUMMISSJONI EWROPEA, Billi: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L-Artikolu 13a tar-Regolament tal-Kunsill (UE, Euratom) Nru 1311/2013 li jistabbilixxi l-qafas finanzjarju pliriennali għas-snin 2014-2020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jistipula strument speċjali ġdid li jistabbilixxi Riżerva ta' Kriżi tal-Unjoni Ewropea ffinanzjata minn approprjazzjonijiet diżimpenjati sabiex jippermetti lill-Unjoni tirreaġixxi b’mod rapidu għall-kriżijiet, kif ukoll għal avvenimenti b'implikazzjonijiet umanitarji jew ta' sigurtà serji.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Il-proċedura għall-mobilizzazzjoni tar-Riżerva ta' Kriżi tal-Unjoni Ewropea jeħtieġ li tiġi stipulata fil-Ftehim Interistituzzjonali dwar id-dixxiplina baġitarja, il-kooperazzjoni f'materji ta’ baġit u fuq ġestjoni finanzjarja soda,</w:t>
      </w:r>
    </w:p>
    <w:p>
      <w:pPr>
        <w:pStyle w:val="Formuledadoption"/>
        <w:spacing w:after="240"/>
        <w:rPr>
          <w:noProof/>
        </w:rPr>
      </w:pPr>
      <w:r>
        <w:rPr>
          <w:noProof/>
        </w:rPr>
        <w:t>FTIEHMU KIF ĠEJ:</w:t>
      </w:r>
    </w:p>
    <w:p>
      <w:pPr>
        <w:rPr>
          <w:noProof/>
        </w:rPr>
      </w:pPr>
      <w:r>
        <w:rPr>
          <w:noProof/>
        </w:rPr>
        <w:t xml:space="preserve">Fil-parti I, taqsima B jiddaħħal il-punt 14a ġdid: </w:t>
      </w:r>
    </w:p>
    <w:p>
      <w:pPr>
        <w:pStyle w:val="NumPar1"/>
        <w:numPr>
          <w:ilvl w:val="0"/>
          <w:numId w:val="0"/>
        </w:numPr>
        <w:ind w:left="851" w:hanging="851"/>
        <w:rPr>
          <w:noProof/>
        </w:rPr>
      </w:pPr>
      <w:r>
        <w:rPr>
          <w:noProof/>
        </w:rPr>
        <w:t xml:space="preserve">" </w:t>
      </w:r>
      <w:r>
        <w:rPr>
          <w:i/>
          <w:noProof/>
        </w:rPr>
        <w:t>Riżerva ta' Kriżi tal-Unjoni Ewropea</w:t>
      </w:r>
    </w:p>
    <w:p>
      <w:pPr>
        <w:pStyle w:val="NumPar1"/>
        <w:numPr>
          <w:ilvl w:val="0"/>
          <w:numId w:val="0"/>
        </w:numPr>
        <w:ind w:left="851" w:hanging="851"/>
        <w:rPr>
          <w:noProof/>
        </w:rPr>
      </w:pPr>
      <w:r>
        <w:rPr>
          <w:noProof/>
        </w:rPr>
        <w:t>14a</w:t>
      </w:r>
      <w:r>
        <w:rPr>
          <w:noProof/>
        </w:rPr>
        <w:tab/>
        <w:t>Meta l-Kummissjoni tikkunsidra li għandha tirrikorri għar-Riżerva, għandha tippreżenta liż-żewġ fergħat tal-awtorità baġitarja proposta għal trasferiment mir-Riżerva għal-linji baġitarji korrispondenti.</w:t>
      </w:r>
    </w:p>
    <w:p>
      <w:pPr>
        <w:pStyle w:val="Text1"/>
        <w:rPr>
          <w:noProof/>
        </w:rPr>
      </w:pPr>
      <w:r>
        <w:rPr>
          <w:noProof/>
        </w:rPr>
        <w:t>Madankollu, qabel kull proposta mill-Kummissjoni għal trasferiment mir-Riżerva irid ikun hemm analiżi tal-ambitu għar-riallokazzjonijiet tal-approprjazzjonijiet.</w:t>
      </w:r>
    </w:p>
    <w:p>
      <w:pPr>
        <w:pStyle w:val="Text1"/>
        <w:rPr>
          <w:noProof/>
        </w:rPr>
      </w:pPr>
      <w:r>
        <w:rPr>
          <w:noProof/>
        </w:rPr>
        <w:t>Fil-każ ta' nuqqas ta' qbil, għandha tinbeda proċedura ta’ trilogu.</w:t>
      </w:r>
    </w:p>
    <w:p>
      <w:pPr>
        <w:pStyle w:val="Text1"/>
        <w:rPr>
          <w:noProof/>
        </w:rPr>
      </w:pPr>
      <w:r>
        <w:rPr>
          <w:noProof/>
        </w:rPr>
        <w:t>It-trasferimenti marbuta mar-Riżerva għandhom isiru skont ir-Regolament Finanzjarju."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 xml:space="preserve">Magħmula fi Brussell, </w:t>
      </w:r>
    </w:p>
    <w:p>
      <w:pPr>
        <w:pStyle w:val="Institutionquisigne"/>
        <w:tabs>
          <w:tab w:val="clear" w:pos="4252"/>
          <w:tab w:val="left" w:pos="3840"/>
          <w:tab w:val="left" w:pos="6360"/>
        </w:tabs>
        <w:rPr>
          <w:noProof/>
        </w:rPr>
      </w:pPr>
      <w:r>
        <w:rPr>
          <w:noProof/>
        </w:rPr>
        <w:t>Għall-Parlament Ewropew</w:t>
      </w:r>
      <w:r>
        <w:rPr>
          <w:noProof/>
        </w:rPr>
        <w:tab/>
        <w:t>Għall-Kunsill</w:t>
      </w:r>
      <w:r>
        <w:rPr>
          <w:noProof/>
        </w:rPr>
        <w:tab/>
        <w:t>Għall-Kummissjoni</w:t>
      </w:r>
    </w:p>
    <w:p>
      <w:pPr>
        <w:pStyle w:val="Personnequisigne"/>
        <w:tabs>
          <w:tab w:val="clear" w:pos="4252"/>
          <w:tab w:val="left" w:pos="3840"/>
          <w:tab w:val="left" w:pos="6360"/>
        </w:tabs>
        <w:rPr>
          <w:noProof/>
        </w:rPr>
      </w:pPr>
      <w:r>
        <w:rPr>
          <w:noProof/>
        </w:rPr>
        <w:t>Il-President</w:t>
      </w:r>
      <w:r>
        <w:rPr>
          <w:noProof/>
        </w:rPr>
        <w:tab/>
        <w:t>Il-President</w:t>
      </w:r>
      <w:r>
        <w:rPr>
          <w:noProof/>
        </w:rPr>
        <w:tab/>
        <w:t>Il-President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MT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/>
        <w:b/>
        <w:sz w:val="48"/>
      </w:rPr>
      <w:t>MT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</w:rPr>
        <w:t>ĠU L 347, 20.12.2013, p. 884.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A6"/>
    <w:multiLevelType w:val="multilevel"/>
    <w:tmpl w:val="BB96EC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58C3A850F425497D90450865C6EC42BA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Brussell, "/>
    <w:docVar w:name="LW_EMISSION_SUFFIX" w:val=" "/>
    <w:docVar w:name="LW_ID_DOCTYPE_NONLW" w:val="CP-032"/>
    <w:docVar w:name="LW_INTERETEEE.CP" w:val="&lt;UNUSED&gt;"/>
    <w:docVar w:name="LW_LANGUE" w:val="MT"/>
    <w:docVar w:name="LW_MARKING" w:val="&lt;UNUSED&gt;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606"/>
    <w:docVar w:name="LW_REF.INTERNE" w:val="&lt;UNUSED&gt;"/>
    <w:docVar w:name="LW_SOUS.TITRE.OBJ.CP" w:val="&lt;UNUSED&gt;"/>
    <w:docVar w:name="LW_STATUT" w:val="Proposta g\u295?al"/>
    <w:docVar w:name="LW_STATUT.CP" w:val="Proposta g\u295?al"/>
    <w:docVar w:name="LW_SUPERTITRE" w:val="&lt;UNUSED&gt;"/>
    <w:docVar w:name="LW_TITRE.OBJ.CP" w:val="tat-2 ta' Di\u267?embru 2013 bejn il-Parlament Ewropew, il-Kunsill u l-Kummissjoni dwar id-dixxiplina ba\u289?itarja, il-kooperazzjoni fi kwistjonijiet ba\u289?itarji u fuq \u289?estjoni finanzjarja soda"/>
    <w:docVar w:name="LW_TYPE.DOC.CP" w:val="emenda tal-Ftehim Interistituzzjonali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mt-M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mt-MT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mt-M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mt-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mt-M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mt-MT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mt-MT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mt-M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B942-1370-47D4-9B9A-79BF5CD2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1346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2016-09-07T05:46:00Z</dcterms:created>
  <dcterms:modified xsi:type="dcterms:W3CDTF">2016-09-15T09:29:00Z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