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069E0446-3399-4912-B3D5-263467CDE1DF" style="width:450.45pt;height:320.85pt">
            <v:imagedata r:id="rId9" o:title=""/>
          </v:shape>
        </w:pict>
      </w:r>
    </w:p>
    <w:bookmarkEnd w:id="0"/>
    <w:p>
      <w:pPr>
        <w:keepNext/>
        <w:spacing w:after="0"/>
        <w:contextualSpacing/>
        <w:rPr>
          <w:rFonts w:ascii="Times New Roman" w:hAnsi="Times New Roman" w:cs="Times New Roman"/>
          <w:noProof/>
          <w:sz w:val="24"/>
          <w:szCs w:val="24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keepNext/>
        <w:spacing w:after="0"/>
        <w:contextualSpacing/>
        <w:jc w:val="center"/>
        <w:outlineLvl w:val="0"/>
        <w:rPr>
          <w:rFonts w:ascii="Times New Roman" w:hAnsi="Times New Roman" w:cs="Times New Roman"/>
          <w:b/>
          <w:noProof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4"/>
          <w:szCs w:val="24"/>
        </w:rPr>
        <w:lastRenderedPageBreak/>
        <w:t>Insawru l-futur diġitali tal-Ewropa</w:t>
      </w:r>
    </w:p>
    <w:p>
      <w:pPr>
        <w:keepNext/>
        <w:spacing w:after="0"/>
        <w:contextualSpacing/>
        <w:jc w:val="center"/>
        <w:outlineLvl w:val="0"/>
        <w:rPr>
          <w:rFonts w:ascii="Times New Roman" w:hAnsi="Times New Roman" w:cs="Times New Roman"/>
          <w:b/>
          <w:noProof/>
          <w:sz w:val="24"/>
          <w:szCs w:val="24"/>
        </w:rPr>
      </w:pPr>
    </w:p>
    <w:p>
      <w:pPr>
        <w:keepNext/>
        <w:spacing w:after="0"/>
        <w:contextualSpacing/>
        <w:jc w:val="center"/>
        <w:outlineLvl w:val="0"/>
        <w:rPr>
          <w:rFonts w:ascii="Times New Roman" w:hAnsi="Times New Roman" w:cs="Times New Roman"/>
          <w:b/>
          <w:noProof/>
          <w:sz w:val="24"/>
          <w:szCs w:val="24"/>
        </w:rPr>
      </w:pPr>
    </w:p>
    <w:p>
      <w:pPr>
        <w:pStyle w:val="ListParagraph"/>
        <w:keepNext/>
        <w:numPr>
          <w:ilvl w:val="0"/>
          <w:numId w:val="3"/>
        </w:numPr>
        <w:spacing w:after="0"/>
        <w:ind w:left="714" w:hanging="357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Introduzzjoni</w:t>
      </w:r>
    </w:p>
    <w:p>
      <w:pPr>
        <w:pStyle w:val="Default"/>
        <w:keepNext/>
        <w:spacing w:line="276" w:lineRule="auto"/>
        <w:contextualSpacing/>
        <w:jc w:val="both"/>
        <w:rPr>
          <w:rFonts w:ascii="Times New Roman" w:hAnsi="Times New Roman" w:cs="Times New Roman"/>
          <w:noProof/>
        </w:rPr>
      </w:pPr>
    </w:p>
    <w:p>
      <w:pPr>
        <w:pStyle w:val="Default"/>
        <w:keepNext/>
        <w:spacing w:line="276" w:lineRule="auto"/>
        <w:contextualSpacing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 xml:space="preserve">It-teknoloġiji diġitali qed ibiddlu mill-qiegħ il-ħajja tagħna ta’ kuljum, il-mod kif naħdmu u nagħmlu n-negozju, u l-mod kif in-nies jivvjaġġaw, jikkomunikaw u jirrelataw flimkien. Il-komunikazzjoni diġitali, l-interazzjoni mal-midja soċjali, il-kummerċ elettroniku u l-intrapriżi diġitali qed jittrasformaw id-dinja tagħna b’mod kostanti. Dawn qed jiġġeneraw ammont dejjem akbar ta’ 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li, jekk tinġabar u tintuża, tista’ twassal għal mezzi u livelli totalment ġodda ta’ ħolqien tal-valur. Din hija trasformazzjoni fundamentali daqs dik ikkawżata mir-rivoluzzjoni industrijali. </w:t>
      </w:r>
    </w:p>
    <w:p>
      <w:pPr>
        <w:pStyle w:val="Default"/>
        <w:keepNext/>
        <w:spacing w:line="276" w:lineRule="auto"/>
        <w:contextualSpacing/>
        <w:jc w:val="both"/>
        <w:rPr>
          <w:rFonts w:ascii="Times New Roman" w:hAnsi="Times New Roman" w:cs="Times New Roman"/>
          <w:noProof/>
        </w:rPr>
      </w:pPr>
    </w:p>
    <w:p>
      <w:pPr>
        <w:pStyle w:val="Default"/>
        <w:keepNext/>
        <w:spacing w:line="276" w:lineRule="auto"/>
        <w:contextualSpacing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>Fil-linji gwida politiċi tagħha, il-President tal-Kummissjoni von der Leyen enfasizzat il-ħtieġa li</w:t>
      </w:r>
      <w:r>
        <w:rPr>
          <w:noProof/>
        </w:rPr>
        <w:t xml:space="preserve"> </w:t>
      </w:r>
      <w:r>
        <w:rPr>
          <w:rFonts w:ascii="Times New Roman" w:hAnsi="Times New Roman"/>
          <w:noProof/>
        </w:rPr>
        <w:t xml:space="preserve">l-Ewropa tmexxi t-tranżizzjoni lejn pjaneta b’saħħitha u dinja diġitali ġdida. Din l-isfida doppja tat-trasformazzjoni ekoloġika u diġitali trid timxi id f’id. Kif stabbilit fil-Patt Ekoloġiku Ewropew, din teħtieġ bidla immedjata fid-direzzjoni lejn soluzzjonijiet aktar sostenibbli li jkunu aktar effiċjenti fir-riżorsi, ċirkolari u newtrali għall-klima. Din teħtieġ li kull ċittadin, kull impjegat, kull persuna tan-negozju jkollha opportunità ġusta, kull fejn tgħix, li taħsad il-benefiċċji tas-soċjetà dejjem aktar diġitalizzata tagħna. </w:t>
      </w:r>
    </w:p>
    <w:p>
      <w:pPr>
        <w:pStyle w:val="Default"/>
        <w:keepNext/>
        <w:spacing w:line="276" w:lineRule="auto"/>
        <w:contextualSpacing/>
        <w:jc w:val="both"/>
        <w:rPr>
          <w:rFonts w:ascii="Times New Roman" w:hAnsi="Times New Roman" w:cs="Times New Roman"/>
          <w:noProof/>
        </w:rPr>
      </w:pPr>
    </w:p>
    <w:p>
      <w:pPr>
        <w:pStyle w:val="Default"/>
        <w:keepNext/>
        <w:spacing w:line="276" w:lineRule="auto"/>
        <w:contextualSpacing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>Soluzzjonijiet diġitali bħas-sistemi tal-komunikazzjoni, l-intelliġenza artifiċjali jew it-teknoloġiji kwantistiċi jistgħu jarrikkixxu ħajjitna b’diversi modi. Iżda minbarra l-benefiċċji, it-teknoloġiji diġitali għandhom ir-riskji u l-kostijiet tagħhom. Iċ-ċittadini m’għadhomx iħossuhom fil-kontroll fuq dak li jiġri mid-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personali tagħhom u qed jitgħabbew iżżejjed dejjem aktar b’solleċitazzjonijiet artifiċjali tal-attenzjoni tagħhom. U l-attivitajiet ċibernetiċi malizzjużi jistgħu jheddu l-benesseri personali tagħna jew ifixklu l-infrastrutturi kritiċi tagħna. </w:t>
      </w:r>
    </w:p>
    <w:p>
      <w:pPr>
        <w:pStyle w:val="Default"/>
        <w:keepNext/>
        <w:spacing w:line="276" w:lineRule="auto"/>
        <w:contextualSpacing/>
        <w:jc w:val="both"/>
        <w:rPr>
          <w:rFonts w:ascii="Times New Roman" w:hAnsi="Times New Roman" w:cs="Times New Roman"/>
          <w:noProof/>
        </w:rPr>
      </w:pPr>
    </w:p>
    <w:p>
      <w:pPr>
        <w:pStyle w:val="Default"/>
        <w:keepNext/>
        <w:spacing w:line="276" w:lineRule="auto"/>
        <w:contextualSpacing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 xml:space="preserve">Din it-trasformazzjoni sostantiva tas-soċjetà titlob riflessjoni profonda fil-livelli kollha tas-soċjetà dwar kif l-Ewropa tista’ tegħleb dawn ir-riskji u l-isfidi bl-aħjar mod u tkompli tegħlibhom. Din se tkun teħtieġ sforz enormi, iżda l-Ewropa bla dubju għandha l-mezzi biex twassal dan il-ġejjieni diġitali għal kulħadd. </w:t>
      </w:r>
    </w:p>
    <w:p>
      <w:pPr>
        <w:pStyle w:val="Default"/>
        <w:keepNext/>
        <w:spacing w:line="276" w:lineRule="auto"/>
        <w:contextualSpacing/>
        <w:jc w:val="both"/>
        <w:rPr>
          <w:rFonts w:ascii="Times New Roman" w:hAnsi="Times New Roman" w:cs="Times New Roman"/>
          <w:noProof/>
        </w:rPr>
      </w:pPr>
    </w:p>
    <w:p>
      <w:pPr>
        <w:pStyle w:val="ListParagraph"/>
        <w:keepNext/>
        <w:numPr>
          <w:ilvl w:val="0"/>
          <w:numId w:val="3"/>
        </w:numPr>
        <w:spacing w:after="0"/>
        <w:ind w:left="714" w:hanging="357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Il-viżjoni u l-għanijiet tagħna</w:t>
      </w:r>
    </w:p>
    <w:p>
      <w:pPr>
        <w:pStyle w:val="ListParagraph"/>
        <w:keepNext/>
        <w:spacing w:after="0"/>
        <w:ind w:left="714"/>
        <w:rPr>
          <w:rFonts w:ascii="Times New Roman" w:hAnsi="Times New Roman" w:cs="Times New Roman"/>
          <w:b/>
          <w:noProof/>
          <w:sz w:val="24"/>
          <w:szCs w:val="24"/>
        </w:rPr>
      </w:pPr>
    </w:p>
    <w:p>
      <w:pPr>
        <w:keepNext/>
        <w:spacing w:after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Il-Kummissjoni trid soċjetà Ewropea li taħdem b’soluzzjonijiet diġitali msejsa fuq il-valuri komuni tagħna, u li jarrikkixxu l-ħajja ta’ kull wieħed u waħda minna: in-nies irid ikollhom l-opportunità li jiżviluppaw personalment, li jagħżlu liberament u b’mod sikur, li jinvolvu ruħhom fis-soċjetà u dan irrispettivament mill-età, mill-ġeneru jew mill-isfond professjonali tagħhom. In-negozji jeħtieġu qafas li jippermettilhom jiftħu, ikabbru, jiġbru u jużaw id-</w:t>
      </w:r>
      <w:r>
        <w:rPr>
          <w:rFonts w:ascii="Times New Roman" w:hAnsi="Times New Roman"/>
          <w:i/>
          <w:iCs/>
          <w:noProof/>
          <w:sz w:val="24"/>
          <w:szCs w:val="24"/>
        </w:rPr>
        <w:t>data</w:t>
      </w:r>
      <w:r>
        <w:rPr>
          <w:rFonts w:ascii="Times New Roman" w:hAnsi="Times New Roman"/>
          <w:noProof/>
          <w:sz w:val="24"/>
          <w:szCs w:val="24"/>
        </w:rPr>
        <w:t xml:space="preserve"> bejniethom, jinnovaw u jikkompetu jew jikkooperaw b’mod ġust. U l-Ewropa jeħtieġ ikollha għażla u ssegwi t-trasformazzjoni diġitali bil-mod tagħha stess. </w:t>
      </w:r>
    </w:p>
    <w:p>
      <w:pPr>
        <w:keepNext/>
        <w:spacing w:after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keepNext/>
        <w:spacing w:after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Għal sovranità teknoloġika Ewropea, qabelxejn irridu niżguraw l-integrità u r-reżiljenza tal-infrastruttura tad-</w:t>
      </w:r>
      <w:r>
        <w:rPr>
          <w:rFonts w:ascii="Times New Roman" w:hAnsi="Times New Roman"/>
          <w:i/>
          <w:iCs/>
          <w:noProof/>
          <w:sz w:val="24"/>
          <w:szCs w:val="24"/>
        </w:rPr>
        <w:t>data</w:t>
      </w:r>
      <w:r>
        <w:rPr>
          <w:rFonts w:ascii="Times New Roman" w:hAnsi="Times New Roman"/>
          <w:noProof/>
          <w:sz w:val="24"/>
          <w:szCs w:val="24"/>
        </w:rPr>
        <w:t>, tan-netwerks u tal-komunikazzjonijiet tagħna. Din teħtieġ il-ħolqien ta’ kundizzjonijiet tajbin biex l-Ewropa tiżviluppa u tuża l-kapaċitajiet ewlenin tagħha stess, u b’hekk titnaqqas id-dipendenza tagħna fuq partijiet oħra tad-dinja fir-rigward tal-aktar teknoloġiji kruċjali. B’dawn il-kapaċitajiet tissaħħaħ l-abbiltà tal-Ewropa li tiddefinixxi r-regoli u l-valuri tagħha stess fl-era diġitali. Is-sovranità teknoloġika Ewropea mhijiex definita kontra xi ħadd iżda tiffoka fuq il-bżonnijiet taċ-ċittadini Ewropej u tal-mudell soċjali Ewropew. L-UE se tibqa’ miftuħa għal kull min ikun lest isegwi r-regoli Ewropej u jilħaq l-istandards Ewropej, irrispettivament minn fejn ikun bbażat.</w:t>
      </w:r>
    </w:p>
    <w:p>
      <w:pPr>
        <w:keepNext/>
        <w:spacing w:after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keepNext/>
        <w:spacing w:after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Jenħtieġ li ċ-ċittadini jingħataw is-setgħa li jieħdu deċiżjonijiet aħjar abbażi tat-tagħrif miksub minn </w:t>
      </w:r>
      <w:r>
        <w:rPr>
          <w:rFonts w:ascii="Times New Roman" w:hAnsi="Times New Roman"/>
          <w:i/>
          <w:iCs/>
          <w:noProof/>
          <w:sz w:val="24"/>
          <w:szCs w:val="24"/>
        </w:rPr>
        <w:t>data</w:t>
      </w:r>
      <w:r>
        <w:rPr>
          <w:rFonts w:ascii="Times New Roman" w:hAnsi="Times New Roman"/>
          <w:noProof/>
          <w:sz w:val="24"/>
          <w:szCs w:val="24"/>
        </w:rPr>
        <w:t xml:space="preserve"> mhux personali. U d-</w:t>
      </w:r>
      <w:r>
        <w:rPr>
          <w:rFonts w:ascii="Times New Roman" w:hAnsi="Times New Roman"/>
          <w:i/>
          <w:iCs/>
          <w:noProof/>
          <w:sz w:val="24"/>
          <w:szCs w:val="24"/>
        </w:rPr>
        <w:t>data</w:t>
      </w:r>
      <w:r>
        <w:rPr>
          <w:rFonts w:ascii="Times New Roman" w:hAnsi="Times New Roman"/>
          <w:noProof/>
          <w:sz w:val="24"/>
          <w:szCs w:val="24"/>
        </w:rPr>
        <w:t xml:space="preserve"> jenħtieġ tkun disponibbli għal kulħadd – kemm jekk tkun entità pubblika jew privata, kbira jew żgħira, negozju ġdid jew ġgant. Dan se jgħin lis-soċjetà tisfrutta l-innovazzjoni u l-kompetizzjoni bl-aqwa mod u tiżgura li kulħadd jibbenefika minn dividend diġitali. Jenħtieġ li din l-Ewropa diġitali tirrifletti l-aqwa kwalitajiet tal-Ewropa – il-ftuħ, il-ġustizzja, id-diversità, id-demokrazija u l-kunfidenza</w:t>
      </w:r>
    </w:p>
    <w:p>
      <w:pPr>
        <w:keepNext/>
        <w:spacing w:after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keepNext/>
        <w:spacing w:after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Għall-ħames snin li ġejjin, il-Kummissjoni se tiffoka fuq tliet għanijiet ewlenin biex tiżgura li s-soluzzjonijiet diġitali jgħinu lill-Ewropa taqbad triqitha lejn trasformazzjoni diġitali li taħdem għall-benefiċċju tan-nies b’rispett lejn il-valuri tagħna. Dan se jqiegħed ukoll lill-Ewropa f’pożizzjoni ta’ trendsetter fid-dibattitu globali.</w:t>
      </w:r>
    </w:p>
    <w:p>
      <w:pPr>
        <w:keepNext/>
        <w:spacing w:after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pStyle w:val="ListParagraph"/>
        <w:keepNext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Teknoloġija li taħdem għan-nies</w:t>
      </w:r>
      <w:r>
        <w:rPr>
          <w:rFonts w:ascii="Times New Roman" w:hAnsi="Times New Roman"/>
          <w:noProof/>
          <w:sz w:val="24"/>
          <w:szCs w:val="24"/>
        </w:rPr>
        <w:t>: L-iżvilupp, il-varar u l-użu ta’ teknoloġija li tagħmel differenza reali fil-ħajja ta’ kuljum tan-nies. Ekonomija b’saħħitha u kompetittiva li tiżviluppa u ssawwar it-teknoloġija b’mod li jirrispetta l-valuri Ewropej.</w:t>
      </w:r>
    </w:p>
    <w:p>
      <w:pPr>
        <w:pStyle w:val="ListParagraph"/>
        <w:keepNext/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pStyle w:val="ListParagraph"/>
        <w:keepNext/>
        <w:numPr>
          <w:ilvl w:val="0"/>
          <w:numId w:val="4"/>
        </w:numPr>
        <w:spacing w:after="0"/>
        <w:ind w:left="71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Ekonomija ġusta u kompetittiva:</w:t>
      </w:r>
      <w:r>
        <w:rPr>
          <w:rFonts w:ascii="Times New Roman" w:hAnsi="Times New Roman"/>
          <w:noProof/>
          <w:sz w:val="24"/>
          <w:szCs w:val="24"/>
        </w:rPr>
        <w:t xml:space="preserve"> Suq uniku bla intoppi, fejn kumpaniji ta’ kull daqs u f’kull settur ikunu jistgħu jikkompetu b’termini ugwali, u jkunu jistgħu jiżviluppaw, jikkummerċjalizzaw u jużaw teknoloġiji, prodotti u servizzi diġitali fuq skala li ssaħħaħ il-produttività u l-kompetittività globali tagħhom, u l-konsumaturi jistgħu jkunu kunfidenti li d-drittijiet tagħhom jiġu rispettati.</w:t>
      </w:r>
    </w:p>
    <w:p>
      <w:pPr>
        <w:pStyle w:val="ListParagraph"/>
        <w:keepNext/>
        <w:spacing w:after="0"/>
        <w:ind w:left="714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>
      <w:pPr>
        <w:pStyle w:val="ListParagraph"/>
        <w:keepNext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Soċjetà miftuħa, demokratika u sostenibbli</w:t>
      </w:r>
      <w:r>
        <w:rPr>
          <w:rFonts w:ascii="Times New Roman" w:hAnsi="Times New Roman"/>
          <w:noProof/>
          <w:sz w:val="24"/>
          <w:szCs w:val="24"/>
        </w:rPr>
        <w:t>: Ambjent affidabbli li fih iċ-ċittadini jħossuhom imsaħħa fil-mod kif jaġixxu u jinteraġixxu, inkluż fir-rigward tad-</w:t>
      </w:r>
      <w:r>
        <w:rPr>
          <w:rFonts w:ascii="Times New Roman" w:hAnsi="Times New Roman"/>
          <w:i/>
          <w:iCs/>
          <w:noProof/>
          <w:sz w:val="24"/>
          <w:szCs w:val="24"/>
        </w:rPr>
        <w:t>data</w:t>
      </w:r>
      <w:r>
        <w:rPr>
          <w:rFonts w:ascii="Times New Roman" w:hAnsi="Times New Roman"/>
          <w:noProof/>
          <w:sz w:val="24"/>
          <w:szCs w:val="24"/>
        </w:rPr>
        <w:t xml:space="preserve"> li jipprovdu kemm online kif ukoll offline. Rotta Ewropea għal trasformazzjoni diġitali li ssaħħaħ il-valuri demokratiċi tagħna, tirrispetta d-drittijiet fundamentali tagħna u tikkontribwixxi għal ekonomija sostenibbli, newtrali għall-klima u effiċjenti fir-riżorsi.</w:t>
      </w:r>
    </w:p>
    <w:p>
      <w:pPr>
        <w:pStyle w:val="ListParagraph"/>
        <w:keepNext/>
        <w:spacing w:after="0"/>
        <w:ind w:left="28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pStyle w:val="ListParagraph"/>
        <w:keepNext/>
        <w:spacing w:after="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Biex l-Ewropa tinfluwenza tassew il-mod kif is-soluzzjonijiet diġitali jiġu żviluppati u użati fuq skala globali, jeħtieġ li minnha nnifisha tkun attur diġitali b’saħħtu, indipendenti u bi skop. Sabiex tikseb dan, hemm bżonn qafas ċar li jippromwovi interazzjonijiet affidabbli u li jaħdmu b’mod diġitali bejn is-soċjetà, kemm għan-nies kif ukoll għan-negozji. Mingħajr din l-enfasi fuq il-fiduċja, il-proċess vitali tat-trasformazzjoni diġitali ma jistax jirnexxi. </w:t>
      </w:r>
    </w:p>
    <w:p>
      <w:pPr>
        <w:pStyle w:val="ListParagraph"/>
        <w:keepNext/>
        <w:spacing w:after="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keepNext/>
        <w:spacing w:after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Il-ħolqien ta’ Ewropa lesta għall-era diġitali hija puzzle kumplessa b’ħafna biċċiet interkonnessi; bħal f’kull puzzle, ma tkunx tista’ tara l-istampa kollha qabel ma tgħaqqad il-biċċiet kollha flimkien. It-taqsimiet li ġejjin se jiddeskrivu kif il-Kummissjoni beħsiebha tgħaqqad din il-puzzle u tibdel il-viżjoni tagħha f’realtà. </w:t>
      </w:r>
    </w:p>
    <w:p>
      <w:pPr>
        <w:keepNext/>
        <w:spacing w:after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keepNext/>
        <w:spacing w:after="0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5345722" cy="4009292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74810" cy="4031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/>
        <w:spacing w:after="0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>
      <w:pPr>
        <w:keepNext/>
        <w:numPr>
          <w:ilvl w:val="0"/>
          <w:numId w:val="2"/>
        </w:numPr>
        <w:spacing w:after="0"/>
        <w:ind w:left="714" w:hanging="357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>Teknoloġija li taħdem għan-nies</w:t>
      </w:r>
    </w:p>
    <w:p>
      <w:pPr>
        <w:keepNext/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>
      <w:pPr>
        <w:keepNext/>
        <w:spacing w:after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L-Ewropa għandha storja twila u ta’ suċċess fit-teknoloġija u fil-kreattività. L-Ewropa tkun l-aktar b’saħħitha meta taġixxi flimkien u tgħaqqad il-forzi tagħha bejn l-UE u l-Istati Membri tagħha; meta tinvolvi r-reġjuni u l-muniċipalitajiet, l-akkademja, is-soċjetà ċivili, l-istituzzjonijiet finanzjarji, in-negozji u l-intrapriżi soċjali. Hemm bżonn li l-Ewropa tgħaqqad l-investimenti tagħha fir-riċerka u fl-innovazzjoni, taqsam l-esperjenzi tagħha u tikkoopera bejn il-pajjiżi. Il-ftehimiet riċenti biex ikun hemm ħidma flimkien f’oqsma bħas-supercomputing u l-mikroelettronika wrew li l-kollaborazzjoni tista’ tkun effettiva ħafna. Se jsegwu inizjattivi simili fl-oqsma ewlenin tal-mewġa li jmiss ta’ teknoloġiji innovattivi. Il-promozzjoni tat-trasformazzjoni diġitali tal-amministrazzjonijiet pubbliċi madwar l-Ewropa hija kruċjali wkoll f’dan ir-rigward.</w:t>
      </w:r>
    </w:p>
    <w:p>
      <w:pPr>
        <w:keepNext/>
        <w:spacing w:after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L-Ewropa trid tinvesti aktar fil-kapaċitajiet strateġiċi li jippermettulna niżviluppaw u nużaw soluzzjonijiet diġitali fuq skala kbira u biex nistinkaw għal interoperabbiltà f’infrastrutturi diġitali ewlenin, bħan-netwerks 5G (u 6G) estensivi tal-futur u t-teknoloġija profonda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1"/>
      </w:r>
      <w:r>
        <w:rPr>
          <w:noProof/>
          <w:sz w:val="24"/>
          <w:szCs w:val="24"/>
        </w:rPr>
        <w:t>.</w:t>
      </w:r>
      <w:r>
        <w:rPr>
          <w:rFonts w:ascii="Times New Roman" w:hAnsi="Times New Roman"/>
          <w:noProof/>
          <w:sz w:val="24"/>
          <w:szCs w:val="24"/>
        </w:rPr>
        <w:t xml:space="preserve"> Biex nieħdu biss eżempju wieħed: il-konnettività hija l-aktar element fundamentali tat-trasformazzjoni diġitali. Hija propju dak li jippermetti l-fluss tad-</w:t>
      </w:r>
      <w:r>
        <w:rPr>
          <w:rFonts w:ascii="Times New Roman" w:hAnsi="Times New Roman"/>
          <w:i/>
          <w:iCs/>
          <w:noProof/>
          <w:sz w:val="24"/>
          <w:szCs w:val="24"/>
        </w:rPr>
        <w:t>data</w:t>
      </w:r>
      <w:r>
        <w:rPr>
          <w:rFonts w:ascii="Times New Roman" w:hAnsi="Times New Roman"/>
          <w:noProof/>
          <w:sz w:val="24"/>
          <w:szCs w:val="24"/>
        </w:rPr>
        <w:t>, il-kollaborazzjoni tan-nies kull fejn ikunu, u l-konnessjoni ta’ aktar oġġetti mal-internet, u b’hekk tittrasforma l-manifattura, il-mobbiltà u l-katini loġistiċi. Il-konnettività tal-Gigabits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2"/>
      </w:r>
      <w:r>
        <w:rPr>
          <w:noProof/>
          <w:sz w:val="24"/>
          <w:szCs w:val="24"/>
        </w:rPr>
        <w:t>,</w:t>
      </w:r>
      <w:r>
        <w:rPr>
          <w:rFonts w:ascii="Times New Roman" w:hAnsi="Times New Roman"/>
          <w:noProof/>
          <w:sz w:val="24"/>
          <w:szCs w:val="24"/>
        </w:rPr>
        <w:t>li taħdem b’infrastrutturi siguri tal-fibra u tal-5G, hija vitali jekk irridu nisfruttaw il-potenzjal tat-tkabbir diġitali tal-Ewropa. Għal dan il-għan, huma meħtieġa investimenti adegwati fil-livelli tal-UE, nazzjonali u reġjonali biex jintlaħqu l-objettivi tal-konnettività tal-UE għall-2025.</w:t>
      </w:r>
      <w:r>
        <w:rPr>
          <w:rFonts w:ascii="Times New Roman" w:hAnsi="Times New Roman"/>
          <w:noProof/>
          <w:sz w:val="24"/>
          <w:szCs w:val="24"/>
          <w:vertAlign w:val="superscript"/>
        </w:rPr>
        <w:t>,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3"/>
      </w:r>
      <w:r>
        <w:rPr>
          <w:rFonts w:ascii="Times New Roman" w:hAnsi="Times New Roman"/>
          <w:noProof/>
          <w:sz w:val="24"/>
          <w:szCs w:val="24"/>
        </w:rPr>
        <w:t xml:space="preserve">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Il-Qafas Finanzjarju Pluriennali l-ġdid tal-UE se jikkontribwixxi għal dawn l-objettivi. L-għan huwa li tinkiseb aktar kapaċità strateġika fejn hi l-aktar importanti u li din tkun aħjar – permezz ta’ programmi ta’ finanzjament immirati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4"/>
      </w:r>
      <w:r>
        <w:rPr>
          <w:rFonts w:ascii="Times New Roman" w:hAnsi="Times New Roman"/>
          <w:noProof/>
          <w:sz w:val="24"/>
          <w:szCs w:val="24"/>
        </w:rPr>
        <w:t>, u li jsir użu mill-garanzija InvestEU u mill-fondi strutturali u ta’ żvilupp rurali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5"/>
      </w:r>
      <w:r>
        <w:rPr>
          <w:rFonts w:ascii="Times New Roman" w:hAnsi="Times New Roman"/>
          <w:noProof/>
          <w:sz w:val="24"/>
          <w:szCs w:val="24"/>
        </w:rPr>
        <w:t>. Dan il-finanzjament pubbliku jrid jintuża biex jiġġenera l-investiment privat, għax flimkien biss nistgħu neliminaw il-lakuni tal-investiment. L-Unjoni tas-Swieq Kapitali se tiffaċilita l-aċċess lill-kumpaniji innovattivi u tat-teknoloġiji avvanzati għal finanzjamenti bbażati fuq is-suq madwar l-UE kollha. Għalhekk, jeħtieġ niżguraw li jkun hemm firxa wiesgħa ta’ ekwità privata u pubblika disponibbli biex tiġi ffinanzjata l-innovazzjoni diġitali.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Jeħtieġ li l-Ewropa tinvesti fil-konnettività, fit-teknoloġija profonda u fil-kapital uman, kif ukoll fl-infrastrutturi intelliġenti tal-enerġija u tat-trasport. Għall-infrastruttura diġitali u għan-netwerks biss, l-UE għandha diskrepanza fl-investiment ta’ EUR 65 biljun fis-sena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6"/>
      </w:r>
      <w:r>
        <w:rPr>
          <w:noProof/>
          <w:sz w:val="24"/>
          <w:szCs w:val="24"/>
        </w:rPr>
        <w:t>.</w:t>
      </w:r>
      <w:r>
        <w:rPr>
          <w:rFonts w:ascii="Times New Roman" w:hAnsi="Times New Roman"/>
          <w:noProof/>
          <w:sz w:val="24"/>
          <w:szCs w:val="24"/>
        </w:rPr>
        <w:t xml:space="preserve"> L-implimentazzjoni tar-riformi u ż-żieda fl-investimenti fir-Riċerka u l-Iżvilupp u fil-varar teknoloġiku jistgħu jrendu 14 % ta’ tkabbir addizzjonali kumulattiv tal-PDG sal-2030. Jekk nieħdu azzjoni malajr (pereżempju billi nżidu l-investimenti u nadottaw miżuri sal-2022 minflok sal-2025) dan iwassal għal żieda addizzjonali ta’ 3,2 % fil-PDG u ħolqien ta’ impjiegi pożittiv sal-2030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7"/>
      </w:r>
      <w:r>
        <w:rPr>
          <w:rFonts w:ascii="Times New Roman" w:hAnsi="Times New Roman"/>
          <w:noProof/>
          <w:sz w:val="24"/>
          <w:szCs w:val="24"/>
        </w:rPr>
        <w:t xml:space="preserve">. Din hija spinta soċjoekonomika li l-Ewropa ma tistax titlef.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Madankollu, l-investiment fl-innovazzjoni huwa biss parti minn din il-kwistjoni. Trasformazzjoni diġitali reali trid tibda miċ-ċittadini u n-negozji Ewropej meta jafdaw li l-applikazzjonijiet u l-prodotti tagħhom huma siguri. Aktar ma nkunu interkonnessi, aktar inkunu vulnerabbli għall-attivitajiet ċibernetiċi malizzjużi. Biex nindirizzaw din it-theddida li dejjem qed tikber, jeħtieġ naħdmu flimkien f’kull stadju: nistabbilixxu regoli konsistenti għall-kumpaniji u mekkaniżmi aktar b’saħħithom għal kondiviżjoni proattiva tal-informazzjoni; niżguraw kooperazzjoni operattiva bejn l-Istati Membri, u bejn l-UE u l-Istati Membri; nibnu sinerġiji bejn ir-reżiljenza ċibernetika ċivili u d-dimensjonijiet tal-infurzar tal-liġi u tad-difiża taċ-ċibersigurtà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8"/>
      </w:r>
      <w:r>
        <w:rPr>
          <w:rFonts w:ascii="Times New Roman" w:hAnsi="Times New Roman"/>
          <w:noProof/>
          <w:sz w:val="24"/>
          <w:szCs w:val="24"/>
        </w:rPr>
        <w:t>; niżguraw li l-infurzar tal-liġi u l-awtoritajiet ġudizzjarji jkunu jistgħu jaħdmu b’mod effettiv billi niżviluppaw għodod ġodda li jintużaw kontra l-kriminali ċibernetiċi; u fl-aħħar iżda mhux l-inqas, irridu nissensibilizzaw liċ-ċittadini tal-UE dwar iċ-ċibersigurtà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9"/>
      </w:r>
      <w:r>
        <w:rPr>
          <w:rFonts w:ascii="Times New Roman" w:hAnsi="Times New Roman"/>
          <w:noProof/>
          <w:sz w:val="24"/>
          <w:szCs w:val="24"/>
        </w:rPr>
        <w:t xml:space="preserve">.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Is-sens ta’ sikurezza u sigurtà mhuwiex biss kwistjoni ta’ ċibersigurtà. Iċ-ċittadini jeħtieġ ikunu kapaċi jafdaw lit-teknoloġija nnifisha, kif ukoll il-mod kif tintuża. Dan huwa partikolarment importanti fir-rigward tal-kwistjoni tal-intelliġenza artifiċjali. F’dan ir-rigward, il-Kummissjoni Ewropea qed tippreżenta White Paper dwar il-ħolqien ta’ ekosistemi ta’ eċċellenza u ta’ fiduċja fil-qasam tal-Intelliġenza Artifiċjali, abbażi tal-valuri Ewropej.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It-titjib tal-edukazzjoni u tal-ħiliet huwa parti ewlenija tal-viżjoni globali għat-trasformazzjoni diġitali fl-Ewropa. Il-kumpaniji Ewropej jeħtieġu impjegati li jkunu midħla tat-teknoloġija diġitali biex jirnexxu fis-suq globali mmexxi mit-teknoloġija. Min-naħa tagħhom, il-ħaddiema jeħtieġu kompetenzi diġitali biex jirnexxu fis-suq tax-xogħol, li qed isir dejjem aktar diġitalizzat u li qed jinbidel malajr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10"/>
      </w:r>
      <w:r>
        <w:rPr>
          <w:rFonts w:ascii="Times New Roman" w:hAnsi="Times New Roman"/>
          <w:noProof/>
          <w:sz w:val="24"/>
          <w:szCs w:val="24"/>
        </w:rPr>
        <w:t xml:space="preserve">. Jista’ jkun hemm u jrid ikun hemm aktar nisa li jkollhom karrieri sodisfaċenti fit-teknoloġija, u jeħtieġ li t-teknoloġija Ewropea tibbenefika mill-ħiliet u mill-kompetenzi tan-nisa.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Madankollu, il-ħtieġa tal-ħiliet diġitali tmur ferm lil hinn mis-suq tal-impjiegi. Peress li t-teknoloġiji diġitali jidħlu fil-ħajja professjonali u privata tagħna, li wieħed ikollu mill-inqas litteriżmu u ħiliet diġitali bażiċi saret prekundizzjoni għall-parteċipazzjoni effettiva fis-soċjetà tal-lum.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Hekk kif jiġu awtonomizzati aktar proċessi, id-diġitalizzazzjoni se twassal għal bidliet lil hinn mis-settur tat-teknoloġija. Għadd kbir ta’ okkupazzjonijiet se jiġu trasformati kompletament. It-tranżizzjoni diġitali trid tkun ekwa u ġusta u tinkoraġġixxi lin-nisa biex jieħdu sehem sħiħ. Is-sħab soċjali għandhom rwol kruċjali f’dan il-kuntest. Fl-istess ħin, il-promozzjoni tal-innovazzjoni u d-diffużjoni teknoloġika huma prerekwiżiti għal kwalità ta’ ħajja tajba, għal opportunitajiet tax-xogħol u għall-eliminazzjoni tad-distakki eżistenti fil-parteċipazzjoni, b’mod partikolari fiż-żoni rurali u remoti li qed iġarrbu tixjiħ u tnaqqis fil-popolazzjoni.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Qed jitfaċċaw ukoll sfidi ġodda fir-rigward tal-kundizzjonijiet tax-xogħol. L-għadd dejjem jikber ta’ pjattaformi online ħoloq opportunitajiet ġodda biex in-nies jaqilgħu l-għajxien tagħhom, jew biex jidħlu jew jibqgħu fis-suq tax-xogħol. Fl-istess ħin, ħoloq għadd ta’ kwistjonijiet ġodda b’rabta mal-protezzjonijiet legali tal-persuni li għalkemm m’għandhomx status ta’ ħaddiem xorta jbatu minn uħud mill-vulnerabbiltajiet tagħhom. Għalhekk, il-Kummissjoni se tipproponi qafas imsaħħaħ għall-ħaddiema tal-pjattaformi.</w:t>
      </w:r>
    </w:p>
    <w:p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outlineLvl w:val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Azzjonijiet ewlenin</w:t>
      </w:r>
    </w:p>
    <w:p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 w:hanging="142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 w:hanging="142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- </w:t>
      </w:r>
      <w:r>
        <w:rPr>
          <w:rFonts w:ascii="Times New Roman" w:hAnsi="Times New Roman"/>
          <w:b/>
          <w:noProof/>
          <w:sz w:val="24"/>
          <w:szCs w:val="24"/>
        </w:rPr>
        <w:t>White Paper dwar l-Intelliġenza Artifiċjali</w:t>
      </w:r>
      <w:r>
        <w:rPr>
          <w:rFonts w:ascii="Times New Roman" w:hAnsi="Times New Roman"/>
          <w:noProof/>
          <w:sz w:val="24"/>
          <w:szCs w:val="24"/>
        </w:rPr>
        <w:t xml:space="preserve"> li tistabbilixxi l-alternattivi għall-qafas leġiżlattiv għal Intelliġenza Artifiċjali affidabbli, (adottata flimkien ma’ din il-Komunikazzjoni), b’segwitu dwar is-sikurezza, ir-responsabbiltà, id-drittijiet fundamentali u d-</w:t>
      </w:r>
      <w:r>
        <w:rPr>
          <w:rFonts w:ascii="Times New Roman" w:hAnsi="Times New Roman"/>
          <w:i/>
          <w:iCs/>
          <w:noProof/>
          <w:sz w:val="24"/>
          <w:szCs w:val="24"/>
        </w:rPr>
        <w:t>data</w:t>
      </w:r>
      <w:r>
        <w:rPr>
          <w:rFonts w:ascii="Times New Roman" w:hAnsi="Times New Roman"/>
          <w:noProof/>
          <w:sz w:val="24"/>
          <w:szCs w:val="24"/>
        </w:rPr>
        <w:t xml:space="preserve"> (Q4 2020).</w:t>
      </w:r>
    </w:p>
    <w:p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 w:hanging="142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- </w:t>
      </w:r>
      <w:r>
        <w:rPr>
          <w:rFonts w:ascii="Times New Roman" w:hAnsi="Times New Roman"/>
          <w:b/>
          <w:noProof/>
          <w:sz w:val="24"/>
          <w:szCs w:val="24"/>
        </w:rPr>
        <w:t>Il-bini u l-varar ta’ kapaċitajiet diġitali konġunti avvanzati</w:t>
      </w:r>
      <w:r>
        <w:rPr>
          <w:rFonts w:ascii="Times New Roman" w:hAnsi="Times New Roman"/>
          <w:noProof/>
          <w:sz w:val="24"/>
          <w:szCs w:val="24"/>
        </w:rPr>
        <w:t xml:space="preserve"> fl-oqsma tal-Intelliġenza Artifiċjali, taċ-ċibersigurtà, tas-supercomputing, tal-computing kwantistiku, tal-komunikazzjoni kwantistika u tal-blockchain. Strateġiji Ewropej dwar il-kwantum u l-blockchain (Q2 2020) kif ukoll Regolament rivedut tal-EuroHPC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11"/>
      </w:r>
      <w:r>
        <w:rPr>
          <w:rFonts w:ascii="Times New Roman" w:hAnsi="Times New Roman"/>
          <w:noProof/>
          <w:sz w:val="24"/>
          <w:szCs w:val="24"/>
        </w:rPr>
        <w:t xml:space="preserve"> dwar is-supercomputing </w:t>
      </w:r>
    </w:p>
    <w:p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 w:hanging="142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- </w:t>
      </w:r>
      <w:r>
        <w:rPr>
          <w:rFonts w:ascii="Times New Roman" w:hAnsi="Times New Roman"/>
          <w:b/>
          <w:noProof/>
          <w:sz w:val="24"/>
          <w:szCs w:val="24"/>
        </w:rPr>
        <w:t>L-aċċellerazzjoni tal-investimenti fil-konnettività tal-Gigabits tal-Ewropa</w:t>
      </w:r>
      <w:r>
        <w:rPr>
          <w:rFonts w:ascii="Times New Roman" w:hAnsi="Times New Roman"/>
          <w:noProof/>
          <w:sz w:val="24"/>
          <w:szCs w:val="24"/>
        </w:rPr>
        <w:t>, permezz tar-reviżjoni tad-Direttiva dwar it-Tnaqqis tal-Ispiża tal-Broadband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12"/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b/>
          <w:noProof/>
          <w:sz w:val="24"/>
          <w:szCs w:val="24"/>
        </w:rPr>
        <w:t>Pjan ta’ Azzjoni aġġornat dwar il-5G u s-6G</w:t>
      </w:r>
      <w:r>
        <w:rPr>
          <w:rFonts w:ascii="Times New Roman" w:hAnsi="Times New Roman"/>
          <w:noProof/>
          <w:sz w:val="24"/>
          <w:szCs w:val="24"/>
        </w:rPr>
        <w:t xml:space="preserve"> u Programm ġdid tal-Politika tal-Ispettru tar-Radju (2021).</w:t>
      </w:r>
      <w:r>
        <w:rPr>
          <w:rFonts w:ascii="Times New Roman" w:hAnsi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Se jiġu introdotti </w:t>
      </w:r>
      <w:r>
        <w:rPr>
          <w:rFonts w:ascii="Times New Roman" w:hAnsi="Times New Roman"/>
          <w:b/>
          <w:noProof/>
          <w:sz w:val="24"/>
          <w:szCs w:val="24"/>
        </w:rPr>
        <w:t>kurituri 5G għal mobbiltà konnessa u awtomatizzata,</w:t>
      </w:r>
      <w:r>
        <w:rPr>
          <w:rFonts w:ascii="Times New Roman" w:hAnsi="Times New Roman"/>
          <w:noProof/>
          <w:sz w:val="24"/>
          <w:szCs w:val="24"/>
        </w:rPr>
        <w:t xml:space="preserve"> li jinkludu kurituri ferrovjarji (2021-2030) (2021-2023). </w:t>
      </w:r>
    </w:p>
    <w:p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 w:hanging="142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 Strateġija Ewropea dwar iċ-ċibersigurtà, li tinkludi l-</w:t>
      </w:r>
      <w:r>
        <w:rPr>
          <w:rFonts w:ascii="Times New Roman" w:hAnsi="Times New Roman"/>
          <w:b/>
          <w:noProof/>
          <w:sz w:val="24"/>
          <w:szCs w:val="24"/>
        </w:rPr>
        <w:t>istabbiliment ta’ Unità taċ-Ċibersigurtà konġunta</w:t>
      </w:r>
      <w:r>
        <w:rPr>
          <w:rFonts w:ascii="Times New Roman" w:hAnsi="Times New Roman"/>
          <w:noProof/>
          <w:sz w:val="24"/>
          <w:szCs w:val="24"/>
        </w:rPr>
        <w:t>, Rieżami tad-Direttiva dwar is-Sigurtà tan-Netwerks u tas-Sistemi tal-Informazzjoni</w:t>
      </w:r>
      <w:r>
        <w:rPr>
          <w:rFonts w:ascii="Times New Roman" w:hAnsi="Times New Roman"/>
          <w:b/>
          <w:noProof/>
          <w:sz w:val="24"/>
          <w:szCs w:val="24"/>
        </w:rPr>
        <w:t xml:space="preserve"> (NIS)</w:t>
      </w:r>
      <w:r>
        <w:rPr>
          <w:rStyle w:val="FootnoteReference"/>
          <w:rFonts w:ascii="Times New Roman" w:hAnsi="Times New Roman"/>
          <w:b/>
          <w:noProof/>
          <w:sz w:val="24"/>
          <w:szCs w:val="24"/>
        </w:rPr>
        <w:footnoteReference w:id="13"/>
      </w:r>
      <w:r>
        <w:rPr>
          <w:rFonts w:ascii="Times New Roman" w:hAnsi="Times New Roman"/>
          <w:noProof/>
          <w:sz w:val="24"/>
          <w:szCs w:val="24"/>
        </w:rPr>
        <w:t xml:space="preserve"> u li tagħti spinta lis-</w:t>
      </w:r>
      <w:r>
        <w:rPr>
          <w:rFonts w:ascii="Times New Roman" w:hAnsi="Times New Roman"/>
          <w:b/>
          <w:noProof/>
          <w:sz w:val="24"/>
          <w:szCs w:val="24"/>
        </w:rPr>
        <w:t>suq uniku għaċ-ċibersigurtà</w:t>
      </w:r>
      <w:r>
        <w:rPr>
          <w:rFonts w:ascii="Times New Roman" w:hAnsi="Times New Roman"/>
          <w:noProof/>
          <w:sz w:val="24"/>
          <w:szCs w:val="24"/>
        </w:rPr>
        <w:t>.</w:t>
      </w:r>
    </w:p>
    <w:p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 w:hanging="142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- </w:t>
      </w:r>
      <w:r>
        <w:rPr>
          <w:rFonts w:ascii="Times New Roman" w:hAnsi="Times New Roman"/>
          <w:b/>
          <w:noProof/>
          <w:sz w:val="24"/>
          <w:szCs w:val="24"/>
        </w:rPr>
        <w:t>Pjan ta’ Azzjoni għall-Edukazzjoni Diġitali</w:t>
      </w:r>
      <w:r>
        <w:rPr>
          <w:rFonts w:ascii="Times New Roman" w:hAnsi="Times New Roman"/>
          <w:noProof/>
          <w:sz w:val="24"/>
          <w:szCs w:val="24"/>
        </w:rPr>
        <w:t xml:space="preserve"> biex tingħata spinta lill-litteriżmu u lill-kompetenzi diġitali fil-livelli kollha tal-edukazzjoni (Q2 2020). </w:t>
      </w:r>
    </w:p>
    <w:p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 w:hanging="142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- </w:t>
      </w:r>
      <w:r>
        <w:rPr>
          <w:rFonts w:ascii="Times New Roman" w:hAnsi="Times New Roman"/>
          <w:b/>
          <w:noProof/>
          <w:sz w:val="24"/>
          <w:szCs w:val="24"/>
        </w:rPr>
        <w:t>Aġenda għall-Ħiliet</w:t>
      </w:r>
      <w:r>
        <w:rPr>
          <w:rFonts w:ascii="Times New Roman" w:hAnsi="Times New Roman"/>
          <w:noProof/>
          <w:sz w:val="24"/>
          <w:szCs w:val="24"/>
        </w:rPr>
        <w:t xml:space="preserve"> imsaħħa biex jissaħħu l-ħiliet diġitali fis-soċjetà kollha u </w:t>
      </w:r>
      <w:r>
        <w:rPr>
          <w:rFonts w:ascii="Times New Roman" w:hAnsi="Times New Roman"/>
          <w:b/>
          <w:noProof/>
          <w:sz w:val="24"/>
          <w:szCs w:val="24"/>
        </w:rPr>
        <w:t>Garanzija għaż-Żgħażagħ</w:t>
      </w:r>
      <w:r>
        <w:rPr>
          <w:rFonts w:ascii="Times New Roman" w:hAnsi="Times New Roman"/>
          <w:noProof/>
          <w:sz w:val="24"/>
          <w:szCs w:val="24"/>
        </w:rPr>
        <w:t xml:space="preserve"> imsaħħa li tpoġġi enfasi qawwi fuq il-ħiliet diġitali fit-tranżizzjonijiet bikrija tal-karriera (Q2 2020).</w:t>
      </w:r>
    </w:p>
    <w:p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 w:hanging="142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 Inizjattiva biex jittejbu l-kundizzjonijiet tax-xogħol tal-</w:t>
      </w:r>
      <w:r>
        <w:rPr>
          <w:rFonts w:ascii="Times New Roman" w:hAnsi="Times New Roman"/>
          <w:b/>
          <w:noProof/>
          <w:sz w:val="24"/>
          <w:szCs w:val="24"/>
        </w:rPr>
        <w:t>ħaddiema tal-pjattaformi</w:t>
      </w:r>
      <w:r>
        <w:rPr>
          <w:rFonts w:ascii="Times New Roman" w:hAnsi="Times New Roman"/>
          <w:noProof/>
          <w:sz w:val="24"/>
          <w:szCs w:val="24"/>
        </w:rPr>
        <w:t xml:space="preserve"> (2021).</w:t>
      </w:r>
    </w:p>
    <w:p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 w:hanging="142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- </w:t>
      </w:r>
      <w:r>
        <w:rPr>
          <w:rFonts w:ascii="Times New Roman" w:hAnsi="Times New Roman"/>
          <w:b/>
          <w:noProof/>
          <w:sz w:val="24"/>
          <w:szCs w:val="24"/>
        </w:rPr>
        <w:t>Strateġija ta’ interoperabbiltà msaħħa tal-gvernijiet tal-UE</w:t>
      </w:r>
      <w:r>
        <w:rPr>
          <w:rFonts w:ascii="Times New Roman" w:hAnsi="Times New Roman"/>
          <w:noProof/>
          <w:sz w:val="24"/>
          <w:szCs w:val="24"/>
        </w:rPr>
        <w:t xml:space="preserve"> biex jiġu żgurati koordinazzjoni u standards komuni għal flussi u servizzi tad-</w:t>
      </w:r>
      <w:r>
        <w:rPr>
          <w:rFonts w:ascii="Times New Roman" w:hAnsi="Times New Roman"/>
          <w:i/>
          <w:iCs/>
          <w:noProof/>
          <w:sz w:val="24"/>
          <w:szCs w:val="24"/>
        </w:rPr>
        <w:t>data</w:t>
      </w:r>
      <w:r>
        <w:rPr>
          <w:rFonts w:ascii="Times New Roman" w:hAnsi="Times New Roman"/>
          <w:noProof/>
          <w:sz w:val="24"/>
          <w:szCs w:val="24"/>
        </w:rPr>
        <w:t xml:space="preserve"> siguri u mingħajr fruntieri fis-settur pubbliku. (2021)</w:t>
      </w:r>
    </w:p>
    <w:p>
      <w:pPr>
        <w:keepNext/>
        <w:spacing w:after="0"/>
        <w:ind w:left="714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>
      <w:pPr>
        <w:keepNext/>
        <w:numPr>
          <w:ilvl w:val="0"/>
          <w:numId w:val="2"/>
        </w:numPr>
        <w:spacing w:after="0"/>
        <w:ind w:left="714" w:hanging="357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Ekonomija ġusta u kompetittiva</w:t>
      </w:r>
    </w:p>
    <w:p>
      <w:pPr>
        <w:keepNext/>
        <w:spacing w:after="0"/>
        <w:ind w:left="714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>
      <w:pPr>
        <w:keepNext/>
        <w:spacing w:after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F’dinja li kull ma’ jmur qed tiċkien, fejn it-teknoloġija qed tikseb dejjem aktar importanza, jeħtieġ li l-Ewropa tkompli taġixxi u tiddeċiedi b’mod indipendenti u tnaqqas id-dipendenza żejda fuq soluzzjonijiet diġitali maħluqa bnadi oħra. </w:t>
      </w:r>
    </w:p>
    <w:p>
      <w:pPr>
        <w:keepNext/>
        <w:spacing w:after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keepNext/>
        <w:spacing w:after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Għall-iżvilupp ta’ bosta prodotti u servizzi, hemm bżonn li d-</w:t>
      </w:r>
      <w:r>
        <w:rPr>
          <w:rFonts w:ascii="Times New Roman" w:hAnsi="Times New Roman"/>
          <w:i/>
          <w:iCs/>
          <w:noProof/>
          <w:sz w:val="24"/>
          <w:szCs w:val="24"/>
        </w:rPr>
        <w:t>data</w:t>
      </w:r>
      <w:r>
        <w:rPr>
          <w:rFonts w:ascii="Times New Roman" w:hAnsi="Times New Roman"/>
          <w:noProof/>
          <w:sz w:val="24"/>
          <w:szCs w:val="24"/>
        </w:rPr>
        <w:t xml:space="preserve"> tkun disponibbli faċilment u b’mod wiesa’, li tkun faċilment aċċessibbli u sempliċi biex tintuża u tiġi pproċessata. Id-</w:t>
      </w:r>
      <w:r>
        <w:rPr>
          <w:rFonts w:ascii="Times New Roman" w:hAnsi="Times New Roman"/>
          <w:i/>
          <w:iCs/>
          <w:noProof/>
          <w:sz w:val="24"/>
          <w:szCs w:val="24"/>
        </w:rPr>
        <w:t>data</w:t>
      </w:r>
      <w:r>
        <w:rPr>
          <w:rFonts w:ascii="Times New Roman" w:hAnsi="Times New Roman"/>
          <w:noProof/>
          <w:sz w:val="24"/>
          <w:szCs w:val="24"/>
        </w:rPr>
        <w:t xml:space="preserve"> saret fattur ewlieni tal-produzzjoni, u l-valur li toħloq irid jinqasam lura mas-soċjetà kollha li tipparteċipa fil-forniment tad-</w:t>
      </w:r>
      <w:r>
        <w:rPr>
          <w:rFonts w:ascii="Times New Roman" w:hAnsi="Times New Roman"/>
          <w:i/>
          <w:iCs/>
          <w:noProof/>
          <w:sz w:val="24"/>
          <w:szCs w:val="24"/>
        </w:rPr>
        <w:t>data</w:t>
      </w:r>
      <w:r>
        <w:rPr>
          <w:rFonts w:ascii="Times New Roman" w:hAnsi="Times New Roman"/>
          <w:noProof/>
          <w:sz w:val="24"/>
          <w:szCs w:val="24"/>
        </w:rPr>
        <w:t>. Għalhekk, jeħtiġilna nibnu suq uniku Ewropew ġenwin tad-</w:t>
      </w:r>
      <w:r>
        <w:rPr>
          <w:rFonts w:ascii="Times New Roman" w:hAnsi="Times New Roman"/>
          <w:i/>
          <w:iCs/>
          <w:noProof/>
          <w:sz w:val="24"/>
          <w:szCs w:val="24"/>
        </w:rPr>
        <w:t>data</w:t>
      </w:r>
      <w:r>
        <w:rPr>
          <w:rFonts w:ascii="Times New Roman" w:hAnsi="Times New Roman"/>
          <w:noProof/>
          <w:sz w:val="24"/>
          <w:szCs w:val="24"/>
        </w:rPr>
        <w:t xml:space="preserve"> – spazju Ewropew tad-</w:t>
      </w:r>
      <w:r>
        <w:rPr>
          <w:rFonts w:ascii="Times New Roman" w:hAnsi="Times New Roman"/>
          <w:i/>
          <w:iCs/>
          <w:noProof/>
          <w:sz w:val="24"/>
          <w:szCs w:val="24"/>
        </w:rPr>
        <w:t>data</w:t>
      </w:r>
      <w:r>
        <w:rPr>
          <w:rFonts w:ascii="Times New Roman" w:hAnsi="Times New Roman"/>
          <w:noProof/>
          <w:sz w:val="24"/>
          <w:szCs w:val="24"/>
        </w:rPr>
        <w:t xml:space="preserve"> bbażat fuq ir-regoli u l-valuri Ewropej. </w:t>
      </w:r>
    </w:p>
    <w:p>
      <w:pPr>
        <w:keepNext/>
        <w:spacing w:after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keepNext/>
        <w:spacing w:after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Bosta kumpaniji Ewropej – u b’mod partikolari l-SMEs – damu ma adottaw soluzzjonijiet diġitali, u għalhekk għadhom ma bbenefikawx minnhom u tilfu opportunitajiet biex jespandu. Il-Kummissjoni se taħdem biex tindirizza din il-kwistjoni permezz ta’ Strateġija Industrijali ġdida tal-UE li tistabbilixxi azzjonijiet li jiffaċilitaw it-tranżizzjoni lejn industrija tal-UE aktar diġitali, nadifa, ċirkolari u kompetittiva fuq livell globali. Din se tinkludi wkoll strateġija għall-SMEs, parti vitali mill-ekonomija Ewropea, li ta’ spiss tkun imxekkla min-nuqqas ta’ ħiliet disponibbli u minn nuqqas ta’ aċċess għall-finanzi u għas-swieq. </w:t>
      </w:r>
    </w:p>
    <w:p>
      <w:pPr>
        <w:keepNext/>
        <w:spacing w:after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keepNext/>
        <w:spacing w:after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Sabiex jiftħu u jikbru fl-Ewropa, l-SMEs jeħtieġu suq uniku bla intoppi, u mingħajr it-tfixkil ta’ regolamenti lokali jew nazzjonali diverġenti li, b’mod partikolari, iżidu l-piżijiet amministrattivi għal kumpaniji iżgħar. Jeħtieġu regoli ċari u proporzjonati li jiġu infurzati b’mod effettiv u uniformi madwar l-UE, li jipprovdulhom suq domestiku b’saħħtu immens li minnu jvaraw lilhom infushom fix-xena dinjija. </w:t>
      </w:r>
    </w:p>
    <w:p>
      <w:pPr>
        <w:keepNext/>
        <w:spacing w:after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Fl-era diġitali, l-iżgurar ta’ kundizzjonijiet ekwi għan-negozji kbar u żgħar huwa aktar importanti minn qatt qabel. Dan jissuġġerixxi li r-regoli li japplikaw offline – mir-regoli tal-kompetizzjoni u tas-suq uniku, tal-protezzjoni tal-konsumatur, tal-proprjetà intellettwali, tat-tassazzjoni u tad-drittijiet tal-ħaddiema – jenħtieġ japplikaw ukoll online. Il-konsumaturi jeħtieġ ikunu jistgħu jafdaw il-prodotti u s-servizzi diġitali daqs kemm jafdaw kull prodott u servizz ieħor. Jeħtieġ li tingħata attenzjoni lill-aktar konsumaturi vulnerabbli u li jiġi żgurat l-infurzar tal-liġijiet dwar is-sikurezza, anke fir-rigward tal-prodotti li joriġinaw minn pajjiżi terzi. Hemm xi pjattaformi li kisbu skala sinifikanti li effettivament tippermettilhom jaġixxu bħala gwardjani privati tas-swieq, tal-klijenti u tal-informazzjoni. Irridu niżguraw li r-rwol sistemiku ta’ ċerti pjattaformi online u s-saħħa fis-suq li jiksbu ma jpoġġux il-ġustizzja u l-ftuħ tas-swieq tagħna f’periklu. </w:t>
      </w:r>
    </w:p>
    <w:p>
      <w:pPr>
        <w:spacing w:after="1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Fir-rigward tal-liġi tal-kompetizzjoni tal-UE b’mod speċifiku, is-sisien tagħha huma rilevanti għall-industriji diġitali daqs kemm huma rilevanti għall-industriji tradizzjonali. Il-liġi tal-kompetizzjoni tal-UE serviet lill-Ewropa sew billi kkontribwiet għal ambjent ekwu fejn is-swieq iservu lill-konsumaturi. Fl-istess ħin, huwa importanti li r-regoli tal-kompetizzjoni jibqgħu adattati għal dinja li qed tinbidel malajr, li qed issir dejjem aktar diġitali u li trid issir aktar ekoloġika. B’dan il-ħsieb, bħalissa l-Kummissjoni qed tirrifletti dwar l-effettività tal-mod kif jiġu applikati r-regoli attwali, pereżempju fir-rigward tar-rimedji tal-antitrust,</w:t>
      </w:r>
      <w:r>
        <w:rPr>
          <w:rFonts w:ascii="Calibri" w:hAnsi="Calibri"/>
          <w:i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 qed twettaq</w:t>
      </w:r>
      <w:r>
        <w:rPr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ukoll evalwazzjoni u rieżami tar-regoli nfushom sabiex tiżgura li dawn jissodisfaw l-isfidi diġitali u ekoloġiċi tal-lum.</w:t>
      </w:r>
    </w:p>
    <w:p>
      <w:pPr>
        <w:spacing w:after="1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Diġà qed jitwettqu rieżamijiet tar-regoli li jirregolaw il-ftehimiet orizzontali u vertikali u tal-avviż tad-definizzjoni tas-swieq, kif ukoll kontroll tal-“idoneità” ta’ diversi linji gwida dwar l-għajnuna mill-Istat. Fost il-kwistjonijiet ewlenin għall-futur diġitali tal-Ewropa hemm l-aċċess għad-</w:t>
      </w:r>
      <w:r>
        <w:rPr>
          <w:rFonts w:ascii="Times New Roman" w:hAnsi="Times New Roman"/>
          <w:i/>
          <w:iCs/>
          <w:noProof/>
          <w:sz w:val="24"/>
          <w:szCs w:val="24"/>
        </w:rPr>
        <w:t>data</w:t>
      </w:r>
      <w:r>
        <w:rPr>
          <w:rFonts w:ascii="Times New Roman" w:hAnsi="Times New Roman"/>
          <w:noProof/>
          <w:sz w:val="24"/>
          <w:szCs w:val="24"/>
        </w:rPr>
        <w:t>, il-ġbir u l-kondiviżjoni tad-</w:t>
      </w:r>
      <w:r>
        <w:rPr>
          <w:rFonts w:ascii="Times New Roman" w:hAnsi="Times New Roman"/>
          <w:i/>
          <w:iCs/>
          <w:noProof/>
          <w:sz w:val="24"/>
          <w:szCs w:val="24"/>
        </w:rPr>
        <w:t>data</w:t>
      </w:r>
      <w:r>
        <w:rPr>
          <w:rFonts w:ascii="Times New Roman" w:hAnsi="Times New Roman"/>
          <w:noProof/>
          <w:sz w:val="24"/>
          <w:szCs w:val="24"/>
        </w:rPr>
        <w:t>, u l-bilanċ bejn il-kummerċ online u offline. Ir-rieżami tal-avviż tad-definizzjoni tas-swieq se jqis ukoll mudelli ta’ negozju diġitali ġodda – bħas-servizzi “mingħajr ħlas” li l-utenti jaċċessaw meta jipprovdu d-</w:t>
      </w:r>
      <w:r>
        <w:rPr>
          <w:rFonts w:ascii="Times New Roman" w:hAnsi="Times New Roman"/>
          <w:i/>
          <w:iCs/>
          <w:noProof/>
          <w:sz w:val="24"/>
          <w:szCs w:val="24"/>
        </w:rPr>
        <w:t>data</w:t>
      </w:r>
      <w:r>
        <w:rPr>
          <w:rFonts w:ascii="Times New Roman" w:hAnsi="Times New Roman"/>
          <w:noProof/>
          <w:sz w:val="24"/>
          <w:szCs w:val="24"/>
        </w:rPr>
        <w:t xml:space="preserve"> tagħhom – u l-implikazzjonijiet tagħhom għar-restrizzjonijiet kompetittivi. Il-kontroll tal-idoneità li qed isir tal-Komunikazzjoni tal-Kummissjoni tal-2014 dwar il-Proġetti Importanti ta’ Interess Ewropew Komuni (IPCEI) huwa mfassal biex jiġi vvalutat jekk huwiex meħtieġ aġġornament biex jiġu ċċarati aktar il-kundizzjonijiet li skonthom ikunu jistgħu jitkomplew b’mod effettiv il-proġetti ewlenin immexxija mill-Istati Membri f’setturi strateġiċi ewlenin għall-futur diġitali u ekoloġiku tal-Ewropa.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Il-Kummissjoni qed tippjana wkoll li tniedi inkjesta settorjali li jkollha enfasi qawwija fuq dawn is-swieq ġodda u emerġenti li qed isawru l-ekonomija u s-soċjetà tagħna.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Madankollu, il-politika tal-kompetizzjoni waħedha ma tistax tindirizza l-problemi sistemiċi kollha li jistgħu jinqalgħu fl-ekonomija tal-pjattaformi. Abbażi tal-loġika tas-suq uniku, jistgħu jkunu meħtieġa regoli addizzjonali biex jiġu żgurati l-kontestabbiltà, il-ġustizzja u l-innovazzjoni u l-possibbiltà tad-dħul fis-suq, kif ukoll l-eżistenza ta’ interessi pubbliċi li jmorru lil hinn mill-kompetizzjoni jew mill-kunsiderazzjonijiet ekonomiċi.</w:t>
      </w:r>
    </w:p>
    <w:p>
      <w:pPr>
        <w:widowControl w:val="0"/>
        <w:spacing w:after="1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L-iżgurar tal-ġustizzja fl-ekonomija diġitali hija sfida ewlenija. Fid-dinja diġitali mingħajr fruntieri, għadd żgħir ta’ kumpaniji bl-akbar sehem mis-suq jiksbu l-maġġoranza tal-profitti fuq il-valur li jinħoloq f’ekonomija bbażata fuq id-</w:t>
      </w:r>
      <w:r>
        <w:rPr>
          <w:rFonts w:ascii="Times New Roman" w:hAnsi="Times New Roman"/>
          <w:i/>
          <w:iCs/>
          <w:noProof/>
          <w:sz w:val="24"/>
          <w:szCs w:val="24"/>
        </w:rPr>
        <w:t>data</w:t>
      </w:r>
      <w:r>
        <w:rPr>
          <w:rFonts w:ascii="Times New Roman" w:hAnsi="Times New Roman"/>
          <w:noProof/>
          <w:sz w:val="24"/>
          <w:szCs w:val="24"/>
        </w:rPr>
        <w:t>. Dawk il-profitti ta’ spiss ma jiġux intaxxati fil-post fejn jiġu ġġenerati minħabba regoli tat-taxxa korporattiva antikwati, u dan ifixkel il-kompetizzjoni. Huwa għalhekk li l-Kummissjoni se tfittex li tindirizza l-isfidi tat-taxxa li jirriżultaw mid-diġitalizzazzjoni tal-ekonomija.</w:t>
      </w:r>
    </w:p>
    <w:p>
      <w:pPr>
        <w:widowControl w:val="0"/>
        <w:spacing w:after="1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outlineLvl w:val="0"/>
        <w:rPr>
          <w:rFonts w:ascii="Times New Roman" w:hAnsi="Times New Roman" w:cs="Times New Roman"/>
          <w:b/>
          <w:noProof/>
          <w:sz w:val="24"/>
          <w:szCs w:val="24"/>
        </w:rPr>
      </w:pPr>
    </w:p>
    <w:p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outlineLvl w:val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Azzjonijiet ewlenin</w:t>
      </w:r>
    </w:p>
    <w:p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 w:hanging="142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- </w:t>
      </w:r>
      <w:r>
        <w:rPr>
          <w:rFonts w:ascii="Times New Roman" w:hAnsi="Times New Roman"/>
          <w:b/>
          <w:noProof/>
          <w:sz w:val="24"/>
          <w:szCs w:val="24"/>
        </w:rPr>
        <w:t>Strateġija Ewropea għad-</w:t>
      </w:r>
      <w:r>
        <w:rPr>
          <w:rFonts w:ascii="Times New Roman" w:hAnsi="Times New Roman"/>
          <w:b/>
          <w:i/>
          <w:iCs/>
          <w:noProof/>
          <w:sz w:val="24"/>
          <w:szCs w:val="24"/>
        </w:rPr>
        <w:t>Data</w:t>
      </w:r>
      <w:r>
        <w:rPr>
          <w:rFonts w:ascii="Times New Roman" w:hAnsi="Times New Roman"/>
          <w:noProof/>
          <w:sz w:val="24"/>
          <w:szCs w:val="24"/>
        </w:rPr>
        <w:t xml:space="preserve"> biex l-Ewropa ssir mexxejja globali fl-ekonomija aġli mil-lat ta’ </w:t>
      </w:r>
      <w:r>
        <w:rPr>
          <w:rFonts w:ascii="Times New Roman" w:hAnsi="Times New Roman"/>
          <w:i/>
          <w:iCs/>
          <w:noProof/>
          <w:sz w:val="24"/>
          <w:szCs w:val="24"/>
        </w:rPr>
        <w:t>data</w:t>
      </w:r>
      <w:r>
        <w:rPr>
          <w:rFonts w:ascii="Times New Roman" w:hAnsi="Times New Roman"/>
          <w:noProof/>
          <w:sz w:val="24"/>
          <w:szCs w:val="24"/>
        </w:rPr>
        <w:t xml:space="preserve"> (Frar 2020), li tħabbar qafas leġiżlattiv għall-governanza tad-</w:t>
      </w:r>
      <w:r>
        <w:rPr>
          <w:rFonts w:ascii="Times New Roman" w:hAnsi="Times New Roman"/>
          <w:i/>
          <w:iCs/>
          <w:noProof/>
          <w:sz w:val="24"/>
          <w:szCs w:val="24"/>
        </w:rPr>
        <w:t>data</w:t>
      </w:r>
      <w:r>
        <w:rPr>
          <w:rFonts w:ascii="Times New Roman" w:hAnsi="Times New Roman"/>
          <w:noProof/>
          <w:sz w:val="24"/>
          <w:szCs w:val="24"/>
        </w:rPr>
        <w:t xml:space="preserve"> (Q4 2020) u l-possibbiltà ta’ Att dwar id-</w:t>
      </w:r>
      <w:r>
        <w:rPr>
          <w:rFonts w:ascii="Times New Roman" w:hAnsi="Times New Roman"/>
          <w:i/>
          <w:iCs/>
          <w:noProof/>
          <w:sz w:val="24"/>
          <w:szCs w:val="24"/>
        </w:rPr>
        <w:t>Data</w:t>
      </w:r>
      <w:r>
        <w:rPr>
          <w:rFonts w:ascii="Times New Roman" w:hAnsi="Times New Roman"/>
          <w:noProof/>
          <w:sz w:val="24"/>
          <w:szCs w:val="24"/>
        </w:rPr>
        <w:t xml:space="preserve"> (2021). </w:t>
      </w:r>
    </w:p>
    <w:p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 w:hanging="142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 Valutazzjoni u rieżami kontinwu tal-</w:t>
      </w:r>
      <w:r>
        <w:rPr>
          <w:rFonts w:ascii="Times New Roman" w:hAnsi="Times New Roman"/>
          <w:b/>
          <w:noProof/>
          <w:sz w:val="24"/>
          <w:szCs w:val="24"/>
        </w:rPr>
        <w:t>idoneità tar-regoli tal-kompetizzjoni tal-UE</w:t>
      </w:r>
      <w:r>
        <w:rPr>
          <w:rFonts w:ascii="Times New Roman" w:hAnsi="Times New Roman"/>
          <w:noProof/>
          <w:sz w:val="24"/>
          <w:szCs w:val="24"/>
        </w:rPr>
        <w:t xml:space="preserve"> għall-era diġitali (2020-2023), u t-tnedija ta’ inkjesta settorjali (2020). </w:t>
      </w:r>
    </w:p>
    <w:p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 w:hanging="142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 Fil-kuntest tal-pakkett tal-Att dwar is-Servizzi Diġitali, il-Kummissjoni se tesplora aktar ir-</w:t>
      </w:r>
      <w:r>
        <w:rPr>
          <w:rFonts w:ascii="Times New Roman" w:hAnsi="Times New Roman"/>
          <w:b/>
          <w:noProof/>
          <w:sz w:val="24"/>
          <w:szCs w:val="24"/>
        </w:rPr>
        <w:t xml:space="preserve">regoli </w:t>
      </w:r>
      <w:r>
        <w:rPr>
          <w:rFonts w:ascii="Times New Roman" w:hAnsi="Times New Roman"/>
          <w:b/>
          <w:i/>
          <w:iCs/>
          <w:noProof/>
          <w:sz w:val="24"/>
          <w:szCs w:val="24"/>
        </w:rPr>
        <w:t>ex ante</w:t>
      </w:r>
      <w:r>
        <w:rPr>
          <w:rFonts w:ascii="Times New Roman" w:hAnsi="Times New Roman"/>
          <w:noProof/>
          <w:sz w:val="24"/>
          <w:szCs w:val="24"/>
        </w:rPr>
        <w:t xml:space="preserve"> biex tiżgura li s-swieq ikkaratterizzati minn pjattaformi kbar li għandhom effetti sinifikanti tan-netwerk u li jaġixxu bħala gwardjani, jibqgħu ġusti u kontestabbli għall-innovaturi, għan-negozji u għall-parteċipanti ġodda fis-suq. (Q4 2020).</w:t>
      </w:r>
    </w:p>
    <w:p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 w:hanging="142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- </w:t>
      </w:r>
    </w:p>
    <w:p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 w:hanging="142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- Proposta ta’ </w:t>
      </w:r>
      <w:r>
        <w:rPr>
          <w:rFonts w:ascii="Times New Roman" w:hAnsi="Times New Roman"/>
          <w:b/>
          <w:noProof/>
          <w:sz w:val="24"/>
          <w:szCs w:val="24"/>
        </w:rPr>
        <w:t>Pakkett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</w:rPr>
        <w:t>dwar l-Istrateġija Industrijali</w:t>
      </w:r>
      <w:r>
        <w:rPr>
          <w:rFonts w:ascii="Times New Roman" w:hAnsi="Times New Roman"/>
          <w:noProof/>
          <w:sz w:val="24"/>
          <w:szCs w:val="24"/>
        </w:rPr>
        <w:t xml:space="preserve"> li jippreżenta firxa ta’ azzjonijiet li jiffaċilitaw it-trasformazzjoni lejn industriji tal-UE nodfa, ċirkolari, diġitali u kompetittivi globalment, li jinkludu lill-SMEs u t-tisħiħ tar-regoli tas-suq uniku. </w:t>
      </w:r>
    </w:p>
    <w:p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 w:hanging="142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 Il-ħolqien ta’ qafas li jippermetti Finanzi Diġitali konvenjenti, kompetittivi u siguri, li jinkludi proposti leġiżlattivi dwar il-kriptoassi, u dwar ir-reżiljenza diġitali, operazzjonali u ċibernetika fis-settur finanzjarju, u strateġija għal suq integrat tal-pagamenti tal-UE li jappoġġa s-servizzi u s-soluzzjonijiet tal-pagamenti diġitali pan-Ewropej (Q3 2020);</w:t>
      </w:r>
    </w:p>
    <w:p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 w:hanging="142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- </w:t>
      </w:r>
      <w:r>
        <w:rPr>
          <w:rFonts w:ascii="Times New Roman" w:hAnsi="Times New Roman"/>
          <w:b/>
          <w:noProof/>
          <w:sz w:val="24"/>
          <w:szCs w:val="24"/>
        </w:rPr>
        <w:t>Komunikazzjoni dwar it-Tassazzjoni tal-Intrapriżi għas-seklu 21</w:t>
      </w:r>
      <w:r>
        <w:rPr>
          <w:rFonts w:ascii="Times New Roman" w:hAnsi="Times New Roman"/>
          <w:noProof/>
          <w:sz w:val="24"/>
          <w:szCs w:val="24"/>
        </w:rPr>
        <w:t>, li tqis il-progress li sar fil-kuntest tal-Organizzazzjoni għall-Kooperazzjoni u l-Iżvilupp Ekonomiċi (OECD) fl-indirizzar tal-isfidi tat-taxxa li jirriżultaw mid-diġitalizzazzjoni tal-ekonomija.</w:t>
      </w:r>
    </w:p>
    <w:p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 w:hanging="142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- It-twettiq ta’ </w:t>
      </w:r>
      <w:r>
        <w:rPr>
          <w:rFonts w:ascii="Times New Roman" w:hAnsi="Times New Roman"/>
          <w:b/>
          <w:noProof/>
          <w:sz w:val="24"/>
          <w:szCs w:val="24"/>
        </w:rPr>
        <w:t>Aġenda tal-Konsumatur</w:t>
      </w:r>
      <w:r>
        <w:rPr>
          <w:rFonts w:ascii="Times New Roman" w:hAnsi="Times New Roman"/>
          <w:noProof/>
          <w:sz w:val="24"/>
          <w:szCs w:val="24"/>
        </w:rPr>
        <w:t xml:space="preserve"> ġdida, li tagħti s-setgħa lill-konsumaturi biex jagħmlu għażliet infurmati u jkollhom rwol attiv fit-trasformazzjoni diġitali (Q4 2020).</w:t>
      </w:r>
    </w:p>
    <w:p>
      <w:pPr>
        <w:keepNext/>
        <w:spacing w:after="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>
      <w:pPr>
        <w:keepNext/>
        <w:spacing w:after="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>
      <w:pPr>
        <w:keepNext/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Soċjetà miftuħa, demokratika u sostenibbli </w:t>
      </w:r>
    </w:p>
    <w:p>
      <w:pPr>
        <w:keepNext/>
        <w:spacing w:after="0"/>
        <w:ind w:left="785"/>
        <w:contextualSpacing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</w:rPr>
      </w:pPr>
    </w:p>
    <w:p>
      <w:pPr>
        <w:keepNext/>
        <w:spacing w:after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In-nies għandhom dritt għal teknoloġija li jistgħu jafdaw. Dak li huwa illegali offline jrid ukoll ikun illegali online. Filwaqt li ma nistgħux inbassru l-futur tat-teknoloġija diġitali, il-valuri u r-regoli etiċi Ewropej u n-normi soċjali u ambjentali jridu japplikaw ukoll fl-ispazju diġitali. </w:t>
      </w:r>
    </w:p>
    <w:p>
      <w:pPr>
        <w:keepNext/>
        <w:spacing w:after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keepNext/>
        <w:spacing w:after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F’dawn l-aħħar snin, l-Ewropa wittiet it-triq lejn internet miftuħ, ġust, inklużiv u li jiffoka fuq in-nies permezz tar-Regolament Ġenerali dwar il-Protezzjoni tad-</w:t>
      </w:r>
      <w:r>
        <w:rPr>
          <w:rFonts w:ascii="Times New Roman" w:hAnsi="Times New Roman"/>
          <w:i/>
          <w:iCs/>
          <w:noProof/>
          <w:sz w:val="24"/>
          <w:szCs w:val="24"/>
        </w:rPr>
        <w:t>Data</w:t>
      </w:r>
      <w:r>
        <w:rPr>
          <w:rFonts w:ascii="Times New Roman" w:hAnsi="Times New Roman"/>
          <w:noProof/>
          <w:sz w:val="24"/>
          <w:szCs w:val="24"/>
        </w:rPr>
        <w:t xml:space="preserve"> li jistabbilixxi l-istandards u r-regoli tiegħu għall-kooperazzjoni bejn il-pjattaformi u n-negozji. Sabiex tipproteġi lid-demokraziji Ewropej u l-valuri li jirfduhom, il-Kummissjoni se tkompli tiżviluppa u timplimenta regoli innovattivi u proporzjonati għal soċjetà diġitali affidabbli. Soċjetà diġitali bħal din jenħtieġ tkun kompletament inklużiva, ġusta u aċċessibbli għal kulħadd.</w:t>
      </w:r>
    </w:p>
    <w:p>
      <w:pPr>
        <w:keepNext/>
        <w:spacing w:after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keepNext/>
        <w:spacing w:after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F’dan il-kuntest, huwa essenzjali li jissaħħu u jiġu mmodernizzati r-regoli applikabbli għas-servizzi diġitali madwar l-UE, filwaqt li jiġu ċċarati r-rwoli u r-responsabbiltajiet tal-pjattaformi online. Il-bejgħ ta’ oġġetti illeċiti, perikolużi jew foloz, u d-disseminazzjoni tal-kontenut illegali jridu jiġu indirizzati b’mod effettiv online daqs kemm jiġu indirizzati offline. </w:t>
      </w:r>
    </w:p>
    <w:p>
      <w:pPr>
        <w:keepNext/>
        <w:spacing w:after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keepNext/>
        <w:spacing w:after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Li jkun hemm fiduċja fid-dinja online jfisser ukoll li l-konsumaturi jkollhom aktar kontroll u responsabbiltà għad-</w:t>
      </w:r>
      <w:r>
        <w:rPr>
          <w:rFonts w:ascii="Times New Roman" w:hAnsi="Times New Roman"/>
          <w:i/>
          <w:iCs/>
          <w:noProof/>
          <w:sz w:val="24"/>
          <w:szCs w:val="24"/>
        </w:rPr>
        <w:t>data</w:t>
      </w:r>
      <w:r>
        <w:rPr>
          <w:rFonts w:ascii="Times New Roman" w:hAnsi="Times New Roman"/>
          <w:noProof/>
          <w:sz w:val="24"/>
          <w:szCs w:val="24"/>
        </w:rPr>
        <w:t xml:space="preserve"> u l-identità tagħhom. Huma meħtieġa regoli aktar ċari dwar it-trasparenza, l-imġiba u r-responsabbiltà ta’ dawk li jaġixxu bħala l-gwardjani tal-informazzjoni u tal-fluss tad-</w:t>
      </w:r>
      <w:r>
        <w:rPr>
          <w:rFonts w:ascii="Times New Roman" w:hAnsi="Times New Roman"/>
          <w:i/>
          <w:iCs/>
          <w:noProof/>
          <w:sz w:val="24"/>
          <w:szCs w:val="24"/>
        </w:rPr>
        <w:t>data</w:t>
      </w:r>
      <w:r>
        <w:rPr>
          <w:rFonts w:ascii="Times New Roman" w:hAnsi="Times New Roman"/>
          <w:noProof/>
          <w:sz w:val="24"/>
          <w:szCs w:val="24"/>
        </w:rPr>
        <w:t>, kif ukoll infurzar effettiv tar-regoli eżistenti. Jenħtieġ ukoll li n-nies ikunu jistgħu jikkontrollaw l-identità tagħhom online, meta tkun meħtieġa l-awtentikazzjoni biex ikollhom aċċess għas-servizzi online. Hija meħtieġa identità elettronika (eID) pubblika aċċettata universalment sabiex il-konsumaturi jkollhom aċċess għad-</w:t>
      </w:r>
      <w:r>
        <w:rPr>
          <w:rFonts w:ascii="Times New Roman" w:hAnsi="Times New Roman"/>
          <w:i/>
          <w:iCs/>
          <w:noProof/>
          <w:sz w:val="24"/>
          <w:szCs w:val="24"/>
        </w:rPr>
        <w:t>data</w:t>
      </w:r>
      <w:r>
        <w:rPr>
          <w:rFonts w:ascii="Times New Roman" w:hAnsi="Times New Roman"/>
          <w:noProof/>
          <w:sz w:val="24"/>
          <w:szCs w:val="24"/>
        </w:rPr>
        <w:t xml:space="preserve"> tagħhom u jużaw il-prodotti u s-servizzi li jridu b’mod sigur mingħajr ma jkollhom jużaw pjattaformi mhux relatati u jikkondividu d-</w:t>
      </w:r>
      <w:r>
        <w:rPr>
          <w:rFonts w:ascii="Times New Roman" w:hAnsi="Times New Roman"/>
          <w:i/>
          <w:iCs/>
          <w:noProof/>
          <w:sz w:val="24"/>
          <w:szCs w:val="24"/>
        </w:rPr>
        <w:t>data</w:t>
      </w:r>
      <w:r>
        <w:rPr>
          <w:rFonts w:ascii="Times New Roman" w:hAnsi="Times New Roman"/>
          <w:noProof/>
          <w:sz w:val="24"/>
          <w:szCs w:val="24"/>
        </w:rPr>
        <w:t xml:space="preserve"> magħhom bla bżonn. L-Ewropej jistgħu jibbenefikaw ukoll mill-użu tad-</w:t>
      </w:r>
      <w:r>
        <w:rPr>
          <w:rFonts w:ascii="Times New Roman" w:hAnsi="Times New Roman"/>
          <w:i/>
          <w:iCs/>
          <w:noProof/>
          <w:sz w:val="24"/>
          <w:szCs w:val="24"/>
        </w:rPr>
        <w:t>data</w:t>
      </w:r>
      <w:r>
        <w:rPr>
          <w:rFonts w:ascii="Times New Roman" w:hAnsi="Times New Roman"/>
          <w:noProof/>
          <w:sz w:val="24"/>
          <w:szCs w:val="24"/>
        </w:rPr>
        <w:t xml:space="preserve"> biex itejbu t-teħid tad-deċiżjonijiet pubbliċi kif ukoll dawk privati.</w:t>
      </w:r>
    </w:p>
    <w:p>
      <w:pPr>
        <w:keepNext/>
        <w:spacing w:after="0" w:line="256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keepNext/>
        <w:spacing w:after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F’dinja fejn il-biċċa l-kbira tad-dibattiti pubbliċi u tar-reklamar politiku bdew isiru online, irridu wkoll inkunu lesti naġixxu biex niddefendu d-demokraziji tagħna bil-qawwa. Iċ-ċittadini jridu tweġibiet sinifikanti li jindirizzaw it-tentattivi ta’ manipulazzjoni tal-ispazju tal-informazzjoni, ta’ spiss permezz ta’ kampanji ta’ diżinformazzjoni mmirati u kkoordinati. L-Ewropa teħtieġ aktar trasparenza fil-modi ta’ kif l-informazzjoni tiġi kondiviża u ġestita fuq l-internet. Midja ta’ kwalità affidabbli hija essenzjali għad-demokrazija u għad-diversità kulturali. Fid-dawl ta’ dan, il-Kummissjoni se tippreżenta Pjan ta’ Azzjoni Ewropew għad-Demokrazija u pjan ta’ azzjoni speċifiku għas-settur tal-midja u dak awdjoviżiv.</w:t>
      </w:r>
    </w:p>
    <w:p>
      <w:pPr>
        <w:keepNext/>
        <w:spacing w:after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widowControl w:val="0"/>
        <w:spacing w:after="1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Il-komponent diġitali se jkun kruċjali wkoll biex jintlaħqu l-ambizzjonijiet tal-Patt Ekoloġiku Ewropew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footnoteReference w:id="14"/>
      </w:r>
      <w:r>
        <w:rPr>
          <w:rFonts w:ascii="Times New Roman" w:hAnsi="Times New Roman"/>
          <w:noProof/>
          <w:sz w:val="24"/>
          <w:szCs w:val="24"/>
        </w:rPr>
        <w:t xml:space="preserve"> u l-Għanijiet ta’ Żvilupp Sostenibbli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15"/>
      </w:r>
      <w:r>
        <w:rPr>
          <w:rFonts w:ascii="Times New Roman" w:hAnsi="Times New Roman"/>
          <w:noProof/>
          <w:sz w:val="24"/>
          <w:szCs w:val="24"/>
        </w:rPr>
        <w:t xml:space="preserve">. Bħala faċilitaturi b’saħħithom tat-tranżizzjoni lejn is-sostenibbiltà, is-soluzzjonijiet diġitali jistgħu javvanzaw l-ekonomija ċirkolari, jappoġġaw id-dekarbonizzazzjoni tas-setturi kollha u jnaqqsu l-impronta ambjentali u soċjali tal-prodotti li jitqiegħdu fis-suq tal-UE. Pereżempju, is-setturi ewlenin bħall-agrikoltura ta’ preċiżjoni, it-trasport u l-enerġija jistgħu jibbenefikaw immens mis-soluzzjonijiet diġitali biex jilħqu l-objettivi ambizzjużi tas-sostenibbiltà tal-Patt Ekoloġiku Ewropew. </w:t>
      </w:r>
    </w:p>
    <w:p>
      <w:pPr>
        <w:widowControl w:val="0"/>
        <w:spacing w:after="1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widowControl w:val="0"/>
        <w:spacing w:after="1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Is-soluzzjonijiet diġitali, u d-</w:t>
      </w:r>
      <w:r>
        <w:rPr>
          <w:rFonts w:ascii="Times New Roman" w:hAnsi="Times New Roman"/>
          <w:i/>
          <w:iCs/>
          <w:noProof/>
          <w:sz w:val="24"/>
          <w:szCs w:val="24"/>
        </w:rPr>
        <w:t>data</w:t>
      </w:r>
      <w:r>
        <w:rPr>
          <w:rFonts w:ascii="Times New Roman" w:hAnsi="Times New Roman"/>
          <w:noProof/>
          <w:sz w:val="24"/>
          <w:szCs w:val="24"/>
        </w:rPr>
        <w:t xml:space="preserve"> b’mod partikolari, se jippermettu wkoll approċċ ta’ ċiklu tal-ħajja integrat b’mod sħiħ, mit-tfassil permezz tal-għażla tal-provvista tal-enerġija, tal-materja prima u ta’ elementi kontributuri oħra, sal-prodotti finali u mbagħad sal-istadju ta’ tmiem il-ħajja. Pereżempju, jekk insegwu fejn u meta l-elettriku huwa l-aktar meħtieġ nistgħu nżidu l-effiċjenza enerġetika u nużaw inqas fjuwils fossili. </w:t>
      </w:r>
    </w:p>
    <w:p>
      <w:pPr>
        <w:widowControl w:val="0"/>
        <w:spacing w:after="1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widowControl w:val="0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Madankollu, huwa ċar ukoll li s-settur tal-ICT jeħtieġ jgħaddi wkoll mit-trasformazzjoni ekoloġika tiegħu. L-impronta ambjentali ta’ dan is-settur hija sinifikanti, u hija stmata għal bejn il-5 u d-9 % tal-użu tal-elettriku totali tad-dinja u għal aktar minn 2 % tal-emissjonijiet kollha</w:t>
      </w:r>
      <w:r>
        <w:rPr>
          <w:rStyle w:val="FootnoteReference"/>
          <w:rFonts w:ascii="Times New Roman" w:eastAsia="Times New Roman" w:hAnsi="Times New Roman" w:cs="Times New Roman"/>
          <w:noProof/>
          <w:sz w:val="24"/>
          <w:szCs w:val="24"/>
        </w:rPr>
        <w:footnoteReference w:id="16"/>
      </w:r>
      <w:r>
        <w:rPr>
          <w:rFonts w:ascii="Times New Roman" w:hAnsi="Times New Roman"/>
          <w:noProof/>
          <w:sz w:val="24"/>
          <w:szCs w:val="24"/>
        </w:rPr>
        <w:t>. Iċ-ċentri tad-</w:t>
      </w:r>
      <w:r>
        <w:rPr>
          <w:rFonts w:ascii="Times New Roman" w:hAnsi="Times New Roman"/>
          <w:i/>
          <w:iCs/>
          <w:noProof/>
          <w:sz w:val="24"/>
          <w:szCs w:val="24"/>
        </w:rPr>
        <w:t>data</w:t>
      </w:r>
      <w:r>
        <w:rPr>
          <w:rFonts w:ascii="Times New Roman" w:hAnsi="Times New Roman"/>
          <w:noProof/>
          <w:sz w:val="24"/>
          <w:szCs w:val="24"/>
        </w:rPr>
        <w:t xml:space="preserve"> u tat-telekomunikazzjonijiet jeħtieġ isiru aktar effiċjenti fl-enerġija, jużaw mill-ġdid l-enerġija mill-iskart </w:t>
      </w:r>
      <w:r>
        <w:rPr>
          <w:rFonts w:ascii="Times New Roman" w:hAnsi="Times New Roman"/>
          <w:bCs/>
          <w:noProof/>
          <w:sz w:val="24"/>
          <w:szCs w:val="24"/>
        </w:rPr>
        <w:t>u</w:t>
      </w:r>
      <w:r>
        <w:rPr>
          <w:rFonts w:ascii="Times New Roman" w:hAnsi="Times New Roman"/>
          <w:noProof/>
          <w:sz w:val="24"/>
          <w:szCs w:val="24"/>
        </w:rPr>
        <w:t xml:space="preserve"> jużaw aktar sorsi ta’ enerġija rinnovabbli. Dawn jistgħu u jenħtieġ isiru newtrali għall-klima sal-2030. </w:t>
      </w:r>
    </w:p>
    <w:p>
      <w:pPr>
        <w:widowControl w:val="0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>
      <w:pPr>
        <w:widowControl w:val="0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Huwa importanti wkoll il-mod kif it-tagħmir tal-ICT jitfassal, jinxtara, jiġi kkunsmat u riċiklat. Lil hinn mir-rekwiżiti tal-effiċjenza enerġetika tal-Ekodisinn, it-tagħmir tal-ICT irid isir ċirkolari għalkollox – imfassal biex iservi aktar, biex tkun tista’ ssirlu manutenzjoni kif suppost, biex ikun jista’ jinkludi materjal riċiklat u biex ikun jista’ jiġi żarmat u riċiklat faċilment.</w:t>
      </w:r>
    </w:p>
    <w:p>
      <w:pPr>
        <w:widowControl w:val="0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>
      <w:pPr>
        <w:keepNext/>
        <w:spacing w:after="0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Is-setgħa tad-</w:t>
      </w:r>
      <w:r>
        <w:rPr>
          <w:rFonts w:ascii="Times New Roman" w:hAnsi="Times New Roman"/>
          <w:i/>
          <w:iCs/>
          <w:noProof/>
          <w:sz w:val="24"/>
          <w:szCs w:val="24"/>
        </w:rPr>
        <w:t>data</w:t>
      </w:r>
      <w:r>
        <w:rPr>
          <w:rFonts w:ascii="Times New Roman" w:hAnsi="Times New Roman"/>
          <w:noProof/>
          <w:sz w:val="24"/>
          <w:szCs w:val="24"/>
        </w:rPr>
        <w:t xml:space="preserve"> hija essenzjali wkoll fis-settur tas-saħħa. Ir-reġistri tas-saħħa diġitalizzati, li jinġabru fi spazju Ewropew tad-</w:t>
      </w:r>
      <w:r>
        <w:rPr>
          <w:rFonts w:ascii="Times New Roman" w:hAnsi="Times New Roman"/>
          <w:i/>
          <w:iCs/>
          <w:noProof/>
          <w:sz w:val="24"/>
          <w:szCs w:val="24"/>
        </w:rPr>
        <w:t>data</w:t>
      </w:r>
      <w:r>
        <w:rPr>
          <w:rFonts w:ascii="Times New Roman" w:hAnsi="Times New Roman"/>
          <w:noProof/>
          <w:sz w:val="24"/>
          <w:szCs w:val="24"/>
        </w:rPr>
        <w:t xml:space="preserve"> dwar is-saħħa, jistgħu jwasslu għal trattament aħjar ta’ kundizzjonijiet kroniċi maġġuri, inkluż il-kanċer u l-mard rari, iżda wkoll għall-aċċess ugwali għal servizzi tas-saħħa ta’ kwalità għolja għaċ-ċittadini kollha.</w:t>
      </w:r>
    </w:p>
    <w:p>
      <w:pPr>
        <w:keepNext/>
        <w:spacing w:after="0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>
      <w:pPr>
        <w:widowControl w:val="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outlineLvl w:val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Azzjonijiet ewlenin</w:t>
      </w:r>
    </w:p>
    <w:p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outlineLvl w:val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</w:t>
      </w:r>
    </w:p>
    <w:p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 w:hanging="142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- </w:t>
      </w:r>
      <w:r>
        <w:rPr>
          <w:rFonts w:ascii="Times New Roman" w:hAnsi="Times New Roman"/>
          <w:b/>
          <w:noProof/>
          <w:sz w:val="24"/>
          <w:szCs w:val="24"/>
        </w:rPr>
        <w:t>Regoli ġodda u riveduti li japprofondixxu s-Suq Intern għas-Servizzi Diġitali</w:t>
      </w:r>
      <w:r>
        <w:rPr>
          <w:rFonts w:ascii="Times New Roman" w:hAnsi="Times New Roman"/>
          <w:noProof/>
          <w:sz w:val="24"/>
          <w:szCs w:val="24"/>
        </w:rPr>
        <w:t xml:space="preserve">, billi jżidu u jarmonizzaw ir-responsabbiltajiet tal-pjattaformi online u tal-fornituri tas-servizzi tal-informazzjoni u jsaħħu s-sorveljanza fuq il-politiki tal-kontenut tal-pjattaformi fl-UE. (Q4 2020, bħala parti mill-pakkett tal-Att dwar is-Servizzi Diġitali). </w:t>
      </w:r>
    </w:p>
    <w:p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 w:hanging="142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- </w:t>
      </w:r>
      <w:r>
        <w:rPr>
          <w:rFonts w:ascii="Times New Roman" w:hAnsi="Times New Roman"/>
          <w:b/>
          <w:noProof/>
          <w:sz w:val="24"/>
          <w:szCs w:val="24"/>
        </w:rPr>
        <w:t>Reviżjoni tar-Regolament eIDAS</w:t>
      </w:r>
      <w:r>
        <w:rPr>
          <w:rFonts w:ascii="Times New Roman" w:hAnsi="Times New Roman"/>
          <w:noProof/>
          <w:sz w:val="24"/>
          <w:szCs w:val="24"/>
        </w:rPr>
        <w:t xml:space="preserve"> biex tittejjeb l-effettività tiegħu, jiġu estiżi l-benefiċċji tiegħu għas-settur privat u jiġu promossi identitajiet diġitali fdati għall-Ewropej kollha (Q4 2020).</w:t>
      </w:r>
    </w:p>
    <w:p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 w:hanging="142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- </w:t>
      </w:r>
    </w:p>
    <w:p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 w:hanging="142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- </w:t>
      </w:r>
      <w:r>
        <w:rPr>
          <w:rFonts w:ascii="Times New Roman" w:hAnsi="Times New Roman"/>
          <w:b/>
          <w:noProof/>
          <w:sz w:val="24"/>
          <w:szCs w:val="24"/>
        </w:rPr>
        <w:t>Pjan ta’ Azzjoni medjatiku u awdjoviżiv</w:t>
      </w:r>
      <w:r>
        <w:rPr>
          <w:rFonts w:ascii="Times New Roman" w:hAnsi="Times New Roman"/>
          <w:noProof/>
          <w:sz w:val="24"/>
          <w:szCs w:val="24"/>
        </w:rPr>
        <w:t xml:space="preserve"> li jappoġġa t-trasformazzjoni diġitali u l-kompetittività tas-settur awdjoviżiv u tal-midja, biex jiġi stimulat l-aċċess għal kontenut ta’ kwalità u l-pluraliżmu tal-midja (Q4 2020) </w:t>
      </w:r>
    </w:p>
    <w:p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 w:hanging="142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- </w:t>
      </w:r>
      <w:r>
        <w:rPr>
          <w:rFonts w:ascii="Times New Roman" w:hAnsi="Times New Roman"/>
          <w:b/>
          <w:noProof/>
          <w:sz w:val="24"/>
          <w:szCs w:val="24"/>
        </w:rPr>
        <w:t>Pjan ta’ Azzjoni Ewropew għad-Demokrazija</w:t>
      </w:r>
      <w:r>
        <w:rPr>
          <w:rFonts w:ascii="Times New Roman" w:hAnsi="Times New Roman"/>
          <w:noProof/>
          <w:sz w:val="24"/>
          <w:szCs w:val="24"/>
        </w:rPr>
        <w:t xml:space="preserve"> li jtejjeb ir-reżiljenza tas-sistemi demokratiċi tagħna, li jappoġġa l-pluraliżmu tal-midja u jindirizza t-theddid ta’ intervent estern fl-elezzjonijiet Ewropej (Q4 2020).</w:t>
      </w:r>
    </w:p>
    <w:p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 w:hanging="142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</w:t>
      </w:r>
      <w:r>
        <w:rPr>
          <w:rFonts w:ascii="Times New Roman" w:hAnsi="Times New Roman"/>
          <w:noProof/>
          <w:sz w:val="24"/>
          <w:szCs w:val="24"/>
        </w:rPr>
        <w:tab/>
        <w:t xml:space="preserve">L-inizjattiva </w:t>
      </w:r>
      <w:r>
        <w:rPr>
          <w:rFonts w:ascii="Times New Roman" w:hAnsi="Times New Roman"/>
          <w:b/>
          <w:noProof/>
          <w:sz w:val="24"/>
          <w:szCs w:val="24"/>
        </w:rPr>
        <w:t>“Destinazzjoni d-Dinja”</w:t>
      </w:r>
      <w:r>
        <w:rPr>
          <w:rFonts w:ascii="Times New Roman" w:hAnsi="Times New Roman"/>
          <w:noProof/>
          <w:sz w:val="24"/>
          <w:szCs w:val="24"/>
        </w:rPr>
        <w:t>,</w:t>
      </w:r>
      <w:r>
        <w:rPr>
          <w:rFonts w:ascii="Times New Roman" w:hAnsi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għall-iżvilupp ta’ mudell diġitali tad-Dinja (“Tewmi Diġitali tad-Dinja”) li jtejjeb il-kapaċitajiet ta’ tbassir u ta’ ġestjoni tal-kriżijiet ambjentali tal-Ewropa (Żmien: mill-2021).</w:t>
      </w:r>
    </w:p>
    <w:p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 w:hanging="142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</w:t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>Inizjattiva tal-apparat elettroniku ċirkolari</w:t>
      </w:r>
      <w:r>
        <w:rPr>
          <w:rFonts w:ascii="Times New Roman" w:hAnsi="Times New Roman"/>
          <w:noProof/>
          <w:sz w:val="24"/>
          <w:szCs w:val="24"/>
        </w:rPr>
        <w:t>, li timmobilizza l-istrumenti eżistenti u ġodda f’konformità mal-qafas ta’ politika għall-prodotti sostenibbli tal-pjan ta’ azzjoni għall-ekonomija ċirkolari li jmiss, sabiex jiġi żgurat li l-apparati jiġu mfassla bil-ħsieb tad-durabbiltà, il-manutenzjoni, iż-żarmar, l-użu mill-ġdid u r-riċiklaġġ, u inkluż id-dritt għal tiswija jew aġġornament biex jiġi estiż iċ-ċiklu tal-ħajja tal-apparati elettroniċi u jiġi evitat li jsiru obsoleti qabel iż-żmien (2021).</w:t>
      </w:r>
    </w:p>
    <w:p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 w:hanging="142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 Inizjattivi biex jinkisbu ċentri tad-</w:t>
      </w:r>
      <w:r>
        <w:rPr>
          <w:rFonts w:ascii="Times New Roman" w:hAnsi="Times New Roman"/>
          <w:i/>
          <w:iCs/>
          <w:noProof/>
          <w:sz w:val="24"/>
          <w:szCs w:val="24"/>
        </w:rPr>
        <w:t>data</w:t>
      </w:r>
      <w:r>
        <w:rPr>
          <w:rFonts w:ascii="Times New Roman" w:hAnsi="Times New Roman"/>
          <w:noProof/>
          <w:sz w:val="24"/>
          <w:szCs w:val="24"/>
        </w:rPr>
        <w:t xml:space="preserve"> newtrali għall-klima, li jkunu effiċjenti ħafna fl-użu tal-enerġija u sostenibbli sa mhux aktar tard mill-2030 u miżuri ta’ trasparenza għall-operaturi tat-telekomunikazzjoni dwar l-impronta ambjentali tagħhom.</w:t>
      </w:r>
    </w:p>
    <w:p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 w:hanging="142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- Il-promozzjoni ta’ </w:t>
      </w:r>
      <w:r>
        <w:rPr>
          <w:rFonts w:ascii="Times New Roman" w:hAnsi="Times New Roman"/>
          <w:b/>
          <w:noProof/>
          <w:sz w:val="24"/>
          <w:szCs w:val="24"/>
        </w:rPr>
        <w:t>reġistri</w:t>
      </w:r>
      <w:r>
        <w:rPr>
          <w:rFonts w:ascii="Times New Roman" w:hAnsi="Times New Roman"/>
          <w:b/>
          <w:bCs/>
          <w:noProof/>
          <w:sz w:val="24"/>
          <w:szCs w:val="24"/>
        </w:rPr>
        <w:t xml:space="preserve"> elettroniċi tas-saħħa bbażati fuq format ta’ skambju Ewropew komuni</w:t>
      </w:r>
      <w:r>
        <w:rPr>
          <w:rFonts w:ascii="Times New Roman" w:hAnsi="Times New Roman"/>
          <w:noProof/>
          <w:sz w:val="24"/>
          <w:szCs w:val="24"/>
        </w:rPr>
        <w:t xml:space="preserve"> biex iċ-ċittadini Ewropej jingħataw aċċess sigur għad-</w:t>
      </w:r>
      <w:r>
        <w:rPr>
          <w:rFonts w:ascii="Times New Roman" w:hAnsi="Times New Roman"/>
          <w:i/>
          <w:iCs/>
          <w:noProof/>
          <w:sz w:val="24"/>
          <w:szCs w:val="24"/>
        </w:rPr>
        <w:t>data</w:t>
      </w:r>
      <w:r>
        <w:rPr>
          <w:rFonts w:ascii="Times New Roman" w:hAnsi="Times New Roman"/>
          <w:noProof/>
          <w:sz w:val="24"/>
          <w:szCs w:val="24"/>
        </w:rPr>
        <w:t xml:space="preserve"> dwar is-saħħa madwar l-UE u għall-iskambju tagħha. Spazju Ewropew tad-</w:t>
      </w:r>
      <w:r>
        <w:rPr>
          <w:rFonts w:ascii="Times New Roman" w:hAnsi="Times New Roman"/>
          <w:i/>
          <w:iCs/>
          <w:noProof/>
          <w:sz w:val="24"/>
          <w:szCs w:val="24"/>
        </w:rPr>
        <w:t>data</w:t>
      </w:r>
      <w:r>
        <w:rPr>
          <w:rFonts w:ascii="Times New Roman" w:hAnsi="Times New Roman"/>
          <w:noProof/>
          <w:sz w:val="24"/>
          <w:szCs w:val="24"/>
        </w:rPr>
        <w:t xml:space="preserve"> dwar is-saħħa li jtejjeb l-aċċessibbiltà għad-</w:t>
      </w:r>
      <w:r>
        <w:rPr>
          <w:rFonts w:ascii="Times New Roman" w:hAnsi="Times New Roman"/>
          <w:i/>
          <w:iCs/>
          <w:noProof/>
          <w:sz w:val="24"/>
          <w:szCs w:val="24"/>
        </w:rPr>
        <w:t>data</w:t>
      </w:r>
      <w:r>
        <w:rPr>
          <w:rFonts w:ascii="Times New Roman" w:hAnsi="Times New Roman"/>
          <w:noProof/>
          <w:sz w:val="24"/>
          <w:szCs w:val="24"/>
        </w:rPr>
        <w:t xml:space="preserve"> dwar is-saħħa f’termini ta’ sikurezza u sigurtà u jippermetti riċerka, dijanjożi u trattamenti mmirati u aktar malajr (mill-2022).</w:t>
      </w:r>
    </w:p>
    <w:p>
      <w:pPr>
        <w:pStyle w:val="ListParagraph"/>
        <w:keepNext/>
        <w:spacing w:line="256" w:lineRule="auto"/>
        <w:ind w:left="142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pStyle w:val="ListParagraph"/>
        <w:keepNext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>Id-dimensjoni internazzjonali – l-Ewropa bħala attur globali</w:t>
      </w:r>
    </w:p>
    <w:p>
      <w:pPr>
        <w:pStyle w:val="ListParagraph"/>
        <w:keepNext/>
        <w:spacing w:after="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>
      <w:pPr>
        <w:keepNext/>
        <w:spacing w:after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Il-mudell Ewropew kien ta’ ispirazzjoni għal diversi sħab oħra madwar id-dinja huma u jfittxu jindirizzaw l-isfidi ta’ politika, u dan jenħtieġ ma jkunx differenti f’dak li għandu x’jaqsam mal-aspett diġitali. </w:t>
      </w:r>
    </w:p>
    <w:p>
      <w:pPr>
        <w:keepNext/>
        <w:spacing w:after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F’termini ġeopolitiċi, jenħtieġ li l-UE tisfrutta s-setgħa regolatorja, il-kapaċitajiet industrijali u teknoloġiċi msaħħa, il-qawwiet diplomatiċi u l-istrumenti finanzjarji esterni tagħha biex timbotta l-approċċ Ewropew u ssawwar l-interazzjonijiet globali. Dan jinkludi l-ħidma li saret skont il-ftehimiet ta’ assoċjazzjoni u tal-kummerċ,</w:t>
      </w:r>
      <w:r>
        <w:rPr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kif ukoll il-ftehimiet milħuqa f’korpi internazzjonali bħan-Nazzjonijiet Uniti, l-OECD, l-ISO u l-G20 bl-appoġġ tal-Istati Membri tal-UE. </w:t>
      </w:r>
    </w:p>
    <w:p>
      <w:pPr>
        <w:keepNext/>
        <w:spacing w:after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Preżenza diġitali b’saħħitha fil-politika tat-tkabbir, tal-viċinat u tal-iżvilupp tal-UE se tippermetti t-tkabbir u tixpruna l-iżvilupp sostenibbli, inkluż l-użu ta’ ICT ekoloġika fil-pajjiżi u fir-reġjuni sħab, bi qbil mal-impenn tal-Ewropa għall-Aġenda 2030 għall-Iżvilupp Sostenibbli. Il-konklużjonijiet tat-Task Force dwar l-Ekonomija Diġitali tal-Unjoni Afrikana u tal-UE se jirfdu l-appoġġ għat-trasformazzjoni diġitali fl-Afrika, inkluż il-ħolqien ta’ Suq Diġitali Uniku Afrikan hekk kif isir disponibbli l-finanzjament permezz tal-Qafas Finanzjarju Pluriennali l-ġdid tal-UE. </w:t>
      </w:r>
    </w:p>
    <w:p>
      <w:pPr>
        <w:spacing w:after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Bosta pajjiżi madwar id-dinja allinjaw il-leġiżlazzjoni tagħhom mas-sistema b’saħħitha tal-protezzjoni tad-</w:t>
      </w:r>
      <w:r>
        <w:rPr>
          <w:rFonts w:ascii="Times New Roman" w:hAnsi="Times New Roman"/>
          <w:i/>
          <w:iCs/>
          <w:noProof/>
          <w:sz w:val="24"/>
          <w:szCs w:val="24"/>
        </w:rPr>
        <w:t>data</w:t>
      </w:r>
      <w:r>
        <w:rPr>
          <w:rFonts w:ascii="Times New Roman" w:hAnsi="Times New Roman"/>
          <w:noProof/>
          <w:sz w:val="24"/>
          <w:szCs w:val="24"/>
        </w:rPr>
        <w:t xml:space="preserve"> tal-UE. Biex jerġa’ jkollha dan is-suċċess, l-UE jenħtieġ tippromwovi b’mod attiv il-mudell tagħha ta’ internet globali sikur u miftuħ. </w:t>
      </w:r>
    </w:p>
    <w:p>
      <w:pPr>
        <w:spacing w:after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spacing w:after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F’termini ta’ standards, is-sħab kummerċjali tagħna ngħaqdu mal-proċess immexxi mill-UE li stabbilixxa b’suċċess l-istandards globali għall-5G u għall-Internet tal-Oġġetti. L-Ewropa issa trid tkun mexxejja fil-proċess tal-adozzjoni u tal-istandardizzazzjoni tal-ġenerazzjoni teknoloġika l-ġdida: il-blockchain, is-supercomputing, it-teknoloġiji kwantistiċi, l-algoritmi u l-għodod li jippermettu l-kondiviżjoni tad-</w:t>
      </w:r>
      <w:r>
        <w:rPr>
          <w:rFonts w:ascii="Times New Roman" w:hAnsi="Times New Roman"/>
          <w:i/>
          <w:iCs/>
          <w:noProof/>
          <w:sz w:val="24"/>
          <w:szCs w:val="24"/>
        </w:rPr>
        <w:t>data</w:t>
      </w:r>
      <w:r>
        <w:rPr>
          <w:rFonts w:ascii="Times New Roman" w:hAnsi="Times New Roman"/>
          <w:noProof/>
          <w:sz w:val="24"/>
          <w:szCs w:val="24"/>
        </w:rPr>
        <w:t xml:space="preserve"> u l-użu tad-</w:t>
      </w:r>
      <w:r>
        <w:rPr>
          <w:rFonts w:ascii="Times New Roman" w:hAnsi="Times New Roman"/>
          <w:i/>
          <w:iCs/>
          <w:noProof/>
          <w:sz w:val="24"/>
          <w:szCs w:val="24"/>
        </w:rPr>
        <w:t>data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17"/>
      </w:r>
      <w:r>
        <w:rPr>
          <w:noProof/>
          <w:sz w:val="24"/>
          <w:szCs w:val="24"/>
        </w:rPr>
        <w:t>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</w:p>
    <w:p>
      <w:pPr>
        <w:spacing w:after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spacing w:after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Fir-rigward tal-kummerċ u tal-investiment, il-Kummissjoni se tkompli tindirizza r-restrizzjonijiet mhux ġustifikati għall-kumpaniji Ewropej f’pajjiżi terzi, bħar-rekwiżiti ta’ lokalizzazzjoni tad-</w:t>
      </w:r>
      <w:r>
        <w:rPr>
          <w:rFonts w:ascii="Times New Roman" w:hAnsi="Times New Roman"/>
          <w:i/>
          <w:iCs/>
          <w:noProof/>
          <w:sz w:val="24"/>
          <w:szCs w:val="24"/>
        </w:rPr>
        <w:t>data</w:t>
      </w:r>
      <w:r>
        <w:rPr>
          <w:rFonts w:ascii="Times New Roman" w:hAnsi="Times New Roman"/>
          <w:noProof/>
          <w:sz w:val="24"/>
          <w:szCs w:val="24"/>
        </w:rPr>
        <w:t>, u se tħabrek biex tilħaq għanijiet ambizzjużi f’termini ta’ aċċess għas-suq, ir-rispett tal-proprjetà intellettwali, ir-riċerka u l-iżvilupp, u l-programmi tal-istandardizzazzjoni. Id-diskussjonijiet li għaddejjin dwar il-bini ta’ alleanza tad-</w:t>
      </w:r>
      <w:r>
        <w:rPr>
          <w:rFonts w:ascii="Times New Roman" w:hAnsi="Times New Roman"/>
          <w:i/>
          <w:iCs/>
          <w:noProof/>
          <w:sz w:val="24"/>
          <w:szCs w:val="24"/>
        </w:rPr>
        <w:t>data</w:t>
      </w:r>
      <w:r>
        <w:rPr>
          <w:rFonts w:ascii="Times New Roman" w:hAnsi="Times New Roman"/>
          <w:noProof/>
          <w:sz w:val="24"/>
          <w:szCs w:val="24"/>
        </w:rPr>
        <w:t xml:space="preserve"> affidabbli ma’ sħab tal-istess fehma tagħna, li jaqsmu l-valuri u l-istandards għoljin tagħna, jistgħu jtejbu l-flussi tad-</w:t>
      </w:r>
      <w:r>
        <w:rPr>
          <w:rFonts w:ascii="Times New Roman" w:hAnsi="Times New Roman"/>
          <w:i/>
          <w:iCs/>
          <w:noProof/>
          <w:sz w:val="24"/>
          <w:szCs w:val="24"/>
        </w:rPr>
        <w:t>data</w:t>
      </w:r>
      <w:r>
        <w:rPr>
          <w:rFonts w:ascii="Times New Roman" w:hAnsi="Times New Roman"/>
          <w:noProof/>
          <w:sz w:val="24"/>
          <w:szCs w:val="24"/>
        </w:rPr>
        <w:t xml:space="preserve"> u l-ġabra tad-</w:t>
      </w:r>
      <w:r>
        <w:rPr>
          <w:rFonts w:ascii="Times New Roman" w:hAnsi="Times New Roman"/>
          <w:i/>
          <w:iCs/>
          <w:noProof/>
          <w:sz w:val="24"/>
          <w:szCs w:val="24"/>
        </w:rPr>
        <w:t>data</w:t>
      </w:r>
      <w:r>
        <w:rPr>
          <w:rFonts w:ascii="Times New Roman" w:hAnsi="Times New Roman"/>
          <w:noProof/>
          <w:sz w:val="24"/>
          <w:szCs w:val="24"/>
        </w:rPr>
        <w:t xml:space="preserve"> ta’ kwalità għolja disponibbli.</w:t>
      </w:r>
    </w:p>
    <w:p>
      <w:pPr>
        <w:pStyle w:val="s28"/>
        <w:spacing w:before="0" w:beforeAutospacing="0" w:after="0" w:afterAutospacing="0" w:line="276" w:lineRule="auto"/>
        <w:contextualSpacing/>
        <w:jc w:val="both"/>
        <w:rPr>
          <w:rStyle w:val="bumpedfont15"/>
          <w:noProof/>
        </w:rPr>
      </w:pPr>
    </w:p>
    <w:p>
      <w:pPr>
        <w:pStyle w:val="s28"/>
        <w:spacing w:before="0" w:beforeAutospacing="0" w:after="0" w:afterAutospacing="0" w:line="276" w:lineRule="auto"/>
        <w:contextualSpacing/>
        <w:jc w:val="both"/>
        <w:rPr>
          <w:rStyle w:val="bumpedfont15"/>
          <w:noProof/>
        </w:rPr>
      </w:pPr>
      <w:r>
        <w:rPr>
          <w:noProof/>
        </w:rPr>
        <w:t xml:space="preserve">L-UE hija l-aktar reġjun miftuħ għall-kummerċ u għall-investiment fid-dinja u se tibqa’ dan, dment li kull min jiġi hawnhekk għan-negozju jaċċetta u jirrispetta r-regoli tagħna. </w:t>
      </w:r>
      <w:r>
        <w:rPr>
          <w:rStyle w:val="bumpedfont15"/>
          <w:noProof/>
        </w:rPr>
        <w:t>Il-Kummissjoni se tuża l-istrumenti kollha għad-dispożizzjoni tagħha biex tiżgura li kulħadd jirrispetta l-leġiżlazzjoni tal-UE u r-regoli internazzjonali biex jinżamm ambjent ekwu fis-settur diġitali. Se tipproponi wkoll regoli ġodda fejn meħtieġ, bħax-xogħol li għaddej bħalissa biex jiġi żviluppat strument legali li jindirizza l-effetti distorsivi tas-sussidji barrani fis-suq intern.</w:t>
      </w:r>
    </w:p>
    <w:p>
      <w:pPr>
        <w:spacing w:after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spacing w:after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L-</w:t>
      </w:r>
      <w:r>
        <w:rPr>
          <w:rFonts w:ascii="Times New Roman" w:hAnsi="Times New Roman"/>
          <w:b/>
          <w:noProof/>
          <w:sz w:val="24"/>
          <w:szCs w:val="24"/>
        </w:rPr>
        <w:t>Istrateġija Globali għall-Kooperazzjoni Diġitali</w:t>
      </w:r>
      <w:r>
        <w:rPr>
          <w:rFonts w:ascii="Times New Roman" w:hAnsi="Times New Roman"/>
          <w:noProof/>
          <w:sz w:val="24"/>
          <w:szCs w:val="24"/>
        </w:rPr>
        <w:t xml:space="preserve"> se tippreżenta approċċ Ewropew għat-trasformazzjoni diġitali li jibni fuq l-istorja twila u ta’ suċċess tagħna fl-oqsma tat-teknoloġija, tal-innovazzjoni u tal-inġenwità, li jkun ibbażat fuq il-valuri Ewropej, inkluż dak tal-ftuħ, u se twassalhom fuq ix-xena internazzjonali u tinvolvi lis-sħab tagħna. Din se tirrifletti wkoll fuq l-ħidma tal-UE fl-Afrika u fi bnadi oħra fir-rigward tal-Għanijiet ta’ Żvilupp Sostenibbli, “Digital4Development” u t-tisħiħ tal-kapaċitajiet.</w:t>
      </w:r>
    </w:p>
    <w:p>
      <w:pPr>
        <w:pStyle w:val="s28"/>
        <w:spacing w:before="0" w:beforeAutospacing="0" w:after="0" w:afterAutospacing="0" w:line="276" w:lineRule="auto"/>
        <w:contextualSpacing/>
        <w:jc w:val="both"/>
        <w:rPr>
          <w:rStyle w:val="bumpedfont15"/>
          <w:noProof/>
        </w:rPr>
      </w:pPr>
    </w:p>
    <w:p>
      <w:pPr>
        <w:pStyle w:val="s28"/>
        <w:keepNext/>
        <w:spacing w:before="0" w:beforeAutospacing="0" w:after="0" w:afterAutospacing="0" w:line="276" w:lineRule="auto"/>
        <w:contextualSpacing/>
        <w:jc w:val="both"/>
        <w:rPr>
          <w:rStyle w:val="bumpedfont15"/>
          <w:rFonts w:asciiTheme="minorHAnsi" w:hAnsiTheme="minorHAnsi" w:cstheme="minorBidi"/>
          <w:noProof/>
        </w:rPr>
      </w:pPr>
      <w:r>
        <w:rPr>
          <w:rStyle w:val="bumpedfont15"/>
          <w:noProof/>
        </w:rPr>
        <w:t>L-Ewropa tinsab fuq quddiem nett fl-indirizzar tal-interferenzi manipulattivi fl-ispazju tal-informazzjoni tagħha u żviluppat approċċi u strumenti importanti. Se tkompli taħdem mill-qrib mas-sħab internazzjonali tagħha, bħall-G7, biex jinstabu approċċi komuni bil-ħsieb li jiġu żviluppati normi u standards internazzjonali.</w:t>
      </w:r>
    </w:p>
    <w:p>
      <w:pPr>
        <w:pStyle w:val="s28"/>
        <w:spacing w:before="0" w:beforeAutospacing="0" w:after="0" w:afterAutospacing="0"/>
        <w:contextualSpacing/>
        <w:jc w:val="both"/>
        <w:rPr>
          <w:rStyle w:val="bumpedfont15"/>
          <w:noProof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outlineLvl w:val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Azzjonijiet ewlenin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 w:hanging="142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- </w:t>
      </w:r>
      <w:r>
        <w:rPr>
          <w:rFonts w:ascii="Times New Roman" w:hAnsi="Times New Roman"/>
          <w:b/>
          <w:noProof/>
          <w:sz w:val="24"/>
          <w:szCs w:val="24"/>
        </w:rPr>
        <w:t>Strateġija Globali għall-Kooperazzjoni Diġitali</w:t>
      </w:r>
      <w:r>
        <w:rPr>
          <w:rFonts w:ascii="Times New Roman" w:hAnsi="Times New Roman"/>
          <w:noProof/>
          <w:sz w:val="24"/>
          <w:szCs w:val="24"/>
        </w:rPr>
        <w:t xml:space="preserve"> (2021).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 w:hanging="142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- </w:t>
      </w:r>
      <w:r>
        <w:rPr>
          <w:rFonts w:ascii="Times New Roman" w:hAnsi="Times New Roman"/>
          <w:b/>
          <w:noProof/>
          <w:sz w:val="24"/>
          <w:szCs w:val="24"/>
        </w:rPr>
        <w:t>White Paper dwar strument għas-sussidji barranin</w:t>
      </w:r>
      <w:r>
        <w:rPr>
          <w:rFonts w:ascii="Times New Roman" w:hAnsi="Times New Roman"/>
          <w:noProof/>
          <w:sz w:val="24"/>
          <w:szCs w:val="24"/>
        </w:rPr>
        <w:t xml:space="preserve"> (Q2 2020).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 w:hanging="142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- </w:t>
      </w:r>
      <w:r>
        <w:rPr>
          <w:rFonts w:ascii="Times New Roman" w:hAnsi="Times New Roman"/>
          <w:b/>
          <w:noProof/>
          <w:sz w:val="24"/>
          <w:szCs w:val="24"/>
        </w:rPr>
        <w:t>Ċentru Diġitali għall-Iżvilupp</w:t>
      </w:r>
      <w:r>
        <w:rPr>
          <w:rFonts w:ascii="Times New Roman" w:hAnsi="Times New Roman"/>
          <w:noProof/>
          <w:sz w:val="24"/>
          <w:szCs w:val="24"/>
        </w:rPr>
        <w:t xml:space="preserve"> li se jibni u jikkonsolida approċċ għall-UE kollha kemm hi li jippromwovi l-valuri tal-UE u jimmobilizza l-Istati Membri tal-UE u l-industrija tal-UE, l-Organizzazzjonijiet tas-Soċjetà Ċivili (CSOs), l-istituzzjonijiet finanzjarji, l-għarfien espert u t-teknoloġiji fid-diġitalizzazzjoni.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 w:hanging="142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 Strateġija għall-</w:t>
      </w:r>
      <w:r>
        <w:rPr>
          <w:rFonts w:ascii="Times New Roman" w:hAnsi="Times New Roman"/>
          <w:b/>
          <w:noProof/>
          <w:sz w:val="24"/>
          <w:szCs w:val="24"/>
        </w:rPr>
        <w:t>istandardizzazzjoni</w:t>
      </w:r>
      <w:r>
        <w:rPr>
          <w:rFonts w:ascii="Times New Roman" w:hAnsi="Times New Roman"/>
          <w:noProof/>
          <w:sz w:val="24"/>
          <w:szCs w:val="24"/>
        </w:rPr>
        <w:t>, li tippermetti l-varar ta’ teknoloġiji interoperabbli li jirrispettaw ir-regoli tal-Ewropa, u li tippromwovi l-approċċ u l-interessi tal-Ewropa fix-xena globali (Q3 2020).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 w:hanging="142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- </w:t>
      </w:r>
      <w:r>
        <w:rPr>
          <w:rFonts w:ascii="Times New Roman" w:hAnsi="Times New Roman"/>
          <w:b/>
          <w:noProof/>
          <w:sz w:val="24"/>
          <w:szCs w:val="24"/>
        </w:rPr>
        <w:t>Immappjar tal-opportunitajiet u pjan ta’ azzjoni</w:t>
      </w:r>
      <w:r>
        <w:rPr>
          <w:rFonts w:ascii="Times New Roman" w:hAnsi="Times New Roman"/>
          <w:noProof/>
          <w:sz w:val="24"/>
          <w:szCs w:val="24"/>
        </w:rPr>
        <w:t xml:space="preserve"> għall-promozzjoni tal-approċċ Ewropew fir-relazzjonijiet bilaterali u fil-fora multilaterali (Q2 2020).</w:t>
      </w:r>
    </w:p>
    <w:p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Konklużjoni</w:t>
      </w:r>
    </w:p>
    <w:p>
      <w:pPr>
        <w:pStyle w:val="ListParagraph"/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>
      <w:pPr>
        <w:spacing w:after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It-teknoloġiji diġitali, avvanzati kemm huma avvanzati, jibqgħu biss għodod. Ma jistgħux isolvu l-problemi kollha tagħna. Minkejja dan, qed jagħmlu possibbli affarijiet li sa ġenerazzjoni ilu lanqas biss konna nimmaġinawhom. Is-suċċess tal-Istrateġija Diġitali tal-Ewropa se jitkejjel f’kemm inkunu kapaċi nħaddmu dawn l-għodod biex inwettqu beni pubbliċi għaċ-ċittadini Ewropej.</w:t>
      </w:r>
    </w:p>
    <w:p>
      <w:pPr>
        <w:spacing w:after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spacing w:after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L-ekonomija aġli mil-lat ta’ </w:t>
      </w:r>
      <w:r>
        <w:rPr>
          <w:rFonts w:ascii="Times New Roman" w:hAnsi="Times New Roman"/>
          <w:i/>
          <w:iCs/>
          <w:noProof/>
          <w:sz w:val="24"/>
          <w:szCs w:val="24"/>
        </w:rPr>
        <w:t>data</w:t>
      </w:r>
      <w:r>
        <w:rPr>
          <w:rFonts w:ascii="Times New Roman" w:hAnsi="Times New Roman"/>
          <w:noProof/>
          <w:sz w:val="24"/>
          <w:szCs w:val="24"/>
        </w:rPr>
        <w:t xml:space="preserve"> u l-potenzjal trasformattiv enormi tagħha se jaffettwawna lkoll u l-Ewropa tinsab lesta biex taħtaf bis-sħiħ il-vantaġġi li se ġġib magħha. Madankollu, sabiex din it-trasformazzjoni diġitali tirnexxi bis-sħiħ, jeħtieġ noħolqu l-oqfsa t-tajba biex niżguraw teknoloġija affidabbli u biex nagħtu lin-negozji l-fiduċja, il-kompetenzi u l-mezzi biex jiddiġitalizzaw. Il-koordinazzjoni tal-isforzi bejn l-UE, l-Istati Membri, ir-reġjuni, is-soċjetà ċivili u s-settur privat hija essenzjali biex niksbu dan u nsaħħu t-tmexxija diġitali tal-Ewropa. </w:t>
      </w:r>
    </w:p>
    <w:p>
      <w:pPr>
        <w:spacing w:after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spacing w:after="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L-Ewropa tista’ tkun il-mexxejja ta’ din it-trasformazzjoni diġitali u tistabbilixxi l-istandards globali fir-rigward tal-iżvilupp teknoloġiku. Aktar importanti minn hekk, tista’ tagħmel dan filwaqt li tiżgura l-inklużjoni u r-rispett ta’ kull bniedem. It-trasformazzjoni diġitali tista’ taħdem biss jekk taħdem għal kulħadd u mhux biss għal ftit. Dan se jkun tassew proġett Ewropew – soċjetà diġitali bbażata fuq il-valuri Ewropej u r-regoli Ewropej – li jista’ tassew jispira lill-bqija tad-dinja.</w:t>
      </w:r>
    </w:p>
    <w:p>
      <w:pPr>
        <w:rPr>
          <w:noProof/>
          <w:sz w:val="24"/>
          <w:szCs w:val="24"/>
        </w:rPr>
      </w:pPr>
    </w:p>
    <w:sectPr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920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 Square Sans Cond Pro">
    <w:altName w:val="Segoe UI"/>
    <w:panose1 w:val="020B0506040000020004"/>
    <w:charset w:val="00"/>
    <w:family w:val="swiss"/>
    <w:pitch w:val="variable"/>
    <w:sig w:usb0="A00002BF" w:usb1="500000D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MT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MT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3004807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Is-supercomputing, it-teknoloġiji kwantistiċi, il-blockchain u l-kapaċitajiet tal-cloud siguri u pan-Ewropej</w:t>
      </w:r>
    </w:p>
  </w:footnote>
  <w:footnote w:id="2">
    <w:p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Il-Komunikazzjoni tal-Kummissjoni “Konnettività għal Suq Uniku Diġitali Kompetittiv – Lejn Soċjetà Ewropea tal-Gigabits”, COM/2016/0587 final.</w:t>
      </w:r>
    </w:p>
  </w:footnote>
  <w:footnote w:id="3">
    <w:p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>Dawn l-objettivi jeħtieġu li l-familji Ewropej kollha, rurali jew urbani, ikollhom konnettività tal-internet ta’ mill-inqas “100 Mbps, li tista’ tiġi aġġornata għal veloċità bil-Gigabits”. Dan jirrifletti l-aspettattiva tal-Kummissjoni li, kulma jmur f’dan id-deċennju, l-unitajiet domestiċi se jkunu jeħtieġu dejjem aktar il-veloċitajiet ta’ 1 Gbps. Dan jaqbel mal-osservazzjoni tal-Kummissjoni li t-talbiet tal-kapaċità tan-netwerk qed jikbru b’mod esponenzjali u li hemm bżonn jiġu żgurati investimenti sostenibbli f’netwerks li kapaċi joffru veloċitajiet tal-Gigabits simetriċi (jiġifieri għall-upload u għad-download) biex ikunu adegwati għall-ekonomija Ewropea tad-</w:t>
      </w:r>
      <w:r>
        <w:rPr>
          <w:rFonts w:ascii="Times New Roman" w:hAnsi="Times New Roman"/>
          <w:i/>
          <w:iCs/>
        </w:rPr>
        <w:t>data</w:t>
      </w:r>
      <w:r>
        <w:rPr>
          <w:rFonts w:ascii="Times New Roman" w:hAnsi="Times New Roman"/>
        </w:rPr>
        <w:t xml:space="preserve"> wara l-2025. Il-muturi soċjoekonomiċi ewlenin kollha, bħall-iskejjel, l-isptarijiet u n-negozji jenħtieġ jibbenefikaw diġà mill-konnettività tal-Gigabits b’veloċitajiet ta’ upload u download indaqs sa mhux aktar tard mill-2025.</w:t>
      </w:r>
    </w:p>
  </w:footnote>
  <w:footnote w:id="4">
    <w:p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Il-Programm Ewropa Diġitali (DEP), il-Faċilità Nikkollegaw l-Ewropa (FNE 2), Orizzont Ewropa, il-Programm Spazjali.</w:t>
      </w:r>
    </w:p>
  </w:footnote>
  <w:footnote w:id="5">
    <w:p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Il-FEŻR, il-FAEŻR.</w:t>
      </w:r>
    </w:p>
  </w:footnote>
  <w:footnote w:id="6">
    <w:p>
      <w:pPr>
        <w:pStyle w:val="FootnoteText"/>
        <w:jc w:val="both"/>
        <w:rPr>
          <w:rFonts w:ascii="Times New Roman" w:hAnsi="Times New Roman" w:cs="Times New Roman"/>
          <w:i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Restoring EU competitiveness,</w:t>
      </w:r>
      <w:r>
        <w:rPr>
          <w:rFonts w:ascii="Times New Roman" w:hAnsi="Times New Roman"/>
        </w:rPr>
        <w:t xml:space="preserve"> (Inreġġgħu lura l-kompetittività tal-UE), il-BEI, 2016. Ir-Rapport tal-BEI dwar l-Investiment 2019/20, </w:t>
      </w:r>
      <w:r>
        <w:rPr>
          <w:rFonts w:ascii="Times New Roman" w:hAnsi="Times New Roman"/>
          <w:i/>
        </w:rPr>
        <w:t>Accelerating Europe’s Transformation</w:t>
      </w:r>
      <w:r>
        <w:rPr>
          <w:rFonts w:ascii="Times New Roman" w:hAnsi="Times New Roman"/>
        </w:rPr>
        <w:t>, (Inħaffu t-Trasformazzjoni tal-Ewropa), jikkonferma li huwa meħtieġ investiment pubbliku fuq skala kbira biex tiġi appoġġata d-diġitalizzazzjoni tal-infrastruttura.</w:t>
      </w:r>
    </w:p>
  </w:footnote>
  <w:footnote w:id="7">
    <w:p>
      <w:pPr>
        <w:pStyle w:val="Footnote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>Shaping the digital transformation</w:t>
      </w:r>
      <w:r>
        <w:rPr>
          <w:rFonts w:ascii="Times New Roman" w:hAnsi="Times New Roman"/>
        </w:rPr>
        <w:t xml:space="preserve"> (Insawru t-trasformazzjoni diġitali), Studju mwettaq għall-Kummissjoni Ewropea, McKinsey Global Institute (li għandu jiġi ppubblikat fit-tieni kwart tal-2020)</w:t>
      </w:r>
    </w:p>
  </w:footnote>
  <w:footnote w:id="8">
    <w:p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Is-sett ta’ għodod tal-UE għas-sigurtà tal-5G li ġie ppubblikat riċentement jikkostitwixxi pass importanti għax jistabbilixxi sett ta’ miżuri robusti u komprensivi għal approċċ koordinat tal-UE biex ikollna netwerks 5G siguri.</w:t>
      </w:r>
    </w:p>
  </w:footnote>
  <w:footnote w:id="9">
    <w:p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>It-tisħiħ taċ-ċibersigurtà se jkun kontribut ewlieni lejn il-bini ta’ Unjoni tas-Sigurtà ġenwina u effettiva.</w:t>
      </w:r>
    </w:p>
  </w:footnote>
  <w:footnote w:id="10">
    <w:p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Aktar minn 90 % tal-impjiegi diġà jitolbu mill-anqas ħiliet diġitali bażiċi, iżda 43 % taċ-ċittadini Ewropej u aktar minn terz tal-forza tax-xogħol tal-UE huma neqsin minnhom.</w:t>
      </w:r>
    </w:p>
  </w:footnote>
  <w:footnote w:id="11">
    <w:p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Ir-Regolament tal-Kunsill (UE) Nru 2018/1488 tat-28 ta’ Settembru 2018</w:t>
      </w:r>
      <w:r>
        <w:t>.</w:t>
      </w:r>
    </w:p>
  </w:footnote>
  <w:footnote w:id="12">
    <w:p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Id-Direttiva 2014/61/UE tal-Parlament Ewropew u tal-Kunsill tal-15 ta’ Mejju 2014.</w:t>
      </w:r>
    </w:p>
  </w:footnote>
  <w:footnote w:id="13">
    <w:p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Id-Direttiva (UE) 2016/1148 tal-Parlament Ewropew u tal-Kunsill tas-6 ta’ Lulju 2016</w:t>
      </w:r>
    </w:p>
  </w:footnote>
  <w:footnote w:id="14">
    <w:p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Il-Patt Ekoloġiku Ewropew, COM(2019) 640 final, il-11 ta’ Diċembru 2019: </w:t>
      </w:r>
      <w:hyperlink r:id="rId1" w:history="1">
        <w:r>
          <w:rPr>
            <w:rStyle w:val="Hyperlink"/>
            <w:rFonts w:ascii="Times New Roman" w:hAnsi="Times New Roman"/>
          </w:rPr>
          <w:t>https://ec.europa.eu/info/sites/info/files/european-green-deal-communication_en.pdf</w:t>
        </w:r>
      </w:hyperlink>
    </w:p>
  </w:footnote>
  <w:footnote w:id="15">
    <w:p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L-Għanijiet ta’ Żvilupp Sostenibbli (SDG) huma ġabra ta’ 17-il għan globali mfassla biex ikunu “pjan ta’ azzjoni għall-kisba ta’ futur aħjar u aktar sostenibbli għal kulħadd”. Dawn ġew stabbiliti mill-Assemblea Ġenerali tan-NU, bħala parti mir-Riżoluzzjoni tan-NU 70/1, fl-2015: </w:t>
      </w:r>
      <w:hyperlink r:id="rId2" w:history="1">
        <w:r>
          <w:rPr>
            <w:rStyle w:val="Hyperlink"/>
            <w:rFonts w:ascii="Times New Roman" w:hAnsi="Times New Roman"/>
          </w:rPr>
          <w:t>https://www.un.org/sustainabledevelopment/sustainable-development-goals/</w:t>
        </w:r>
      </w:hyperlink>
      <w:r>
        <w:rPr>
          <w:rFonts w:ascii="Times New Roman" w:hAnsi="Times New Roman"/>
        </w:rPr>
        <w:t>.</w:t>
      </w:r>
    </w:p>
  </w:footnote>
  <w:footnote w:id="16">
    <w:p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t xml:space="preserve"> </w:t>
      </w:r>
      <w:r>
        <w:rPr>
          <w:rFonts w:ascii="Times New Roman" w:hAnsi="Times New Roman"/>
        </w:rPr>
        <w:t xml:space="preserve">Il-Forum Dinji dwar l-Enerġija: </w:t>
      </w:r>
      <w:hyperlink r:id="rId3" w:history="1">
        <w:r>
          <w:rPr>
            <w:rStyle w:val="Hyperlink"/>
            <w:rFonts w:ascii="Times New Roman" w:hAnsi="Times New Roman"/>
          </w:rPr>
          <w:t>https://www.enerdata.net/publications/executive-briefing/expected-world-energy-consumption-increase-from-digitalization.html</w:t>
        </w:r>
      </w:hyperlink>
      <w:r>
        <w:rPr>
          <w:rFonts w:ascii="Times New Roman" w:hAnsi="Times New Roman"/>
        </w:rPr>
        <w:t xml:space="preserve">. </w:t>
      </w:r>
    </w:p>
  </w:footnote>
  <w:footnote w:id="17">
    <w:p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Pereżempju, l-użu tal-istandard tal-fatturar elettroniku tal-UE fl-Awstralja, fi New Zealand u f’Singapore, kien ta’ suċċess, qed jaġixxi bħala faċilitatur tal-kummerċ għan-negozji tal-UE u qed jiġi kkunsidrat għall-użu fil-livell internazzjonali.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9DD224C0"/>
    <w:lvl w:ilvl="0">
      <w:start w:val="1"/>
      <w:numFmt w:val="none"/>
      <w:suff w:val="nothing"/>
      <w:lvlText w:val=""/>
      <w:lvlJc w:val="left"/>
      <w:pPr>
        <w:ind w:left="-77" w:firstLine="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643"/>
        </w:tabs>
        <w:ind w:left="643" w:hanging="72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643"/>
        </w:tabs>
        <w:ind w:left="643" w:hanging="720"/>
      </w:pPr>
      <w:rPr>
        <w:rFonts w:ascii="Times New Roman" w:hAnsi="Times New Roman" w:cs="Times New Roman" w:hint="default"/>
        <w:b/>
        <w:i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363"/>
        </w:tabs>
        <w:ind w:left="1363" w:hanging="720"/>
      </w:pPr>
      <w:rPr>
        <w:rFonts w:ascii="Symbol" w:hAnsi="Symbol" w:hint="default"/>
        <w:b w:val="0"/>
        <w:i w:val="0"/>
        <w:sz w:val="24"/>
        <w:szCs w:val="24"/>
      </w:rPr>
    </w:lvl>
    <w:lvl w:ilvl="4">
      <w:start w:val="1"/>
      <w:numFmt w:val="lowerRoman"/>
      <w:lvlText w:val="(%5)"/>
      <w:lvlJc w:val="left"/>
      <w:pPr>
        <w:tabs>
          <w:tab w:val="num" w:pos="2083"/>
        </w:tabs>
        <w:ind w:left="2083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upperLetter"/>
      <w:lvlText w:val="(%6)"/>
      <w:lvlJc w:val="left"/>
      <w:pPr>
        <w:tabs>
          <w:tab w:val="num" w:pos="2803"/>
        </w:tabs>
        <w:ind w:left="2803" w:hanging="719"/>
      </w:pPr>
      <w:rPr>
        <w:rFonts w:ascii="Arial" w:hAnsi="Arial" w:cs="Arial" w:hint="default"/>
        <w:b w:val="0"/>
        <w:i w:val="0"/>
        <w:sz w:val="20"/>
      </w:rPr>
    </w:lvl>
    <w:lvl w:ilvl="6">
      <w:start w:val="1"/>
      <w:numFmt w:val="lowerRoman"/>
      <w:lvlText w:val="(%7)"/>
      <w:lvlJc w:val="left"/>
      <w:pPr>
        <w:tabs>
          <w:tab w:val="num" w:pos="-77"/>
        </w:tabs>
        <w:ind w:left="4219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77"/>
        </w:tabs>
        <w:ind w:left="4927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-77"/>
        </w:tabs>
        <w:ind w:left="5635" w:hanging="708"/>
      </w:pPr>
      <w:rPr>
        <w:rFonts w:hint="default"/>
      </w:rPr>
    </w:lvl>
  </w:abstractNum>
  <w:abstractNum w:abstractNumId="1">
    <w:nsid w:val="05A66C86"/>
    <w:multiLevelType w:val="hybridMultilevel"/>
    <w:tmpl w:val="386CE28E"/>
    <w:lvl w:ilvl="0" w:tplc="56880A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A90CE4"/>
    <w:multiLevelType w:val="hybridMultilevel"/>
    <w:tmpl w:val="686EA044"/>
    <w:lvl w:ilvl="0" w:tplc="56880A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E01D87"/>
    <w:multiLevelType w:val="hybridMultilevel"/>
    <w:tmpl w:val="C64CCC30"/>
    <w:lvl w:ilvl="0" w:tplc="BFE2B9D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149EC"/>
    <w:multiLevelType w:val="hybridMultilevel"/>
    <w:tmpl w:val="489A9856"/>
    <w:lvl w:ilvl="0" w:tplc="8E002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11581661"/>
    <w:multiLevelType w:val="hybridMultilevel"/>
    <w:tmpl w:val="783863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6A1975"/>
    <w:multiLevelType w:val="hybridMultilevel"/>
    <w:tmpl w:val="9962E9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0F54B5"/>
    <w:multiLevelType w:val="hybridMultilevel"/>
    <w:tmpl w:val="F692CF1A"/>
    <w:lvl w:ilvl="0" w:tplc="22C691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DD56A5"/>
    <w:multiLevelType w:val="hybridMultilevel"/>
    <w:tmpl w:val="9426F17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B0C3E"/>
    <w:multiLevelType w:val="hybridMultilevel"/>
    <w:tmpl w:val="81C4A25C"/>
    <w:lvl w:ilvl="0" w:tplc="2070BF08">
      <w:start w:val="1"/>
      <w:numFmt w:val="upperLetter"/>
      <w:lvlText w:val="%1."/>
      <w:lvlJc w:val="left"/>
      <w:pPr>
        <w:ind w:left="785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1CC43802"/>
    <w:multiLevelType w:val="hybridMultilevel"/>
    <w:tmpl w:val="06203D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906CDF"/>
    <w:multiLevelType w:val="hybridMultilevel"/>
    <w:tmpl w:val="96084F2E"/>
    <w:lvl w:ilvl="0" w:tplc="A78AD9E8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344796"/>
    <w:multiLevelType w:val="hybridMultilevel"/>
    <w:tmpl w:val="0A886162"/>
    <w:lvl w:ilvl="0" w:tplc="08090015">
      <w:start w:val="1"/>
      <w:numFmt w:val="upperLetter"/>
      <w:lvlText w:val="%1."/>
      <w:lvlJc w:val="left"/>
      <w:pPr>
        <w:ind w:left="717" w:hanging="360"/>
      </w:pPr>
    </w:lvl>
    <w:lvl w:ilvl="1" w:tplc="08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2432403F"/>
    <w:multiLevelType w:val="hybridMultilevel"/>
    <w:tmpl w:val="367A7922"/>
    <w:lvl w:ilvl="0" w:tplc="BFE2B9D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77D8298C">
      <w:start w:val="1"/>
      <w:numFmt w:val="decimal"/>
      <w:lvlText w:val="(%2)"/>
      <w:lvlJc w:val="left"/>
      <w:pPr>
        <w:ind w:left="15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CD5479"/>
    <w:multiLevelType w:val="hybridMultilevel"/>
    <w:tmpl w:val="10F2938E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12C8C4C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6E67BCC"/>
    <w:multiLevelType w:val="hybridMultilevel"/>
    <w:tmpl w:val="7E0C1C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293CE3"/>
    <w:multiLevelType w:val="multilevel"/>
    <w:tmpl w:val="8D7C4D2A"/>
    <w:lvl w:ilvl="0">
      <w:start w:val="1"/>
      <w:numFmt w:val="decimal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2F643FB1"/>
    <w:multiLevelType w:val="hybridMultilevel"/>
    <w:tmpl w:val="6CF212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0031C95"/>
    <w:multiLevelType w:val="hybridMultilevel"/>
    <w:tmpl w:val="7018B8E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14621C"/>
    <w:multiLevelType w:val="hybridMultilevel"/>
    <w:tmpl w:val="24DA1BD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382406"/>
    <w:multiLevelType w:val="hybridMultilevel"/>
    <w:tmpl w:val="1172829A"/>
    <w:lvl w:ilvl="0" w:tplc="FD6247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AED510D"/>
    <w:multiLevelType w:val="hybridMultilevel"/>
    <w:tmpl w:val="8208F02C"/>
    <w:lvl w:ilvl="0" w:tplc="0809000F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E51623B"/>
    <w:multiLevelType w:val="hybridMultilevel"/>
    <w:tmpl w:val="5088C1C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3F6E2066"/>
    <w:multiLevelType w:val="hybridMultilevel"/>
    <w:tmpl w:val="E59A02B0"/>
    <w:lvl w:ilvl="0" w:tplc="08090015">
      <w:start w:val="1"/>
      <w:numFmt w:val="upperLetter"/>
      <w:lvlText w:val="%1."/>
      <w:lvlJc w:val="left"/>
      <w:pPr>
        <w:ind w:left="717" w:hanging="360"/>
      </w:p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40A670E4"/>
    <w:multiLevelType w:val="hybridMultilevel"/>
    <w:tmpl w:val="275EC520"/>
    <w:lvl w:ilvl="0" w:tplc="5E8CBF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D1DC2"/>
    <w:multiLevelType w:val="hybridMultilevel"/>
    <w:tmpl w:val="0292F6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3A0C31"/>
    <w:multiLevelType w:val="hybridMultilevel"/>
    <w:tmpl w:val="583C661A"/>
    <w:lvl w:ilvl="0" w:tplc="DAD0F17A">
      <w:numFmt w:val="bullet"/>
      <w:lvlText w:val="•"/>
      <w:lvlJc w:val="left"/>
      <w:pPr>
        <w:ind w:left="72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6B129B3"/>
    <w:multiLevelType w:val="hybridMultilevel"/>
    <w:tmpl w:val="F3F21934"/>
    <w:lvl w:ilvl="0" w:tplc="56880A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7C46405"/>
    <w:multiLevelType w:val="hybridMultilevel"/>
    <w:tmpl w:val="3754DEC8"/>
    <w:lvl w:ilvl="0" w:tplc="22C691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2C6912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EE3671"/>
    <w:multiLevelType w:val="multilevel"/>
    <w:tmpl w:val="BC0A5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>
    <w:nsid w:val="4DA7352E"/>
    <w:multiLevelType w:val="hybridMultilevel"/>
    <w:tmpl w:val="11322CA4"/>
    <w:lvl w:ilvl="0" w:tplc="08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9E486B"/>
    <w:multiLevelType w:val="hybridMultilevel"/>
    <w:tmpl w:val="6C661584"/>
    <w:lvl w:ilvl="0" w:tplc="0809000F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0F4661"/>
    <w:multiLevelType w:val="hybridMultilevel"/>
    <w:tmpl w:val="4F1A0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303E34"/>
    <w:multiLevelType w:val="hybridMultilevel"/>
    <w:tmpl w:val="36E66F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027D23"/>
    <w:multiLevelType w:val="hybridMultilevel"/>
    <w:tmpl w:val="EDAEF3C4"/>
    <w:lvl w:ilvl="0" w:tplc="56880A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A0D6FB6"/>
    <w:multiLevelType w:val="hybridMultilevel"/>
    <w:tmpl w:val="917A8E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C21D44"/>
    <w:multiLevelType w:val="hybridMultilevel"/>
    <w:tmpl w:val="007032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1256AD"/>
    <w:multiLevelType w:val="hybridMultilevel"/>
    <w:tmpl w:val="05BC3D38"/>
    <w:lvl w:ilvl="0" w:tplc="22C691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F726A2C"/>
    <w:multiLevelType w:val="hybridMultilevel"/>
    <w:tmpl w:val="3146C3AE"/>
    <w:lvl w:ilvl="0" w:tplc="08090015">
      <w:start w:val="1"/>
      <w:numFmt w:val="upperLetter"/>
      <w:lvlText w:val="%1."/>
      <w:lvlJc w:val="left"/>
      <w:pPr>
        <w:ind w:left="717" w:hanging="360"/>
      </w:p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>
    <w:nsid w:val="6649586A"/>
    <w:multiLevelType w:val="hybridMultilevel"/>
    <w:tmpl w:val="29669BF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CFC4C3B"/>
    <w:multiLevelType w:val="hybridMultilevel"/>
    <w:tmpl w:val="FD6EFB12"/>
    <w:lvl w:ilvl="0" w:tplc="33BE6D2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EEC32C7"/>
    <w:multiLevelType w:val="hybridMultilevel"/>
    <w:tmpl w:val="5BDEB3C2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F23156"/>
    <w:multiLevelType w:val="hybridMultilevel"/>
    <w:tmpl w:val="BECC41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082E5C"/>
    <w:multiLevelType w:val="hybridMultilevel"/>
    <w:tmpl w:val="797270FE"/>
    <w:lvl w:ilvl="0" w:tplc="E982C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4">
    <w:nsid w:val="7B7E6FF9"/>
    <w:multiLevelType w:val="hybridMultilevel"/>
    <w:tmpl w:val="05365EC8"/>
    <w:lvl w:ilvl="0" w:tplc="56880A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C9542B8"/>
    <w:multiLevelType w:val="hybridMultilevel"/>
    <w:tmpl w:val="636CAEFA"/>
    <w:lvl w:ilvl="0" w:tplc="08090015">
      <w:start w:val="1"/>
      <w:numFmt w:val="upperLetter"/>
      <w:lvlText w:val="%1."/>
      <w:lvlJc w:val="left"/>
      <w:pPr>
        <w:ind w:left="717" w:hanging="360"/>
      </w:p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6">
    <w:nsid w:val="7DDB13DC"/>
    <w:multiLevelType w:val="hybridMultilevel"/>
    <w:tmpl w:val="38B25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14"/>
  </w:num>
  <w:num w:numId="5">
    <w:abstractNumId w:val="25"/>
  </w:num>
  <w:num w:numId="6">
    <w:abstractNumId w:val="0"/>
  </w:num>
  <w:num w:numId="7">
    <w:abstractNumId w:val="16"/>
  </w:num>
  <w:num w:numId="8">
    <w:abstractNumId w:val="5"/>
  </w:num>
  <w:num w:numId="9">
    <w:abstractNumId w:val="17"/>
  </w:num>
  <w:num w:numId="10">
    <w:abstractNumId w:val="12"/>
  </w:num>
  <w:num w:numId="11">
    <w:abstractNumId w:val="15"/>
  </w:num>
  <w:num w:numId="12">
    <w:abstractNumId w:val="41"/>
  </w:num>
  <w:num w:numId="13">
    <w:abstractNumId w:val="20"/>
  </w:num>
  <w:num w:numId="14">
    <w:abstractNumId w:val="4"/>
  </w:num>
  <w:num w:numId="15">
    <w:abstractNumId w:val="43"/>
  </w:num>
  <w:num w:numId="16">
    <w:abstractNumId w:val="35"/>
  </w:num>
  <w:num w:numId="17">
    <w:abstractNumId w:val="39"/>
  </w:num>
  <w:num w:numId="18">
    <w:abstractNumId w:val="6"/>
  </w:num>
  <w:num w:numId="19">
    <w:abstractNumId w:val="1"/>
  </w:num>
  <w:num w:numId="20">
    <w:abstractNumId w:val="2"/>
  </w:num>
  <w:num w:numId="21">
    <w:abstractNumId w:val="27"/>
  </w:num>
  <w:num w:numId="22">
    <w:abstractNumId w:val="31"/>
  </w:num>
  <w:num w:numId="23">
    <w:abstractNumId w:val="21"/>
  </w:num>
  <w:num w:numId="24">
    <w:abstractNumId w:val="44"/>
  </w:num>
  <w:num w:numId="25">
    <w:abstractNumId w:val="34"/>
  </w:num>
  <w:num w:numId="26">
    <w:abstractNumId w:val="40"/>
  </w:num>
  <w:num w:numId="27">
    <w:abstractNumId w:val="46"/>
  </w:num>
  <w:num w:numId="28">
    <w:abstractNumId w:val="26"/>
  </w:num>
  <w:num w:numId="29">
    <w:abstractNumId w:val="32"/>
  </w:num>
  <w:num w:numId="30">
    <w:abstractNumId w:val="8"/>
  </w:num>
  <w:num w:numId="31">
    <w:abstractNumId w:val="33"/>
  </w:num>
  <w:num w:numId="32">
    <w:abstractNumId w:val="42"/>
  </w:num>
  <w:num w:numId="33">
    <w:abstractNumId w:val="36"/>
  </w:num>
  <w:num w:numId="34">
    <w:abstractNumId w:val="18"/>
  </w:num>
  <w:num w:numId="35">
    <w:abstractNumId w:val="19"/>
  </w:num>
  <w:num w:numId="36">
    <w:abstractNumId w:val="22"/>
  </w:num>
  <w:num w:numId="37">
    <w:abstractNumId w:val="45"/>
  </w:num>
  <w:num w:numId="38">
    <w:abstractNumId w:val="23"/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3"/>
  </w:num>
  <w:num w:numId="42">
    <w:abstractNumId w:val="13"/>
  </w:num>
  <w:num w:numId="43">
    <w:abstractNumId w:val="30"/>
  </w:num>
  <w:num w:numId="44">
    <w:abstractNumId w:val="38"/>
  </w:num>
  <w:num w:numId="45">
    <w:abstractNumId w:val="7"/>
  </w:num>
  <w:num w:numId="46">
    <w:abstractNumId w:val="24"/>
  </w:num>
  <w:num w:numId="47">
    <w:abstractNumId w:val="28"/>
  </w:num>
  <w:num w:numId="48">
    <w:abstractNumId w:val="29"/>
  </w:num>
  <w:num w:numId="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revisionView w:markup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CORRIGENDUM" w:val="&lt;UNUSED&gt;"/>
    <w:docVar w:name="LW_COVERPAGE_EXISTS" w:val="True"/>
    <w:docVar w:name="LW_COVERPAGE_GUID" w:val="069E0446-3399-4912-B3D5-263467CDE1DF"/>
    <w:docVar w:name="LW_COVERPAGE_TYPE" w:val="1"/>
    <w:docVar w:name="LW_CROSSREFERENCE" w:val="&lt;UNUSED&gt;"/>
    <w:docVar w:name="LW_DocType" w:val="NORMAL"/>
    <w:docVar w:name="LW_EMISSION" w:val="19.2.2020"/>
    <w:docVar w:name="LW_EMISSION_ISODATE" w:val="2020-02-19"/>
    <w:docVar w:name="LW_EMISSION_LOCATION" w:val="BRX"/>
    <w:docVar w:name="LW_EMISSION_PREFIX" w:val="Brussell, "/>
    <w:docVar w:name="LW_EMISSION_SUFFIX" w:val=" "/>
    <w:docVar w:name="LW_ID_DOCTYPE_NONLW" w:val="CP-014"/>
    <w:docVar w:name="LW_LANGUE" w:val="MT"/>
    <w:docVar w:name="LW_LEVEL_OF_SENSITIVITY" w:val="Standard treatment"/>
    <w:docVar w:name="LW_NOM.INST" w:val="IL-KUMMISSJONI EWROPEA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20) 6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Insawru l-futur di\u289?itali tal-Ewropa"/>
    <w:docVar w:name="LW_TYPE.DOC.CP" w:val="KOMUNIKAZZJONI TAL-KUMMISSJONI LILL-PARLAMENT EWROPEW, LILL-KUNSILL, LILL-KUMITAT EKONOMIKU U SO\u266?JALI EWROPEW U LILL-KUMITAT TAR-RE\u288?JUNI"/>
    <w:docVar w:name="LW_TYPE.DOC.CP.USERTEXT" w:val="&lt;EMPTY&gt;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t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List Bullet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overflowPunct w:val="0"/>
      <w:autoSpaceDE w:val="0"/>
      <w:autoSpaceDN w:val="0"/>
      <w:adjustRightInd w:val="0"/>
      <w:spacing w:after="270" w:line="240" w:lineRule="exact"/>
      <w:ind w:left="-77"/>
      <w:textAlignment w:val="baseline"/>
      <w:outlineLvl w:val="0"/>
    </w:pPr>
    <w:rPr>
      <w:rFonts w:ascii="Times New Roman" w:eastAsia="Times New Roman" w:hAnsi="Times New Roman" w:cs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pPr>
      <w:tabs>
        <w:tab w:val="num" w:pos="1363"/>
      </w:tabs>
      <w:overflowPunct w:val="0"/>
      <w:autoSpaceDE w:val="0"/>
      <w:autoSpaceDN w:val="0"/>
      <w:adjustRightInd w:val="0"/>
      <w:spacing w:after="270" w:line="240" w:lineRule="exact"/>
      <w:ind w:left="1363" w:hanging="720"/>
      <w:jc w:val="both"/>
      <w:textAlignment w:val="baseline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pPr>
      <w:tabs>
        <w:tab w:val="num" w:pos="2083"/>
      </w:tabs>
      <w:overflowPunct w:val="0"/>
      <w:autoSpaceDE w:val="0"/>
      <w:autoSpaceDN w:val="0"/>
      <w:adjustRightInd w:val="0"/>
      <w:spacing w:after="270" w:line="240" w:lineRule="exact"/>
      <w:ind w:left="2083" w:hanging="720"/>
      <w:jc w:val="both"/>
      <w:textAlignment w:val="baseline"/>
      <w:outlineLvl w:val="4"/>
    </w:pPr>
    <w:rPr>
      <w:rFonts w:ascii="Arial" w:eastAsia="Times New Roman" w:hAnsi="Arial" w:cs="Arial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pPr>
      <w:tabs>
        <w:tab w:val="num" w:pos="2803"/>
      </w:tabs>
      <w:overflowPunct w:val="0"/>
      <w:autoSpaceDE w:val="0"/>
      <w:autoSpaceDN w:val="0"/>
      <w:adjustRightInd w:val="0"/>
      <w:spacing w:after="270" w:line="240" w:lineRule="exact"/>
      <w:ind w:left="2803" w:hanging="719"/>
      <w:jc w:val="both"/>
      <w:textAlignment w:val="baseline"/>
      <w:outlineLvl w:val="5"/>
    </w:pPr>
    <w:rPr>
      <w:rFonts w:ascii="Arial" w:eastAsia="Times New Roman" w:hAnsi="Arial" w:cs="Arial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pPr>
      <w:tabs>
        <w:tab w:val="num" w:pos="-77"/>
      </w:tabs>
      <w:overflowPunct w:val="0"/>
      <w:autoSpaceDE w:val="0"/>
      <w:autoSpaceDN w:val="0"/>
      <w:adjustRightInd w:val="0"/>
      <w:spacing w:before="240" w:after="60" w:line="240" w:lineRule="exact"/>
      <w:ind w:left="4219" w:hanging="708"/>
      <w:jc w:val="both"/>
      <w:textAlignment w:val="baseline"/>
      <w:outlineLvl w:val="6"/>
    </w:pPr>
    <w:rPr>
      <w:rFonts w:ascii="Arial" w:eastAsia="Times New Roman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pPr>
      <w:tabs>
        <w:tab w:val="num" w:pos="-77"/>
      </w:tabs>
      <w:overflowPunct w:val="0"/>
      <w:autoSpaceDE w:val="0"/>
      <w:autoSpaceDN w:val="0"/>
      <w:adjustRightInd w:val="0"/>
      <w:spacing w:before="240" w:after="60" w:line="240" w:lineRule="exact"/>
      <w:ind w:left="4927" w:hanging="708"/>
      <w:jc w:val="both"/>
      <w:textAlignment w:val="baseline"/>
      <w:outlineLvl w:val="7"/>
    </w:pPr>
    <w:rPr>
      <w:rFonts w:ascii="Arial" w:eastAsia="Times New Roman" w:hAnsi="Arial" w:cs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pPr>
      <w:tabs>
        <w:tab w:val="num" w:pos="-77"/>
      </w:tabs>
      <w:overflowPunct w:val="0"/>
      <w:autoSpaceDE w:val="0"/>
      <w:autoSpaceDN w:val="0"/>
      <w:adjustRightInd w:val="0"/>
      <w:spacing w:before="240" w:after="60" w:line="240" w:lineRule="exact"/>
      <w:ind w:left="5635" w:hanging="708"/>
      <w:jc w:val="both"/>
      <w:textAlignment w:val="baseline"/>
      <w:outlineLvl w:val="8"/>
    </w:pPr>
    <w:rPr>
      <w:rFonts w:ascii="Arial" w:eastAsia="Times New Roman" w:hAnsi="Arial" w:cs="Arial"/>
      <w:b/>
      <w:i/>
      <w:sz w:val="1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Arial"/>
      <w:b/>
      <w:kern w:val="28"/>
      <w:sz w:val="28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Theme="minorEastAsia" w:hAnsi="Times New Roman" w:cs="Times New Roman"/>
      <w:sz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Theme="minorEastAsia" w:hAnsi="Times New Roman" w:cs="Times New Roman"/>
      <w:sz w:val="24"/>
      <w:lang w:eastAsia="zh-CN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Theme="minorEastAsia" w:hAnsi="Times New Roman" w:cs="Times New Roman"/>
      <w:sz w:val="24"/>
      <w:lang w:eastAsia="zh-CN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Theme="minorEastAsia" w:hAnsi="Times New Roman" w:cs="Times New Roman"/>
      <w:sz w:val="24"/>
      <w:lang w:eastAsia="zh-CN"/>
    </w:rPr>
  </w:style>
  <w:style w:type="paragraph" w:styleId="ListParagraph">
    <w:name w:val="List Paragraph"/>
    <w:aliases w:val="Normal bullet 2,Bullet list,Numbered List,List Paragraph1,1st level - Bullet List Paragraph,Lettre d'introduction,Paragrafo elenco,Fiche List Paragraph,Task Body,Viñetas (Inicio Parrafo),3 Txt tabla,Zerrenda-paragrafoa,Dot pt"/>
    <w:basedOn w:val="Normal"/>
    <w:link w:val="ListParagraphChar"/>
    <w:uiPriority w:val="34"/>
    <w:qFormat/>
    <w:pPr>
      <w:ind w:left="720"/>
      <w:contextualSpacing/>
    </w:pPr>
  </w:style>
  <w:style w:type="paragraph" w:styleId="FootnoteText">
    <w:name w:val="footnote text"/>
    <w:aliases w:val="Char,Fußnote,Carattere,fn,Footnotes,Footnote ak,Footnote Text Char1,Footnote Text Char Char,fn Char Char,footnote text Char Char,Footnotes Char Char,Footnote ak Char Char,fn Char1,footnote text Char1,Footnotes Char1,ft,Fußnotentextf"/>
    <w:basedOn w:val="Normal"/>
    <w:link w:val="FootnoteTextChar"/>
    <w:uiPriority w:val="99"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Char Char,Fußnote Char,Carattere Char,fn Char,Footnotes Char,Footnote ak Char,Footnote Text Char1 Char,Footnote Text Char Char Char,fn Char Char Char,footnote text Char Char Char,Footnotes Char Char Char,Footnote ak Char Char Char"/>
    <w:basedOn w:val="DefaultParagraphFont"/>
    <w:link w:val="FootnoteText"/>
    <w:uiPriority w:val="99"/>
    <w:qFormat/>
    <w:rPr>
      <w:rFonts w:eastAsiaTheme="minorEastAsia"/>
      <w:sz w:val="20"/>
      <w:szCs w:val="20"/>
      <w:lang w:eastAsia="zh-CN"/>
    </w:rPr>
  </w:style>
  <w:style w:type="character" w:styleId="FootnoteReference">
    <w:name w:val="footnote reference"/>
    <w:aliases w:val="Footnote Reference Superscript,BVI fnr, BVI fnr,Footnote symbol,Footnote reference number,note TESI,Appel note de bas de p,Nota,SUPERS,Footnote number,EN Footnote Reference,-E Fußnotenzeichen,number Char Char,number,Ref,styl,FR"/>
    <w:basedOn w:val="DefaultParagraphFont"/>
    <w:link w:val="FootnotesymbolCarZchn"/>
    <w:uiPriority w:val="99"/>
    <w:unhideWhenUsed/>
    <w:qFormat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al"/>
    <w:link w:val="FootnoteReference"/>
    <w:uiPriority w:val="99"/>
    <w:qFormat/>
    <w:pPr>
      <w:spacing w:after="160" w:line="240" w:lineRule="exact"/>
      <w:jc w:val="both"/>
    </w:pPr>
    <w:rPr>
      <w:rFonts w:eastAsiaTheme="minorHAnsi"/>
      <w:vertAlign w:val="superscript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Theme="minorEastAsia" w:hAnsi="Tahoma" w:cs="Tahoma"/>
      <w:sz w:val="16"/>
      <w:szCs w:val="16"/>
      <w:lang w:eastAsia="zh-CN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EC Square Sans Cond Pro" w:eastAsiaTheme="minorEastAsia" w:hAnsi="EC Square Sans Cond Pro" w:cs="EC Square Sans Cond Pro"/>
      <w:color w:val="000000"/>
      <w:sz w:val="24"/>
      <w:szCs w:val="24"/>
      <w:lang w:eastAsia="zh-CN"/>
    </w:rPr>
  </w:style>
  <w:style w:type="paragraph" w:customStyle="1" w:styleId="Source">
    <w:name w:val="Source"/>
    <w:basedOn w:val="Normal"/>
    <w:link w:val="SourceChar"/>
    <w:qFormat/>
    <w:pPr>
      <w:spacing w:before="60" w:after="110" w:line="220" w:lineRule="exact"/>
      <w:ind w:left="357" w:right="2160"/>
      <w:jc w:val="both"/>
    </w:pPr>
    <w:rPr>
      <w:rFonts w:ascii="Arial" w:hAnsi="Arial" w:cs="Arial"/>
      <w:sz w:val="18"/>
      <w:szCs w:val="18"/>
    </w:rPr>
  </w:style>
  <w:style w:type="character" w:customStyle="1" w:styleId="SourceChar">
    <w:name w:val="Source Char"/>
    <w:basedOn w:val="DefaultParagraphFont"/>
    <w:link w:val="Source"/>
    <w:rPr>
      <w:rFonts w:ascii="Arial" w:eastAsiaTheme="minorEastAsia" w:hAnsi="Arial" w:cs="Arial"/>
      <w:sz w:val="18"/>
      <w:szCs w:val="18"/>
      <w:lang w:eastAsia="zh-CN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EastAsia"/>
      <w:b/>
      <w:bCs/>
      <w:sz w:val="20"/>
      <w:szCs w:val="20"/>
      <w:lang w:eastAsia="zh-CN"/>
    </w:rPr>
  </w:style>
  <w:style w:type="character" w:customStyle="1" w:styleId="white-space">
    <w:name w:val="white-space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bumpedfont15">
    <w:name w:val="bumpedfont15"/>
    <w:basedOn w:val="DefaultParagraphFont"/>
  </w:style>
  <w:style w:type="paragraph" w:styleId="ListBullet">
    <w:name w:val="List Bullet"/>
    <w:basedOn w:val="Normal"/>
    <w:uiPriority w:val="9"/>
    <w:unhideWhenUsed/>
    <w:qFormat/>
    <w:pPr>
      <w:tabs>
        <w:tab w:val="num" w:pos="432"/>
      </w:tabs>
      <w:spacing w:after="120" w:line="256" w:lineRule="auto"/>
      <w:ind w:left="432" w:hanging="432"/>
    </w:pPr>
    <w:rPr>
      <w:color w:val="595959" w:themeColor="text1" w:themeTint="A6"/>
      <w:sz w:val="30"/>
      <w:szCs w:val="30"/>
      <w:lang w:eastAsia="ja-JP"/>
    </w:rPr>
  </w:style>
  <w:style w:type="paragraph" w:customStyle="1" w:styleId="FootnotesymbolCharCharCharChar">
    <w:name w:val="Footnote symbol Char Char Char Char"/>
    <w:aliases w:val="Voetnootverwijzing Char Char Char Char,Times 10 Point Char Char Char Char,Exposant 3 Point Char Char Char Char,Footnote Reference Superscript Char Char Char Cha"/>
    <w:basedOn w:val="Normal"/>
    <w:uiPriority w:val="99"/>
    <w:pPr>
      <w:spacing w:after="160" w:line="240" w:lineRule="exact"/>
    </w:pPr>
    <w:rPr>
      <w:vertAlign w:val="superscript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Theme="minorEastAsia"/>
      <w:lang w:eastAsia="zh-CN"/>
    </w:rPr>
  </w:style>
  <w:style w:type="paragraph" w:customStyle="1" w:styleId="FootnoteReferenceSuperscriptZchn">
    <w:name w:val="Footnote Reference Superscript Zchn"/>
    <w:aliases w:val="BVI fnr Zchn, BVI fnr Zchn,Footnote symbol Zchn,Footnote reference number Zchn,note TESI Zchn,Appel note de bas de p Zchn,Nota Zchn,SUPERS Zchn,Footnote number Zchn,EN Footnote Reference Zchn"/>
    <w:basedOn w:val="Normal"/>
    <w:uiPriority w:val="99"/>
    <w:pPr>
      <w:spacing w:after="160" w:line="240" w:lineRule="exact"/>
      <w:jc w:val="both"/>
    </w:pPr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5Normal">
    <w:name w:val="5 Normal"/>
    <w:basedOn w:val="Normal"/>
    <w:link w:val="5NormalChar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ind w:right="57"/>
      <w:jc w:val="both"/>
    </w:pPr>
    <w:rPr>
      <w:rFonts w:ascii="Verdana" w:eastAsia="Times New Roman" w:hAnsi="Verdana" w:cs="Times New Roman"/>
      <w:spacing w:val="-2"/>
      <w:sz w:val="20"/>
      <w:szCs w:val="24"/>
      <w:lang w:eastAsia="en-GB"/>
    </w:rPr>
  </w:style>
  <w:style w:type="character" w:customStyle="1" w:styleId="5NormalChar">
    <w:name w:val="5 Normal Char"/>
    <w:link w:val="5Normal"/>
    <w:locked/>
    <w:rPr>
      <w:rFonts w:ascii="Verdana" w:eastAsia="Times New Roman" w:hAnsi="Verdana" w:cs="Times New Roman"/>
      <w:spacing w:val="-2"/>
      <w:sz w:val="20"/>
      <w:szCs w:val="24"/>
      <w:lang w:eastAsia="en-GB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ListParagraphChar">
    <w:name w:val="List Paragraph Char"/>
    <w:aliases w:val="Normal bullet 2 Char,Bullet list Char,Numbered List Char,List Paragraph1 Char,1st level - Bullet List Paragraph Char,Lettre d'introduction Char,Paragrafo elenco Char,Fiche List Paragraph Char,Task Body Char,3 Txt tabla Char"/>
    <w:basedOn w:val="DefaultParagraphFont"/>
    <w:link w:val="ListParagraph"/>
    <w:uiPriority w:val="34"/>
    <w:qFormat/>
    <w:rPr>
      <w:rFonts w:eastAsiaTheme="minorEastAsia"/>
      <w:lang w:eastAsia="zh-CN"/>
    </w:rPr>
  </w:style>
  <w:style w:type="paragraph" w:styleId="BodyText3">
    <w:name w:val="Body Text 3"/>
    <w:basedOn w:val="Normal"/>
    <w:link w:val="BodyText3Char"/>
    <w:uiPriority w:val="99"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eastAsiaTheme="minorEastAsia"/>
      <w:sz w:val="16"/>
      <w:szCs w:val="16"/>
      <w:lang w:eastAsia="zh-CN"/>
    </w:rPr>
  </w:style>
  <w:style w:type="character" w:customStyle="1" w:styleId="st1">
    <w:name w:val="st1"/>
    <w:basedOn w:val="DefaultParagraphFont"/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eastAsiaTheme="minorHAnsi" w:hAnsi="Times New Roman" w:cs="Times New Roman"/>
      <w:sz w:val="28"/>
      <w:lang w:eastAsia="en-US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eastAsiaTheme="minorHAnsi" w:hAnsi="Times New Roman" w:cs="Times New Roman"/>
      <w:i/>
      <w:sz w:val="28"/>
      <w:lang w:eastAsia="en-US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eastAsiaTheme="minorHAnsi" w:hAnsi="Times New Roman" w:cs="Times New Roman"/>
      <w:i/>
      <w:sz w:val="28"/>
      <w:lang w:eastAsia="en-US"/>
    </w:rPr>
  </w:style>
  <w:style w:type="paragraph" w:customStyle="1" w:styleId="HeaderSensitivityRight">
    <w:name w:val="Header Sensitivity Right"/>
    <w:basedOn w:val="Normal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Nessuno">
    <w:name w:val="Nessuno"/>
    <w:rPr>
      <w:lang w:val="mt-MT"/>
    </w:rPr>
  </w:style>
  <w:style w:type="paragraph" w:customStyle="1" w:styleId="Char1">
    <w:name w:val="Char1"/>
    <w:aliases w:val="(NECG) Footnote Reference,fr,o,Style 6,Signature Ch"/>
    <w:basedOn w:val="Normal"/>
    <w:uiPriority w:val="99"/>
    <w:pPr>
      <w:spacing w:before="120" w:after="160" w:line="240" w:lineRule="exact"/>
      <w:jc w:val="both"/>
    </w:pPr>
    <w:rPr>
      <w:vertAlign w:val="superscript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28">
    <w:name w:val="s28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LegalNumPar">
    <w:name w:val="LegalNumPar"/>
    <w:basedOn w:val="Normal"/>
    <w:pPr>
      <w:spacing w:line="360" w:lineRule="auto"/>
      <w:ind w:left="717" w:hanging="360"/>
    </w:pPr>
    <w:rPr>
      <w:sz w:val="24"/>
    </w:rPr>
  </w:style>
  <w:style w:type="paragraph" w:customStyle="1" w:styleId="LegalNumPar2">
    <w:name w:val="LegalNumPar2"/>
    <w:basedOn w:val="Normal"/>
    <w:pPr>
      <w:spacing w:line="360" w:lineRule="auto"/>
      <w:ind w:left="1437" w:hanging="360"/>
    </w:pPr>
    <w:rPr>
      <w:sz w:val="24"/>
    </w:rPr>
  </w:style>
  <w:style w:type="paragraph" w:customStyle="1" w:styleId="LegalNumPar3">
    <w:name w:val="LegalNumPar3"/>
    <w:basedOn w:val="Normal"/>
    <w:pPr>
      <w:spacing w:line="360" w:lineRule="auto"/>
      <w:ind w:left="2157" w:hanging="180"/>
    </w:pPr>
    <w:rPr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Lucida Grande" w:eastAsiaTheme="minorEastAsia" w:hAnsi="Lucida Grande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t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List Bullet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overflowPunct w:val="0"/>
      <w:autoSpaceDE w:val="0"/>
      <w:autoSpaceDN w:val="0"/>
      <w:adjustRightInd w:val="0"/>
      <w:spacing w:after="270" w:line="240" w:lineRule="exact"/>
      <w:ind w:left="-77"/>
      <w:textAlignment w:val="baseline"/>
      <w:outlineLvl w:val="0"/>
    </w:pPr>
    <w:rPr>
      <w:rFonts w:ascii="Times New Roman" w:eastAsia="Times New Roman" w:hAnsi="Times New Roman" w:cs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pPr>
      <w:tabs>
        <w:tab w:val="num" w:pos="1363"/>
      </w:tabs>
      <w:overflowPunct w:val="0"/>
      <w:autoSpaceDE w:val="0"/>
      <w:autoSpaceDN w:val="0"/>
      <w:adjustRightInd w:val="0"/>
      <w:spacing w:after="270" w:line="240" w:lineRule="exact"/>
      <w:ind w:left="1363" w:hanging="720"/>
      <w:jc w:val="both"/>
      <w:textAlignment w:val="baseline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pPr>
      <w:tabs>
        <w:tab w:val="num" w:pos="2083"/>
      </w:tabs>
      <w:overflowPunct w:val="0"/>
      <w:autoSpaceDE w:val="0"/>
      <w:autoSpaceDN w:val="0"/>
      <w:adjustRightInd w:val="0"/>
      <w:spacing w:after="270" w:line="240" w:lineRule="exact"/>
      <w:ind w:left="2083" w:hanging="720"/>
      <w:jc w:val="both"/>
      <w:textAlignment w:val="baseline"/>
      <w:outlineLvl w:val="4"/>
    </w:pPr>
    <w:rPr>
      <w:rFonts w:ascii="Arial" w:eastAsia="Times New Roman" w:hAnsi="Arial" w:cs="Arial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pPr>
      <w:tabs>
        <w:tab w:val="num" w:pos="2803"/>
      </w:tabs>
      <w:overflowPunct w:val="0"/>
      <w:autoSpaceDE w:val="0"/>
      <w:autoSpaceDN w:val="0"/>
      <w:adjustRightInd w:val="0"/>
      <w:spacing w:after="270" w:line="240" w:lineRule="exact"/>
      <w:ind w:left="2803" w:hanging="719"/>
      <w:jc w:val="both"/>
      <w:textAlignment w:val="baseline"/>
      <w:outlineLvl w:val="5"/>
    </w:pPr>
    <w:rPr>
      <w:rFonts w:ascii="Arial" w:eastAsia="Times New Roman" w:hAnsi="Arial" w:cs="Arial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pPr>
      <w:tabs>
        <w:tab w:val="num" w:pos="-77"/>
      </w:tabs>
      <w:overflowPunct w:val="0"/>
      <w:autoSpaceDE w:val="0"/>
      <w:autoSpaceDN w:val="0"/>
      <w:adjustRightInd w:val="0"/>
      <w:spacing w:before="240" w:after="60" w:line="240" w:lineRule="exact"/>
      <w:ind w:left="4219" w:hanging="708"/>
      <w:jc w:val="both"/>
      <w:textAlignment w:val="baseline"/>
      <w:outlineLvl w:val="6"/>
    </w:pPr>
    <w:rPr>
      <w:rFonts w:ascii="Arial" w:eastAsia="Times New Roman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pPr>
      <w:tabs>
        <w:tab w:val="num" w:pos="-77"/>
      </w:tabs>
      <w:overflowPunct w:val="0"/>
      <w:autoSpaceDE w:val="0"/>
      <w:autoSpaceDN w:val="0"/>
      <w:adjustRightInd w:val="0"/>
      <w:spacing w:before="240" w:after="60" w:line="240" w:lineRule="exact"/>
      <w:ind w:left="4927" w:hanging="708"/>
      <w:jc w:val="both"/>
      <w:textAlignment w:val="baseline"/>
      <w:outlineLvl w:val="7"/>
    </w:pPr>
    <w:rPr>
      <w:rFonts w:ascii="Arial" w:eastAsia="Times New Roman" w:hAnsi="Arial" w:cs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pPr>
      <w:tabs>
        <w:tab w:val="num" w:pos="-77"/>
      </w:tabs>
      <w:overflowPunct w:val="0"/>
      <w:autoSpaceDE w:val="0"/>
      <w:autoSpaceDN w:val="0"/>
      <w:adjustRightInd w:val="0"/>
      <w:spacing w:before="240" w:after="60" w:line="240" w:lineRule="exact"/>
      <w:ind w:left="5635" w:hanging="708"/>
      <w:jc w:val="both"/>
      <w:textAlignment w:val="baseline"/>
      <w:outlineLvl w:val="8"/>
    </w:pPr>
    <w:rPr>
      <w:rFonts w:ascii="Arial" w:eastAsia="Times New Roman" w:hAnsi="Arial" w:cs="Arial"/>
      <w:b/>
      <w:i/>
      <w:sz w:val="1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Arial"/>
      <w:b/>
      <w:kern w:val="28"/>
      <w:sz w:val="28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Theme="minorEastAsia" w:hAnsi="Times New Roman" w:cs="Times New Roman"/>
      <w:sz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Theme="minorEastAsia" w:hAnsi="Times New Roman" w:cs="Times New Roman"/>
      <w:sz w:val="24"/>
      <w:lang w:eastAsia="zh-CN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Theme="minorEastAsia" w:hAnsi="Times New Roman" w:cs="Times New Roman"/>
      <w:sz w:val="24"/>
      <w:lang w:eastAsia="zh-CN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Theme="minorEastAsia" w:hAnsi="Times New Roman" w:cs="Times New Roman"/>
      <w:sz w:val="24"/>
      <w:lang w:eastAsia="zh-CN"/>
    </w:rPr>
  </w:style>
  <w:style w:type="paragraph" w:styleId="ListParagraph">
    <w:name w:val="List Paragraph"/>
    <w:aliases w:val="Normal bullet 2,Bullet list,Numbered List,List Paragraph1,1st level - Bullet List Paragraph,Lettre d'introduction,Paragrafo elenco,Fiche List Paragraph,Task Body,Viñetas (Inicio Parrafo),3 Txt tabla,Zerrenda-paragrafoa,Dot pt"/>
    <w:basedOn w:val="Normal"/>
    <w:link w:val="ListParagraphChar"/>
    <w:uiPriority w:val="34"/>
    <w:qFormat/>
    <w:pPr>
      <w:ind w:left="720"/>
      <w:contextualSpacing/>
    </w:pPr>
  </w:style>
  <w:style w:type="paragraph" w:styleId="FootnoteText">
    <w:name w:val="footnote text"/>
    <w:aliases w:val="Char,Fußnote,Carattere,fn,Footnotes,Footnote ak,Footnote Text Char1,Footnote Text Char Char,fn Char Char,footnote text Char Char,Footnotes Char Char,Footnote ak Char Char,fn Char1,footnote text Char1,Footnotes Char1,ft,Fußnotentextf"/>
    <w:basedOn w:val="Normal"/>
    <w:link w:val="FootnoteTextChar"/>
    <w:uiPriority w:val="99"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Char Char,Fußnote Char,Carattere Char,fn Char,Footnotes Char,Footnote ak Char,Footnote Text Char1 Char,Footnote Text Char Char Char,fn Char Char Char,footnote text Char Char Char,Footnotes Char Char Char,Footnote ak Char Char Char"/>
    <w:basedOn w:val="DefaultParagraphFont"/>
    <w:link w:val="FootnoteText"/>
    <w:uiPriority w:val="99"/>
    <w:qFormat/>
    <w:rPr>
      <w:rFonts w:eastAsiaTheme="minorEastAsia"/>
      <w:sz w:val="20"/>
      <w:szCs w:val="20"/>
      <w:lang w:eastAsia="zh-CN"/>
    </w:rPr>
  </w:style>
  <w:style w:type="character" w:styleId="FootnoteReference">
    <w:name w:val="footnote reference"/>
    <w:aliases w:val="Footnote Reference Superscript,BVI fnr, BVI fnr,Footnote symbol,Footnote reference number,note TESI,Appel note de bas de p,Nota,SUPERS,Footnote number,EN Footnote Reference,-E Fußnotenzeichen,number Char Char,number,Ref,styl,FR"/>
    <w:basedOn w:val="DefaultParagraphFont"/>
    <w:link w:val="FootnotesymbolCarZchn"/>
    <w:uiPriority w:val="99"/>
    <w:unhideWhenUsed/>
    <w:qFormat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al"/>
    <w:link w:val="FootnoteReference"/>
    <w:uiPriority w:val="99"/>
    <w:qFormat/>
    <w:pPr>
      <w:spacing w:after="160" w:line="240" w:lineRule="exact"/>
      <w:jc w:val="both"/>
    </w:pPr>
    <w:rPr>
      <w:rFonts w:eastAsiaTheme="minorHAnsi"/>
      <w:vertAlign w:val="superscript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Theme="minorEastAsia" w:hAnsi="Tahoma" w:cs="Tahoma"/>
      <w:sz w:val="16"/>
      <w:szCs w:val="16"/>
      <w:lang w:eastAsia="zh-CN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EC Square Sans Cond Pro" w:eastAsiaTheme="minorEastAsia" w:hAnsi="EC Square Sans Cond Pro" w:cs="EC Square Sans Cond Pro"/>
      <w:color w:val="000000"/>
      <w:sz w:val="24"/>
      <w:szCs w:val="24"/>
      <w:lang w:eastAsia="zh-CN"/>
    </w:rPr>
  </w:style>
  <w:style w:type="paragraph" w:customStyle="1" w:styleId="Source">
    <w:name w:val="Source"/>
    <w:basedOn w:val="Normal"/>
    <w:link w:val="SourceChar"/>
    <w:qFormat/>
    <w:pPr>
      <w:spacing w:before="60" w:after="110" w:line="220" w:lineRule="exact"/>
      <w:ind w:left="357" w:right="2160"/>
      <w:jc w:val="both"/>
    </w:pPr>
    <w:rPr>
      <w:rFonts w:ascii="Arial" w:hAnsi="Arial" w:cs="Arial"/>
      <w:sz w:val="18"/>
      <w:szCs w:val="18"/>
    </w:rPr>
  </w:style>
  <w:style w:type="character" w:customStyle="1" w:styleId="SourceChar">
    <w:name w:val="Source Char"/>
    <w:basedOn w:val="DefaultParagraphFont"/>
    <w:link w:val="Source"/>
    <w:rPr>
      <w:rFonts w:ascii="Arial" w:eastAsiaTheme="minorEastAsia" w:hAnsi="Arial" w:cs="Arial"/>
      <w:sz w:val="18"/>
      <w:szCs w:val="18"/>
      <w:lang w:eastAsia="zh-CN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EastAsia"/>
      <w:b/>
      <w:bCs/>
      <w:sz w:val="20"/>
      <w:szCs w:val="20"/>
      <w:lang w:eastAsia="zh-CN"/>
    </w:rPr>
  </w:style>
  <w:style w:type="character" w:customStyle="1" w:styleId="white-space">
    <w:name w:val="white-space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bumpedfont15">
    <w:name w:val="bumpedfont15"/>
    <w:basedOn w:val="DefaultParagraphFont"/>
  </w:style>
  <w:style w:type="paragraph" w:styleId="ListBullet">
    <w:name w:val="List Bullet"/>
    <w:basedOn w:val="Normal"/>
    <w:uiPriority w:val="9"/>
    <w:unhideWhenUsed/>
    <w:qFormat/>
    <w:pPr>
      <w:tabs>
        <w:tab w:val="num" w:pos="432"/>
      </w:tabs>
      <w:spacing w:after="120" w:line="256" w:lineRule="auto"/>
      <w:ind w:left="432" w:hanging="432"/>
    </w:pPr>
    <w:rPr>
      <w:color w:val="595959" w:themeColor="text1" w:themeTint="A6"/>
      <w:sz w:val="30"/>
      <w:szCs w:val="30"/>
      <w:lang w:eastAsia="ja-JP"/>
    </w:rPr>
  </w:style>
  <w:style w:type="paragraph" w:customStyle="1" w:styleId="FootnotesymbolCharCharCharChar">
    <w:name w:val="Footnote symbol Char Char Char Char"/>
    <w:aliases w:val="Voetnootverwijzing Char Char Char Char,Times 10 Point Char Char Char Char,Exposant 3 Point Char Char Char Char,Footnote Reference Superscript Char Char Char Cha"/>
    <w:basedOn w:val="Normal"/>
    <w:uiPriority w:val="99"/>
    <w:pPr>
      <w:spacing w:after="160" w:line="240" w:lineRule="exact"/>
    </w:pPr>
    <w:rPr>
      <w:vertAlign w:val="superscript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Theme="minorEastAsia"/>
      <w:lang w:eastAsia="zh-CN"/>
    </w:rPr>
  </w:style>
  <w:style w:type="paragraph" w:customStyle="1" w:styleId="FootnoteReferenceSuperscriptZchn">
    <w:name w:val="Footnote Reference Superscript Zchn"/>
    <w:aliases w:val="BVI fnr Zchn, BVI fnr Zchn,Footnote symbol Zchn,Footnote reference number Zchn,note TESI Zchn,Appel note de bas de p Zchn,Nota Zchn,SUPERS Zchn,Footnote number Zchn,EN Footnote Reference Zchn"/>
    <w:basedOn w:val="Normal"/>
    <w:uiPriority w:val="99"/>
    <w:pPr>
      <w:spacing w:after="160" w:line="240" w:lineRule="exact"/>
      <w:jc w:val="both"/>
    </w:pPr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5Normal">
    <w:name w:val="5 Normal"/>
    <w:basedOn w:val="Normal"/>
    <w:link w:val="5NormalChar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ind w:right="57"/>
      <w:jc w:val="both"/>
    </w:pPr>
    <w:rPr>
      <w:rFonts w:ascii="Verdana" w:eastAsia="Times New Roman" w:hAnsi="Verdana" w:cs="Times New Roman"/>
      <w:spacing w:val="-2"/>
      <w:sz w:val="20"/>
      <w:szCs w:val="24"/>
      <w:lang w:eastAsia="en-GB"/>
    </w:rPr>
  </w:style>
  <w:style w:type="character" w:customStyle="1" w:styleId="5NormalChar">
    <w:name w:val="5 Normal Char"/>
    <w:link w:val="5Normal"/>
    <w:locked/>
    <w:rPr>
      <w:rFonts w:ascii="Verdana" w:eastAsia="Times New Roman" w:hAnsi="Verdana" w:cs="Times New Roman"/>
      <w:spacing w:val="-2"/>
      <w:sz w:val="20"/>
      <w:szCs w:val="24"/>
      <w:lang w:eastAsia="en-GB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ListParagraphChar">
    <w:name w:val="List Paragraph Char"/>
    <w:aliases w:val="Normal bullet 2 Char,Bullet list Char,Numbered List Char,List Paragraph1 Char,1st level - Bullet List Paragraph Char,Lettre d'introduction Char,Paragrafo elenco Char,Fiche List Paragraph Char,Task Body Char,3 Txt tabla Char"/>
    <w:basedOn w:val="DefaultParagraphFont"/>
    <w:link w:val="ListParagraph"/>
    <w:uiPriority w:val="34"/>
    <w:qFormat/>
    <w:rPr>
      <w:rFonts w:eastAsiaTheme="minorEastAsia"/>
      <w:lang w:eastAsia="zh-CN"/>
    </w:rPr>
  </w:style>
  <w:style w:type="paragraph" w:styleId="BodyText3">
    <w:name w:val="Body Text 3"/>
    <w:basedOn w:val="Normal"/>
    <w:link w:val="BodyText3Char"/>
    <w:uiPriority w:val="99"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eastAsiaTheme="minorEastAsia"/>
      <w:sz w:val="16"/>
      <w:szCs w:val="16"/>
      <w:lang w:eastAsia="zh-CN"/>
    </w:rPr>
  </w:style>
  <w:style w:type="character" w:customStyle="1" w:styleId="st1">
    <w:name w:val="st1"/>
    <w:basedOn w:val="DefaultParagraphFont"/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eastAsiaTheme="minorHAnsi" w:hAnsi="Times New Roman" w:cs="Times New Roman"/>
      <w:sz w:val="28"/>
      <w:lang w:eastAsia="en-US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eastAsiaTheme="minorHAnsi" w:hAnsi="Times New Roman" w:cs="Times New Roman"/>
      <w:i/>
      <w:sz w:val="28"/>
      <w:lang w:eastAsia="en-US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eastAsiaTheme="minorHAnsi" w:hAnsi="Times New Roman" w:cs="Times New Roman"/>
      <w:i/>
      <w:sz w:val="28"/>
      <w:lang w:eastAsia="en-US"/>
    </w:rPr>
  </w:style>
  <w:style w:type="paragraph" w:customStyle="1" w:styleId="HeaderSensitivityRight">
    <w:name w:val="Header Sensitivity Right"/>
    <w:basedOn w:val="Normal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Nessuno">
    <w:name w:val="Nessuno"/>
    <w:rPr>
      <w:lang w:val="mt-MT"/>
    </w:rPr>
  </w:style>
  <w:style w:type="paragraph" w:customStyle="1" w:styleId="Char1">
    <w:name w:val="Char1"/>
    <w:aliases w:val="(NECG) Footnote Reference,fr,o,Style 6,Signature Ch"/>
    <w:basedOn w:val="Normal"/>
    <w:uiPriority w:val="99"/>
    <w:pPr>
      <w:spacing w:before="120" w:after="160" w:line="240" w:lineRule="exact"/>
      <w:jc w:val="both"/>
    </w:pPr>
    <w:rPr>
      <w:vertAlign w:val="superscript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28">
    <w:name w:val="s28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LegalNumPar">
    <w:name w:val="LegalNumPar"/>
    <w:basedOn w:val="Normal"/>
    <w:pPr>
      <w:spacing w:line="360" w:lineRule="auto"/>
      <w:ind w:left="717" w:hanging="360"/>
    </w:pPr>
    <w:rPr>
      <w:sz w:val="24"/>
    </w:rPr>
  </w:style>
  <w:style w:type="paragraph" w:customStyle="1" w:styleId="LegalNumPar2">
    <w:name w:val="LegalNumPar2"/>
    <w:basedOn w:val="Normal"/>
    <w:pPr>
      <w:spacing w:line="360" w:lineRule="auto"/>
      <w:ind w:left="1437" w:hanging="360"/>
    </w:pPr>
    <w:rPr>
      <w:sz w:val="24"/>
    </w:rPr>
  </w:style>
  <w:style w:type="paragraph" w:customStyle="1" w:styleId="LegalNumPar3">
    <w:name w:val="LegalNumPar3"/>
    <w:basedOn w:val="Normal"/>
    <w:pPr>
      <w:spacing w:line="360" w:lineRule="auto"/>
      <w:ind w:left="2157" w:hanging="180"/>
    </w:pPr>
    <w:rPr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Lucida Grande" w:eastAsiaTheme="minorEastAsia" w:hAnsi="Lucida Grande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4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nerdata.net/publications/executive-briefing/expected-world-energy-consumption-increase-from-digitalization.html" TargetMode="External"/><Relationship Id="rId2" Type="http://schemas.openxmlformats.org/officeDocument/2006/relationships/hyperlink" Target="https://www.un.org/sustainabledevelopment/sustainable-development-goals/" TargetMode="External"/><Relationship Id="rId1" Type="http://schemas.openxmlformats.org/officeDocument/2006/relationships/hyperlink" Target="https://ec.europa.eu/info/sites/info/files/european-green-deal-communication_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B785150-D407-4DF9-A03E-77C583ADC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17</Pages>
  <Words>4490</Words>
  <Characters>32512</Characters>
  <Application>Microsoft Office Word</Application>
  <DocSecurity>0</DocSecurity>
  <Lines>516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DIGIT/C6</cp:lastModifiedBy>
  <cp:revision>22</cp:revision>
  <dcterms:created xsi:type="dcterms:W3CDTF">2020-02-20T13:30:00Z</dcterms:created>
  <dcterms:modified xsi:type="dcterms:W3CDTF">2020-02-28T07:46:00Z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Part">
    <vt:lpwstr>1</vt:lpwstr>
  </property>
  <property fmtid="{D5CDD505-2E9C-101B-9397-08002B2CF9AE}" pid="4" name="Total parts">
    <vt:lpwstr>1</vt:lpwstr>
  </property>
  <property fmtid="{D5CDD505-2E9C-101B-9397-08002B2CF9AE}" pid="5" name="DocStatus">
    <vt:lpwstr>Green</vt:lpwstr>
  </property>
  <property fmtid="{D5CDD505-2E9C-101B-9397-08002B2CF9AE}" pid="6" name="CPTemplateID">
    <vt:lpwstr>CP-014</vt:lpwstr>
  </property>
  <property fmtid="{D5CDD505-2E9C-101B-9397-08002B2CF9AE}" pid="7" name="Last edited using">
    <vt:lpwstr>LW 7.0, Build 20190717</vt:lpwstr>
  </property>
  <property fmtid="{D5CDD505-2E9C-101B-9397-08002B2CF9AE}" pid="8" name="Created using">
    <vt:lpwstr>LW 7.0, Build 20190717</vt:lpwstr>
  </property>
</Properties>
</file>