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24510" w14:textId="4773A435" w:rsidR="00DB139D" w:rsidRPr="005A19B7" w:rsidRDefault="00944145" w:rsidP="00944145">
      <w:pPr>
        <w:pStyle w:val="Pagedecouverture"/>
        <w:rPr>
          <w:noProof/>
        </w:rPr>
      </w:pPr>
      <w:r>
        <w:rPr>
          <w:noProof/>
        </w:rPr>
        <w:pict w14:anchorId="33B82E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alt="B2704C99-B074-43AD-9E08-AA4BAC45FAEE" style="width:455.25pt;height:414pt">
            <v:imagedata r:id="rId11" o:title=""/>
          </v:shape>
        </w:pict>
      </w:r>
    </w:p>
    <w:p w14:paraId="27105C31" w14:textId="77777777" w:rsidR="00DB139D" w:rsidRPr="005A19B7" w:rsidRDefault="00DB139D" w:rsidP="00DB139D">
      <w:pPr>
        <w:rPr>
          <w:noProof/>
        </w:rPr>
        <w:sectPr w:rsidR="00DB139D" w:rsidRPr="005A19B7" w:rsidSect="00944145">
          <w:footerReference w:type="default" r:id="rId12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14:paraId="39AD946D" w14:textId="77777777" w:rsidR="00DB139D" w:rsidRPr="005A19B7" w:rsidRDefault="00DB139D" w:rsidP="00825B19">
      <w:pPr>
        <w:pStyle w:val="Exposdesmotifstitre"/>
        <w:rPr>
          <w:noProof/>
        </w:rPr>
      </w:pPr>
      <w:bookmarkStart w:id="0" w:name="_GoBack"/>
      <w:bookmarkEnd w:id="0"/>
      <w:r w:rsidRPr="005A19B7">
        <w:rPr>
          <w:noProof/>
        </w:rPr>
        <w:lastRenderedPageBreak/>
        <w:t>MEMORANDUM TA’ SPJEGAZZJONI</w:t>
      </w:r>
    </w:p>
    <w:p w14:paraId="5323DE28" w14:textId="77777777" w:rsidR="00D44D4F" w:rsidRPr="005A19B7" w:rsidRDefault="00D44D4F" w:rsidP="001C5834">
      <w:pPr>
        <w:rPr>
          <w:noProof/>
        </w:rPr>
      </w:pPr>
    </w:p>
    <w:p w14:paraId="220E8617" w14:textId="77777777" w:rsidR="00A73103" w:rsidRPr="005A19B7" w:rsidRDefault="00A73103" w:rsidP="00A73103">
      <w:pPr>
        <w:pStyle w:val="ManualHeading1"/>
        <w:rPr>
          <w:noProof/>
        </w:rPr>
      </w:pPr>
      <w:r w:rsidRPr="005A19B7">
        <w:rPr>
          <w:noProof/>
        </w:rPr>
        <w:t>1.</w:t>
      </w:r>
      <w:r w:rsidRPr="005A19B7">
        <w:rPr>
          <w:noProof/>
        </w:rPr>
        <w:tab/>
        <w:t>KUNTEST TAL-PROPOSTA</w:t>
      </w:r>
    </w:p>
    <w:p w14:paraId="223AE6DD" w14:textId="77777777" w:rsidR="00A73103" w:rsidRPr="005A19B7" w:rsidRDefault="00A73103" w:rsidP="00A73103">
      <w:pPr>
        <w:pStyle w:val="ManualHeading2"/>
        <w:rPr>
          <w:rFonts w:eastAsia="Arial Unicode MS"/>
          <w:noProof/>
        </w:rPr>
      </w:pPr>
      <w:r w:rsidRPr="005A19B7">
        <w:rPr>
          <w:noProof/>
          <w:color w:val="000000"/>
          <w:bdr w:val="none" w:sz="0" w:space="0" w:color="auto" w:frame="1"/>
        </w:rPr>
        <w:t>•</w:t>
      </w:r>
      <w:r w:rsidRPr="005A19B7">
        <w:rPr>
          <w:noProof/>
        </w:rPr>
        <w:tab/>
        <w:t>Raġunijiet u objettivi tal-proposta</w:t>
      </w:r>
    </w:p>
    <w:p w14:paraId="48B78334" w14:textId="77777777" w:rsidR="008503A4" w:rsidRPr="005A19B7" w:rsidRDefault="008503A4" w:rsidP="008503A4">
      <w:pPr>
        <w:rPr>
          <w:noProof/>
        </w:rPr>
      </w:pPr>
      <w:r w:rsidRPr="005A19B7">
        <w:rPr>
          <w:noProof/>
        </w:rPr>
        <w:t>L-organizzazzjonijiet Ewropej tal-istandardizzazzjoni (ESOs) huma organizzazzjonijiet privati, li għandhom rwol speċjali fi ħdan is-sistema Ewropea tal-istandardizzazzjoni. Kif stabbilit fir-Regolament (UE) Nru 1025/2012 tal-Parlament Ewropew u tal-Kunsill tal-25 ta’ Ottubru 2012</w:t>
      </w:r>
      <w:r w:rsidRPr="005A19B7">
        <w:rPr>
          <w:rStyle w:val="FootnoteReference"/>
          <w:noProof/>
        </w:rPr>
        <w:footnoteReference w:id="2"/>
      </w:r>
      <w:r w:rsidRPr="005A19B7">
        <w:rPr>
          <w:noProof/>
        </w:rPr>
        <w:t xml:space="preserve">, l-istandardizzazzjoni Ewropea hija organizzata mill-partijiet ikkonċernati u għalihom, abbażi tar-rappreżentanza nazzjonali (fil-Kumitat Ewropew għall-Istandardizzazzjoni, is-CEN, u fil-Kumitat Ewropew għall-Istandardizzazzjoni Elettroteknika, is-CENELEC) u l-parteċipazzjoni diretta tal-membri (fl-Istitut Ewropew tal-Istandards tat-Telekomunikazzjoni, l-ETSI). Meta ssir talba għall-istandardizzazzjoni mill-Kummissjoni, l-organizzazzjonijiet Ewropej tal-istandardizzazzjoni (kif definiti fir-Regolament (UE) Nru 1025/2012) huma l-uniċi korpi li jistgħu joħorġu standards u strumenti ta’ standardizzazzjoni. Huma jagħmlu dan f’konformità mal-proċeduri speċifiċi stabbiliti fl-Artikolu 10 tar-Regolament (UE) Nru 1025/2012 tar-“Regolament dwar l-Istandardizzazzjoni”. Ir-Regolament dwar l-Istandardizzazzjoni jipprevedi wkoll li l-Unjoni Ewropea tista’ tappoġġa finanzjarjament lill-organizzazzjonijiet Ewropej tal-istandardizzazzjoni. </w:t>
      </w:r>
    </w:p>
    <w:p w14:paraId="43313057" w14:textId="77777777" w:rsidR="008503A4" w:rsidRPr="005A19B7" w:rsidRDefault="008503A4" w:rsidP="008503A4">
      <w:pPr>
        <w:rPr>
          <w:noProof/>
        </w:rPr>
      </w:pPr>
      <w:r w:rsidRPr="005A19B7">
        <w:rPr>
          <w:noProof/>
        </w:rPr>
        <w:t xml:space="preserve">L-organizzazzjonijiet Ewropej tal-istandardizzazzjoni huma definiti fil-punt 8 tal-Artikolu 2 u fl-Anness I tar-Regolament dwar l-Istandardizzazzjoni. Hemm tliet organizzazzjonijiet Ewropej tal-istandardizzazzjoni: is-CEN, is-CENELEC u l-ETSI. Dawn għandhom rwol esklużiv li jwettqu ħidma ta’ standardizzazzjoni mitluba mill-Kummissjoni b’appoġġ għal-leġiżlazzjoni u għall-politiki tal-UE. </w:t>
      </w:r>
    </w:p>
    <w:p w14:paraId="51185A43" w14:textId="77777777" w:rsidR="00A73103" w:rsidRPr="005A19B7" w:rsidRDefault="00A73103" w:rsidP="00A73103">
      <w:pPr>
        <w:rPr>
          <w:noProof/>
        </w:rPr>
      </w:pPr>
      <w:r w:rsidRPr="005A19B7">
        <w:rPr>
          <w:noProof/>
        </w:rPr>
        <w:t xml:space="preserve">Dan huwa prinċipalment minħabba raġunijiet storiċi. Fis-snin 80, meta ġew stabbiliti l-organizzazzjonijiet attwali Ewropej tal-istandardizzazzjoni u meta ġie stabbilit ir-rwol tagħhom fl-implimentazzjoni tal-istandards, is-sistema kienet iċċentrata l-aktar fuq il-partijiet ikkonċernati tal-Unjoni Ewropea. </w:t>
      </w:r>
    </w:p>
    <w:p w14:paraId="2E4BA252" w14:textId="77777777" w:rsidR="008503A4" w:rsidRPr="005A19B7" w:rsidRDefault="008503A4" w:rsidP="008503A4">
      <w:pPr>
        <w:rPr>
          <w:noProof/>
        </w:rPr>
      </w:pPr>
      <w:r w:rsidRPr="005A19B7">
        <w:rPr>
          <w:noProof/>
        </w:rPr>
        <w:t>Illum, is-sitwazzjoni hija differenti u l-governanza interna tal-ESO, flimkien mal-proċeduri tat-teħid tad-deċiżjonijiet u l-istruttura tas-sħubija tagħhom, għaddew minn bidliet multipli. L-organizzazzjonijiet Ewropej tal-istandardizzazzjoni issa jikkooperaw ma’ firxa wiesgħa ta’ partijiet ikkonċernati, inkluż minn pajjiżi terzi, u jippermettulhom jipparteċipaw mhux biss fil-ħidma teknika iżda wkoll fil-politika interna u fit-teħid ta’ deċiżjonijiet tagħhom. Kooperazzjoni bħal din hija apprezzata; madanakollu, meta l-organizzazzjonijiet Ewropej tal-istandardizzazzjoni jkunu meħtieġa jiffukaw fuq l-appoġġ tal-leġiżlazzjoni u tal-politiki tal-UE, huma meħtieġa salvagwardji sabiex tiġi żgurata proċedura b’saħħitha u rappreżentanza bbilanċjata tal-interessi tal-partijiet ikkonċernati, f’konformità mal-prijoritajiet strateġiċi u mal-ħtiġijiet leġiżlattivi. B’mod partikolari, dan japplika għad-deċiżjonijiet interni għall-iżvilupp ta’ standards u ta’ strumenti ta’ standardizzazzjoni, kif mitlub mill-Kummissjoni abbażi tal-Artikolu 10(1) tar-Regolament dwar l-Istandardizzazzjoni. Dawn id-deċiżjonijiet interni jistgħu jkopru kwistjonijiet bħad-deċiżjonijiet dwar l-aċċettazzjoni ta’ talbiet ta’ standardizzazzjoni, dwar l-aċċettazzjoni ta’ punti ġodda fl-aġenda ta’ ħidma, u dwar l-adozzjoni, ir-reviżjoni jew l-irtirar ta’ strumenti ta’ standardizzazzjoni Ewropea. F’dawn il-każijiet, b’mod partikolari meta l-organizzazzjonijiet Ewropej tal-istandardizzazzjoni jappoġġaw l-applikazzjoni tal-leġiżlazzjoni tal-UE u jiżviluppaw standards li huma kruċjali għall-pubbliku ġenerali tal-UE u għall-kumpaniji, il-governanza interna tal-organizzazzjonijiet Ewropej tal-istandardizzazzjoni trid tqis, kif xieraq, il-fehmiet tal-partijiet ikkonċernati Ewropej kollha (inkluż l-intrapriżi żgħar u ta’ daqs medju u l-organizzazzjonijiet tas-soċjetà ċivili). Dan huwa saħansitra aktar pertinenti meta wieħed iqis li xi organizzazzjonijiet Ewropej tal-istandardizzazzjoni, huma prinċipalment magħmula minn operaturi ekonomiċi li għandhom id-drittijiet tal-vot, u l-parteċipazzjoni tal-organizzazzjonijiet tas-soċjetà ċivili u tal-awtoritajiet pubbliċi hija limitata f’xi każijiet.</w:t>
      </w:r>
    </w:p>
    <w:p w14:paraId="269EDF6F" w14:textId="77777777" w:rsidR="008503A4" w:rsidRPr="005A19B7" w:rsidRDefault="008503A4" w:rsidP="008503A4">
      <w:pPr>
        <w:rPr>
          <w:b/>
          <w:noProof/>
          <w:szCs w:val="20"/>
        </w:rPr>
      </w:pPr>
      <w:r w:rsidRPr="005A19B7">
        <w:rPr>
          <w:noProof/>
        </w:rPr>
        <w:t xml:space="preserve">Għalhekk hija meħtieġa kjarifika akbar sabiex jiġi żgurat li l-proċess intern kollu tat-teħid tad-deċiżjonijiet fil-ħruġ ta’ standards u ta’ strumenti ta' standardizzazzjoni, mitlub mill-Kummissjoni abbażi tal-Artikolu 10(1) tar-Regolament dwar l-Istandardizzazzjoni, jikkonforma ma’ dak li l-istituzzjonijiet tal-UE jistennew minn korp li jiżviluppa l-istandards, rikonoxxut uffiċjalment bħala organizzazzjoni Ewropea tal-istandards. </w:t>
      </w:r>
    </w:p>
    <w:p w14:paraId="37EE6F47" w14:textId="77777777" w:rsidR="008503A4" w:rsidRPr="005A19B7" w:rsidRDefault="008503A4" w:rsidP="008503A4">
      <w:pPr>
        <w:spacing w:before="0" w:after="240"/>
        <w:rPr>
          <w:rFonts w:eastAsia="Arial Unicode MS"/>
          <w:noProof/>
        </w:rPr>
      </w:pPr>
      <w:r w:rsidRPr="005A19B7">
        <w:rPr>
          <w:noProof/>
        </w:rPr>
        <w:t>Il-ħtieġa ta’ ċerta rappreżentanza u setgħa ta’ teħid ta’ deċiżjonijiet tal-korpi nazzjonali tal-istandardizzazzjoni fir-rigward tal-istandards mitluba mill-Kummissjoni, tistabbilixxi kontrokontrolli suffiċjenti sabiex tiġi żgurata l-konsistenza mal-leġiżlazzjoni u l-politiki tal-UE.</w:t>
      </w:r>
    </w:p>
    <w:p w14:paraId="512FDB59" w14:textId="77777777" w:rsidR="00A73103" w:rsidRPr="005A19B7" w:rsidRDefault="00A73103" w:rsidP="00A73103">
      <w:pPr>
        <w:pStyle w:val="ManualHeading2"/>
        <w:rPr>
          <w:noProof/>
          <w:color w:val="000000"/>
          <w:bdr w:val="none" w:sz="0" w:space="0" w:color="auto" w:frame="1"/>
        </w:rPr>
      </w:pPr>
      <w:r w:rsidRPr="005A19B7">
        <w:rPr>
          <w:noProof/>
          <w:color w:val="000000"/>
          <w:bdr w:val="none" w:sz="0" w:space="0" w:color="auto" w:frame="1"/>
        </w:rPr>
        <w:t>•</w:t>
      </w:r>
      <w:r w:rsidRPr="005A19B7">
        <w:rPr>
          <w:noProof/>
        </w:rPr>
        <w:tab/>
        <w:t>Konsistenza mad-dispożizzjonijiet eżistenti fil-qasam ta’ politika</w:t>
      </w:r>
    </w:p>
    <w:p w14:paraId="33FEB608" w14:textId="77777777" w:rsidR="008503A4" w:rsidRPr="005A19B7" w:rsidRDefault="008503A4" w:rsidP="008503A4">
      <w:pPr>
        <w:rPr>
          <w:noProof/>
          <w:szCs w:val="24"/>
        </w:rPr>
      </w:pPr>
      <w:r w:rsidRPr="005A19B7">
        <w:rPr>
          <w:noProof/>
        </w:rPr>
        <w:t>Il-Kummissjoni ħabbret li kienet se tipproponi emenda għar-Regolament (UE) Nru 1025/2012 fl-inizjattiva tagħha ta’ Aġġornament tal-</w:t>
      </w:r>
      <w:r w:rsidRPr="005A19B7">
        <w:rPr>
          <w:i/>
          <w:iCs/>
          <w:noProof/>
        </w:rPr>
        <w:t>istrateġija</w:t>
      </w:r>
      <w:r w:rsidRPr="005A19B7">
        <w:rPr>
          <w:noProof/>
        </w:rPr>
        <w:t xml:space="preserve"> </w:t>
      </w:r>
      <w:r w:rsidRPr="005A19B7">
        <w:rPr>
          <w:i/>
          <w:iCs/>
          <w:noProof/>
        </w:rPr>
        <w:t>industrijali l-ġdida</w:t>
      </w:r>
      <w:r w:rsidRPr="005A19B7">
        <w:rPr>
          <w:noProof/>
        </w:rPr>
        <w:t xml:space="preserve"> tal-2020 (COM(2021)350)</w:t>
      </w:r>
      <w:r w:rsidRPr="005A19B7">
        <w:rPr>
          <w:rStyle w:val="FootnoteReference"/>
          <w:noProof/>
          <w:szCs w:val="24"/>
        </w:rPr>
        <w:footnoteReference w:id="3"/>
      </w:r>
      <w:r w:rsidRPr="005A19B7">
        <w:rPr>
          <w:noProof/>
        </w:rPr>
        <w:t xml:space="preserve"> flimkien ma’</w:t>
      </w:r>
      <w:r w:rsidRPr="005A19B7">
        <w:rPr>
          <w:rStyle w:val="Hyperlink"/>
          <w:noProof/>
          <w:szCs w:val="24"/>
          <w:u w:val="none"/>
        </w:rPr>
        <w:t xml:space="preserve"> </w:t>
      </w:r>
      <w:r w:rsidRPr="005A19B7">
        <w:rPr>
          <w:noProof/>
        </w:rPr>
        <w:t>strateġija ta’ standardizzazzjoni, li hija ppreżentata flimkien ma’ din il-proposta.</w:t>
      </w:r>
    </w:p>
    <w:p w14:paraId="4D9A1C6F" w14:textId="77777777" w:rsidR="00A73103" w:rsidRPr="005A19B7" w:rsidRDefault="00A73103" w:rsidP="00A73103">
      <w:pPr>
        <w:pStyle w:val="ManualHeading2"/>
        <w:rPr>
          <w:rFonts w:eastAsia="Arial Unicode MS"/>
          <w:noProof/>
        </w:rPr>
      </w:pPr>
      <w:r w:rsidRPr="005A19B7">
        <w:rPr>
          <w:noProof/>
          <w:color w:val="000000"/>
          <w:bdr w:val="none" w:sz="0" w:space="0" w:color="auto" w:frame="1"/>
        </w:rPr>
        <w:t>•</w:t>
      </w:r>
      <w:r w:rsidRPr="005A19B7">
        <w:rPr>
          <w:noProof/>
        </w:rPr>
        <w:tab/>
        <w:t>Konsistenza ma’ politiki oħra tal-Unjoni</w:t>
      </w:r>
    </w:p>
    <w:p w14:paraId="2C41ABC3" w14:textId="77777777" w:rsidR="00A73103" w:rsidRPr="005A19B7" w:rsidRDefault="00A73103" w:rsidP="00A73103">
      <w:pPr>
        <w:spacing w:before="0" w:after="240"/>
        <w:rPr>
          <w:rFonts w:eastAsia="Arial Unicode MS"/>
          <w:noProof/>
        </w:rPr>
      </w:pPr>
      <w:r w:rsidRPr="005A19B7">
        <w:rPr>
          <w:noProof/>
        </w:rPr>
        <w:t>L-emenda leġiżlattiva proposta hija konformi mal-importanza politika tal-istandards, kif enfasizzat f’inizjattivi ewlenin oħra tal-Kummissjoni, bħal Insawru l-futur diġitali tal-Ewropa (COM(2020)67</w:t>
      </w:r>
      <w:r w:rsidRPr="005A19B7">
        <w:rPr>
          <w:rStyle w:val="FootnoteReference"/>
          <w:noProof/>
          <w:szCs w:val="24"/>
        </w:rPr>
        <w:footnoteReference w:id="4"/>
      </w:r>
      <w:r w:rsidRPr="005A19B7">
        <w:rPr>
          <w:noProof/>
        </w:rPr>
        <w:t>), il-Portal Globali (JOIN(2021)30</w:t>
      </w:r>
      <w:r w:rsidRPr="005A19B7">
        <w:rPr>
          <w:rStyle w:val="FootnoteReference"/>
          <w:noProof/>
          <w:szCs w:val="24"/>
        </w:rPr>
        <w:footnoteReference w:id="5"/>
      </w:r>
      <w:r w:rsidRPr="005A19B7">
        <w:rPr>
          <w:noProof/>
        </w:rPr>
        <w:t>), jew id-dikjarazzjoni tal-Kunsill li jilqa’ “l-intenzjoni tal-Kummissjoni li tiżviluppa strateġija għall-istandardizzazzjoni sabiex tissaħħaħ is-sistema Ewropea ta’ standardizzazzjoni u l-governanza tagħha” (il-konklużjonijiet tal-Kunsill tad-9 ta’ Ġunju 2020</w:t>
      </w:r>
      <w:r w:rsidRPr="005A19B7">
        <w:rPr>
          <w:rStyle w:val="FootnoteReference"/>
          <w:noProof/>
          <w:szCs w:val="24"/>
        </w:rPr>
        <w:footnoteReference w:id="6"/>
      </w:r>
      <w:r w:rsidRPr="005A19B7">
        <w:rPr>
          <w:noProof/>
        </w:rPr>
        <w:t>).</w:t>
      </w:r>
    </w:p>
    <w:p w14:paraId="6E671EB8" w14:textId="77777777" w:rsidR="00A73103" w:rsidRPr="005A19B7" w:rsidRDefault="00A73103" w:rsidP="00A73103">
      <w:pPr>
        <w:pStyle w:val="ManualHeading1"/>
        <w:rPr>
          <w:noProof/>
        </w:rPr>
      </w:pPr>
      <w:r w:rsidRPr="005A19B7">
        <w:rPr>
          <w:noProof/>
        </w:rPr>
        <w:t>2.</w:t>
      </w:r>
      <w:r w:rsidRPr="005A19B7">
        <w:rPr>
          <w:noProof/>
        </w:rPr>
        <w:tab/>
        <w:t>BAŻI ĠURIDIKA, SUSSIDJARJETÀ U PROPORZJONALITÀ</w:t>
      </w:r>
    </w:p>
    <w:p w14:paraId="0512729B" w14:textId="77777777" w:rsidR="00A73103" w:rsidRPr="005A19B7" w:rsidRDefault="00A73103" w:rsidP="00A73103">
      <w:pPr>
        <w:pStyle w:val="ManualHeading2"/>
        <w:rPr>
          <w:noProof/>
          <w:bdr w:val="none" w:sz="0" w:space="0" w:color="auto" w:frame="1"/>
        </w:rPr>
      </w:pPr>
      <w:r w:rsidRPr="005A19B7">
        <w:rPr>
          <w:noProof/>
          <w:bdr w:val="none" w:sz="0" w:space="0" w:color="auto" w:frame="1"/>
        </w:rPr>
        <w:t>•</w:t>
      </w:r>
      <w:r w:rsidRPr="005A19B7">
        <w:rPr>
          <w:noProof/>
        </w:rPr>
        <w:tab/>
      </w:r>
      <w:r w:rsidRPr="005A19B7">
        <w:rPr>
          <w:noProof/>
          <w:bdr w:val="none" w:sz="0" w:space="0" w:color="auto" w:frame="1"/>
        </w:rPr>
        <w:t>Bażi ġuridika</w:t>
      </w:r>
    </w:p>
    <w:p w14:paraId="2FC35E3B" w14:textId="77777777" w:rsidR="00A73103" w:rsidRPr="005A19B7" w:rsidRDefault="00A73103" w:rsidP="00A73103">
      <w:pPr>
        <w:spacing w:before="0" w:after="240"/>
        <w:rPr>
          <w:rFonts w:eastAsia="Arial Unicode MS"/>
          <w:noProof/>
        </w:rPr>
      </w:pPr>
      <w:r w:rsidRPr="005A19B7">
        <w:rPr>
          <w:noProof/>
        </w:rPr>
        <w:t>Il-bażi ġuridika għall-inizjattiva hija l-Artikolu 114 tat-Trattat dwar il-Funzjonament tal-Unjoni Ewropea.</w:t>
      </w:r>
    </w:p>
    <w:p w14:paraId="7502C091" w14:textId="77777777" w:rsidR="00A73103" w:rsidRPr="005A19B7" w:rsidRDefault="00A73103" w:rsidP="00A73103">
      <w:pPr>
        <w:pStyle w:val="ManualHeading2"/>
        <w:rPr>
          <w:noProof/>
          <w:bdr w:val="none" w:sz="0" w:space="0" w:color="auto" w:frame="1"/>
        </w:rPr>
      </w:pPr>
      <w:r w:rsidRPr="005A19B7">
        <w:rPr>
          <w:noProof/>
          <w:bdr w:val="none" w:sz="0" w:space="0" w:color="auto" w:frame="1"/>
        </w:rPr>
        <w:t>•</w:t>
      </w:r>
      <w:r w:rsidRPr="005A19B7">
        <w:rPr>
          <w:noProof/>
        </w:rPr>
        <w:tab/>
      </w:r>
      <w:r w:rsidRPr="005A19B7">
        <w:rPr>
          <w:noProof/>
          <w:bdr w:val="none" w:sz="0" w:space="0" w:color="auto" w:frame="1"/>
        </w:rPr>
        <w:t xml:space="preserve">Sussidjarjetà (għal azzjoni fejn l-ESOs ma għandhomx kompetenza esklużiva) </w:t>
      </w:r>
    </w:p>
    <w:p w14:paraId="05A2714B" w14:textId="77777777" w:rsidR="008503A4" w:rsidRPr="005A19B7" w:rsidRDefault="008503A4" w:rsidP="008503A4">
      <w:pPr>
        <w:spacing w:before="0" w:after="240"/>
        <w:rPr>
          <w:rFonts w:eastAsia="Arial Unicode MS"/>
          <w:noProof/>
        </w:rPr>
      </w:pPr>
      <w:r w:rsidRPr="005A19B7">
        <w:rPr>
          <w:noProof/>
        </w:rPr>
        <w:t>Il-kwistjoni tas-sussidjarjetà ma hijiex kwistjoni. Din l-inizjattiva għandha temenda Regolament tal-UE li jirregola s-sistema Ewropea tal-istandardizzazzjoni. Hija għandha l-għan speċifiku li tissalvagwardja l-prinċipji ta’ governanza tajba fit-twettiq tal-istandards mitluba mill-Kummissjoni skont l-Artikolu 10(1) tar-Regolament dwar l-Istandardizzazzjoni. Din l-inizjattiva se ssaħħaħ ir-rwol tar-rappreżentanti nazzjonali (jiġifieri l-korpi nazzjonali tal-istandardizzazzjoni) fis-sistema.</w:t>
      </w:r>
    </w:p>
    <w:p w14:paraId="43E0EC0A" w14:textId="77777777" w:rsidR="00DB139D" w:rsidRPr="005A19B7" w:rsidRDefault="00DB139D" w:rsidP="00825B19">
      <w:pPr>
        <w:pStyle w:val="ManualHeading2"/>
        <w:rPr>
          <w:rFonts w:eastAsia="Arial Unicode MS"/>
          <w:noProof/>
          <w:u w:color="000000"/>
          <w:bdr w:val="nil"/>
        </w:rPr>
      </w:pPr>
      <w:r w:rsidRPr="005A19B7">
        <w:rPr>
          <w:noProof/>
          <w:u w:color="000000"/>
          <w:bdr w:val="nil"/>
        </w:rPr>
        <w:t>•</w:t>
      </w:r>
      <w:r w:rsidRPr="005A19B7">
        <w:rPr>
          <w:noProof/>
        </w:rPr>
        <w:tab/>
      </w:r>
      <w:r w:rsidRPr="005A19B7">
        <w:rPr>
          <w:noProof/>
          <w:u w:color="000000"/>
          <w:bdr w:val="nil"/>
        </w:rPr>
        <w:t>Proporzjonalità</w:t>
      </w:r>
    </w:p>
    <w:p w14:paraId="26CC1267" w14:textId="77777777" w:rsidR="001C5834" w:rsidRPr="005A19B7" w:rsidRDefault="000170F1" w:rsidP="00825B19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 w:rsidRPr="005A19B7">
        <w:rPr>
          <w:noProof/>
        </w:rPr>
        <w:t xml:space="preserve">L-emenda proposta għar-Regolament (UE) Nru 1025/2012 hija limitata ħafna u mmirata lejn il-ħidma tal-organizzazzjonijiet Ewropej tal-istandardizzazzjoni wara talba mill-Kummissjoni. Dawn it-talbiet isegwu mandat ta’ politika pubblika u, għalhekk, huwa importanti li jiġu żgurati prinċipji ta’ governanza tajba f’konformità mat-teħid ta’ deċiżjonijiet tal-UE. Il-proposta tikkonforma mal-prinċipju tal-proporzjonalità minħabba li ma tmurx lil hinn minn dak li huwa meħtieġ sabiex jintlaħqu l-objettivi li jiżguraw li r-rappreżentanza/il-parteċipazzjoni nazzjonali għall-iżvilupp ta' standards Ewropej u ta’ strumenti ta’ standardizzazzjoni, abbażi ta’ talba skont l-Artikolu 10 tar-Regolament (UE) Nru 1025/2012, tkun garantita f’kull stadju tal-proċess. </w:t>
      </w:r>
    </w:p>
    <w:p w14:paraId="7DEAB9EE" w14:textId="77777777" w:rsidR="00DB139D" w:rsidRPr="005A19B7" w:rsidRDefault="00DB139D" w:rsidP="00825B19">
      <w:pPr>
        <w:pStyle w:val="ManualHeading2"/>
        <w:rPr>
          <w:rFonts w:eastAsia="Arial Unicode MS"/>
          <w:noProof/>
          <w:u w:color="000000"/>
          <w:bdr w:val="nil"/>
        </w:rPr>
      </w:pPr>
      <w:r w:rsidRPr="005A19B7">
        <w:rPr>
          <w:noProof/>
          <w:u w:color="000000"/>
          <w:bdr w:val="nil"/>
        </w:rPr>
        <w:t>•</w:t>
      </w:r>
      <w:r w:rsidRPr="005A19B7">
        <w:rPr>
          <w:noProof/>
        </w:rPr>
        <w:tab/>
      </w:r>
      <w:r w:rsidRPr="005A19B7">
        <w:rPr>
          <w:noProof/>
          <w:u w:color="000000"/>
          <w:bdr w:val="nil"/>
        </w:rPr>
        <w:t>Għażla tal-istrument</w:t>
      </w:r>
    </w:p>
    <w:p w14:paraId="30EBC85D" w14:textId="77777777" w:rsidR="00DB139D" w:rsidRPr="005A19B7" w:rsidRDefault="00DB139D" w:rsidP="00825B19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 w:rsidRPr="005A19B7">
        <w:rPr>
          <w:noProof/>
        </w:rPr>
        <w:t>Regolament li jemenda Regolament.</w:t>
      </w:r>
    </w:p>
    <w:p w14:paraId="607256A6" w14:textId="77777777" w:rsidR="00DB139D" w:rsidRPr="005A19B7" w:rsidRDefault="00DB139D" w:rsidP="00F4411E">
      <w:pPr>
        <w:pStyle w:val="ManualHeading1"/>
        <w:rPr>
          <w:noProof/>
        </w:rPr>
      </w:pPr>
      <w:r w:rsidRPr="005A19B7">
        <w:rPr>
          <w:noProof/>
        </w:rPr>
        <w:t>3.</w:t>
      </w:r>
      <w:r w:rsidRPr="005A19B7">
        <w:rPr>
          <w:noProof/>
        </w:rPr>
        <w:tab/>
        <w:t xml:space="preserve">RIŻULTATI TAL-EVALWAZZJONIJIET </w:t>
      </w:r>
      <w:r w:rsidRPr="005A19B7">
        <w:rPr>
          <w:i/>
          <w:noProof/>
        </w:rPr>
        <w:t>EX POST</w:t>
      </w:r>
      <w:r w:rsidRPr="005A19B7">
        <w:rPr>
          <w:noProof/>
        </w:rPr>
        <w:t>, TAL-KONSULTAZZJONIJIET MAL-PARTIJIET IKKONĊERNATI U TAL-VALUTAZZJONIJIET TAL-IMPATT</w:t>
      </w:r>
    </w:p>
    <w:p w14:paraId="1D73075B" w14:textId="77777777" w:rsidR="00A73103" w:rsidRPr="005A19B7" w:rsidRDefault="00A73103" w:rsidP="00A73103">
      <w:pPr>
        <w:pStyle w:val="ManualHeading2"/>
        <w:rPr>
          <w:noProof/>
          <w:bdr w:val="none" w:sz="0" w:space="0" w:color="auto" w:frame="1"/>
        </w:rPr>
      </w:pPr>
      <w:r w:rsidRPr="005A19B7">
        <w:rPr>
          <w:noProof/>
          <w:bdr w:val="none" w:sz="0" w:space="0" w:color="auto" w:frame="1"/>
        </w:rPr>
        <w:t>•</w:t>
      </w:r>
      <w:r w:rsidRPr="005A19B7">
        <w:rPr>
          <w:noProof/>
        </w:rPr>
        <w:tab/>
      </w:r>
      <w:r w:rsidRPr="005A19B7">
        <w:rPr>
          <w:noProof/>
          <w:bdr w:val="none" w:sz="0" w:space="0" w:color="auto" w:frame="1"/>
        </w:rPr>
        <w:t>Konsultazzjonijiet mal-partijiet ikkonċernati</w:t>
      </w:r>
    </w:p>
    <w:p w14:paraId="60EDFADC" w14:textId="77777777" w:rsidR="00A73103" w:rsidRPr="005A19B7" w:rsidRDefault="00A73103" w:rsidP="00A73103">
      <w:pPr>
        <w:rPr>
          <w:noProof/>
        </w:rPr>
      </w:pPr>
      <w:r w:rsidRPr="005A19B7">
        <w:rPr>
          <w:noProof/>
        </w:rPr>
        <w:t>Il-Kummissjoni wettqet konsultazzjoni mmirata mal-partijiet ikkonċernati dwar din il-kwistjoni (b’mod partikolari l-organizzazzjonijiet Ewropej tal-istandardizzazzjoni, il-korpi nazzjonali tal-istandardizzazzjoni, l-Istati Membri tal-UE, u l-partijiet ikkonċernati industrijali u tas-soċjetà ċivili). Dawn il-partijiet ikkonċernati ngħataw l-opportunità li jesprimu l-fehmiet tagħhom u li jipprovdu kontribut għall-ħidma tal-Kummissjoni.</w:t>
      </w:r>
    </w:p>
    <w:p w14:paraId="24BDAABB" w14:textId="77777777" w:rsidR="008503A4" w:rsidRPr="005A19B7" w:rsidRDefault="008503A4" w:rsidP="008503A4">
      <w:pPr>
        <w:rPr>
          <w:noProof/>
        </w:rPr>
      </w:pPr>
      <w:r w:rsidRPr="005A19B7">
        <w:rPr>
          <w:noProof/>
        </w:rPr>
        <w:t>Matul il-konsultazzjoni dwar il-pjan direzzjonali għall-istrateġija ta’ standardizzazzjoni, il-partijiet ikkonċernati pprovdew feedback siewi dwar il-governanza u dwar it-trasparenza fis-sistema Ewropea tal-istandardizzazzjoni permezz tal-portal tal-Kummissjoni għal Regolamentazzjoni Aħjar</w:t>
      </w:r>
      <w:r w:rsidRPr="005A19B7">
        <w:rPr>
          <w:rStyle w:val="FootnoteReference"/>
          <w:noProof/>
        </w:rPr>
        <w:footnoteReference w:id="7"/>
      </w:r>
      <w:r w:rsidRPr="005A19B7">
        <w:rPr>
          <w:noProof/>
        </w:rPr>
        <w:t>. Il-Kummissjoni rċeviet feedback simili permezz tar-rapporti maħruġa mill-organizzazzjonijiet tal-partijiet ikkonċernati Ewropej skont l-Artikolu 24(2) tar-Regolament dwar l-Istandardizzazzjoni.</w:t>
      </w:r>
    </w:p>
    <w:p w14:paraId="1B4B957D" w14:textId="77777777" w:rsidR="00DB139D" w:rsidRPr="005A19B7" w:rsidRDefault="00DB139D" w:rsidP="00825B19">
      <w:pPr>
        <w:pStyle w:val="ManualHeading2"/>
        <w:rPr>
          <w:rFonts w:eastAsia="Arial Unicode MS"/>
          <w:noProof/>
          <w:u w:color="000000"/>
          <w:bdr w:val="nil"/>
        </w:rPr>
      </w:pPr>
      <w:r w:rsidRPr="005A19B7">
        <w:rPr>
          <w:noProof/>
          <w:u w:color="000000"/>
          <w:bdr w:val="nil"/>
        </w:rPr>
        <w:t>•</w:t>
      </w:r>
      <w:r w:rsidRPr="005A19B7">
        <w:rPr>
          <w:noProof/>
        </w:rPr>
        <w:tab/>
      </w:r>
      <w:r w:rsidRPr="005A19B7">
        <w:rPr>
          <w:noProof/>
          <w:u w:color="000000"/>
          <w:bdr w:val="nil"/>
        </w:rPr>
        <w:t>Valutazzjoni tal-impatt</w:t>
      </w:r>
    </w:p>
    <w:p w14:paraId="3DB28FD0" w14:textId="77777777" w:rsidR="008503A4" w:rsidRPr="005A19B7" w:rsidRDefault="008503A4" w:rsidP="008503A4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 w:rsidRPr="005A19B7">
        <w:rPr>
          <w:noProof/>
        </w:rPr>
        <w:t>Il-Kummissjoni ma wettqitx valutazzjoni tal-impatt (IA) għal din l-inizjattiva. L-inizjattiva proposta tirrigwarda deċiżjonijiet amministrattivi fi ħdan l-organizzazzjonijiet Ewropej tal-istandardizzazzjoni wara talbiet mill-Kummissjoni bbażati fuq politika jew ħtieġa legali. Dawn id-deċiżjonijiet amministrattivi jkopru deċiżjonijiet ta’ governanza/amministrazzjoni għall-politiki tal-Unjoni. L-impatt ta’ dawn id-deċiżjonijiet amministrattivi huwa limitat għal partijiet ikkonċernati identifikabbli. Bħala konklużjoni, ma kien hemm l-ebda ħtieġa għal IA u għall-konsultazzjoni pubblika relatata peress li l-emenda tkun/hija limitata fil-kamp ta' applikazzjoni, immirata u tipprovdi emendi tekniċi għal-leġiżlazzjoni eżistenti dwar il-kwistjoni tal-governanza.</w:t>
      </w:r>
    </w:p>
    <w:p w14:paraId="0643E945" w14:textId="77777777" w:rsidR="00DB139D" w:rsidRPr="005A19B7" w:rsidRDefault="00DB139D" w:rsidP="00825B19">
      <w:pPr>
        <w:pStyle w:val="ManualHeading1"/>
        <w:rPr>
          <w:noProof/>
        </w:rPr>
      </w:pPr>
      <w:r w:rsidRPr="005A19B7">
        <w:rPr>
          <w:noProof/>
        </w:rPr>
        <w:t>4.</w:t>
      </w:r>
      <w:r w:rsidRPr="005A19B7">
        <w:rPr>
          <w:noProof/>
        </w:rPr>
        <w:tab/>
        <w:t>IMPLIKAZZJONIJIET BAĠITARJI</w:t>
      </w:r>
    </w:p>
    <w:p w14:paraId="7658B336" w14:textId="77777777" w:rsidR="00DB139D" w:rsidRPr="005A19B7" w:rsidRDefault="00DB139D" w:rsidP="00825B19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 w:rsidRPr="005A19B7">
        <w:rPr>
          <w:noProof/>
        </w:rPr>
        <w:t>Il-proposta ma għandhiex impatt baġitarju għall-istituzzjonijiet tal-UE.</w:t>
      </w:r>
    </w:p>
    <w:p w14:paraId="43E012D5" w14:textId="77777777" w:rsidR="00DB139D" w:rsidRPr="005A19B7" w:rsidRDefault="00DB139D" w:rsidP="00825B19">
      <w:pPr>
        <w:pStyle w:val="ManualHeading1"/>
        <w:rPr>
          <w:noProof/>
        </w:rPr>
      </w:pPr>
      <w:r w:rsidRPr="005A19B7">
        <w:rPr>
          <w:noProof/>
        </w:rPr>
        <w:t>5.</w:t>
      </w:r>
      <w:r w:rsidRPr="005A19B7">
        <w:rPr>
          <w:noProof/>
        </w:rPr>
        <w:tab/>
        <w:t>ELEMENTI OĦRA</w:t>
      </w:r>
    </w:p>
    <w:p w14:paraId="063F44BB" w14:textId="77777777" w:rsidR="00DB139D" w:rsidRPr="005A19B7" w:rsidRDefault="00DB139D" w:rsidP="00825B19">
      <w:pPr>
        <w:pStyle w:val="ManualHeading2"/>
        <w:rPr>
          <w:rFonts w:eastAsia="Arial Unicode MS"/>
          <w:noProof/>
          <w:u w:color="000000"/>
          <w:bdr w:val="nil"/>
        </w:rPr>
      </w:pPr>
      <w:r w:rsidRPr="005A19B7">
        <w:rPr>
          <w:noProof/>
          <w:u w:color="000000"/>
          <w:bdr w:val="nil"/>
        </w:rPr>
        <w:t>•</w:t>
      </w:r>
      <w:r w:rsidRPr="005A19B7">
        <w:rPr>
          <w:noProof/>
        </w:rPr>
        <w:tab/>
      </w:r>
      <w:r w:rsidRPr="005A19B7">
        <w:rPr>
          <w:noProof/>
          <w:u w:color="000000"/>
          <w:bdr w:val="nil"/>
        </w:rPr>
        <w:t>Pjanijiet ta’ implimentazzjoni u arranġamenti dwar il-monitoraġġ, l-evalwazzjoni u r-rapportar</w:t>
      </w:r>
    </w:p>
    <w:p w14:paraId="443C7B1F" w14:textId="77777777" w:rsidR="00A73103" w:rsidRPr="005A19B7" w:rsidRDefault="00A73103" w:rsidP="00A73103">
      <w:pPr>
        <w:rPr>
          <w:noProof/>
        </w:rPr>
      </w:pPr>
      <w:r w:rsidRPr="005A19B7">
        <w:rPr>
          <w:noProof/>
        </w:rPr>
        <w:t xml:space="preserve">Il-proposta għandha temenda biss żewġ artikoli. </w:t>
      </w:r>
    </w:p>
    <w:p w14:paraId="5F4C2F26" w14:textId="77777777" w:rsidR="00A73103" w:rsidRPr="005A19B7" w:rsidRDefault="00A73103" w:rsidP="00A73103">
      <w:pPr>
        <w:rPr>
          <w:noProof/>
        </w:rPr>
      </w:pPr>
      <w:r w:rsidRPr="005A19B7">
        <w:rPr>
          <w:noProof/>
        </w:rPr>
        <w:t>Sabiex l-Organizzazzjonijiet Ewropej tal-Istandardizzazzjoni – fejn meħtieġ – ikunu jistgħu jadattaw ir-regoli interni ta’ proċedura tagħhom, l-emenda tipprevedi perjodu tranżitorju ta’ sitt xhur qabel ma tidħol fis-seħħ.</w:t>
      </w:r>
    </w:p>
    <w:p w14:paraId="08B9AB4F" w14:textId="77777777" w:rsidR="00DB139D" w:rsidRPr="005A19B7" w:rsidRDefault="008503A4" w:rsidP="00477B0E">
      <w:pPr>
        <w:spacing w:before="0" w:after="240"/>
        <w:rPr>
          <w:noProof/>
        </w:rPr>
        <w:sectPr w:rsidR="00DB139D" w:rsidRPr="005A19B7" w:rsidSect="00944145">
          <w:footerReference w:type="default" r:id="rId13"/>
          <w:footerReference w:type="first" r:id="rId14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  <w:r w:rsidRPr="005A19B7">
        <w:rPr>
          <w:noProof/>
        </w:rPr>
        <w:t>Il-Kummissjoni se tassisti lill-organizzazzjonijiet Ewropej tal-istandardizzazzjoni sabiex tgħinhom jemendaw ir-regoli interni tagħhom għat-teħid tad-deċiżjonijiet dwar l-istandards u l-istrumenti ta' standardizzazzjoni mitluba mill-Kummissjoni skont l-Artikolu 10(1) tar-Regolament dwar l-Istandardizzazzjoni.</w:t>
      </w:r>
      <w:r w:rsidRPr="005A19B7">
        <w:rPr>
          <w:noProof/>
        </w:rPr>
        <w:tab/>
      </w:r>
    </w:p>
    <w:p w14:paraId="232BDB3B" w14:textId="3AF96A40" w:rsidR="00970E3E" w:rsidRPr="005A19B7" w:rsidRDefault="008A1DD1" w:rsidP="008A1DD1">
      <w:pPr>
        <w:pStyle w:val="Rfrenceinterinstitutionnelle"/>
        <w:rPr>
          <w:noProof/>
        </w:rPr>
      </w:pPr>
      <w:r w:rsidRPr="008A1DD1">
        <w:t>2022/0021 (COD)</w:t>
      </w:r>
    </w:p>
    <w:p w14:paraId="55EDBBC2" w14:textId="69210C7C" w:rsidR="00DB139D" w:rsidRPr="005A19B7" w:rsidRDefault="00456FC9" w:rsidP="00456FC9">
      <w:pPr>
        <w:pStyle w:val="Statut"/>
        <w:rPr>
          <w:noProof/>
        </w:rPr>
      </w:pPr>
      <w:r w:rsidRPr="005A19B7">
        <w:rPr>
          <w:noProof/>
        </w:rPr>
        <w:t>Proposta għal</w:t>
      </w:r>
    </w:p>
    <w:p w14:paraId="1C48D4F3" w14:textId="7A19849B" w:rsidR="00DB139D" w:rsidRPr="005A19B7" w:rsidRDefault="00456FC9" w:rsidP="00456FC9">
      <w:pPr>
        <w:pStyle w:val="Typedudocument"/>
        <w:rPr>
          <w:noProof/>
        </w:rPr>
      </w:pPr>
      <w:r w:rsidRPr="005A19B7">
        <w:rPr>
          <w:noProof/>
        </w:rPr>
        <w:t>REGOLAMENT TAL-PARLAMENT EWROPEW U TAL-KUNSILL</w:t>
      </w:r>
    </w:p>
    <w:p w14:paraId="311E2F17" w14:textId="066B58B7" w:rsidR="00DB139D" w:rsidRPr="005A19B7" w:rsidRDefault="00456FC9" w:rsidP="00456FC9">
      <w:pPr>
        <w:pStyle w:val="Titreobjet"/>
        <w:rPr>
          <w:noProof/>
        </w:rPr>
      </w:pPr>
      <w:r w:rsidRPr="005A19B7">
        <w:rPr>
          <w:noProof/>
        </w:rPr>
        <w:t>li jemenda r-Regolament (UE) Nru 1025/2012 fir-rigward tad-deċiżjonijiet tal-organizzazzjonijiet Ewropej tal-istandardizzazzjoni dwar standards Ewropej u strumenti ta’ standardizzazzjoni Ewropea</w:t>
      </w:r>
    </w:p>
    <w:p w14:paraId="6E0163C3" w14:textId="04957A90" w:rsidR="00DB139D" w:rsidRPr="005A19B7" w:rsidRDefault="00456FC9" w:rsidP="00456FC9">
      <w:pPr>
        <w:pStyle w:val="IntrtEEE"/>
        <w:rPr>
          <w:noProof/>
        </w:rPr>
      </w:pPr>
      <w:r w:rsidRPr="005A19B7">
        <w:rPr>
          <w:noProof/>
        </w:rPr>
        <w:t>(Test b’rilevanza għaż-ŻEE)</w:t>
      </w:r>
    </w:p>
    <w:p w14:paraId="465D2AF2" w14:textId="77777777" w:rsidR="00DB139D" w:rsidRPr="005A19B7" w:rsidRDefault="00DB139D" w:rsidP="00825B19">
      <w:pPr>
        <w:pStyle w:val="Institutionquiagit"/>
        <w:rPr>
          <w:noProof/>
        </w:rPr>
      </w:pPr>
      <w:r w:rsidRPr="005A19B7">
        <w:rPr>
          <w:noProof/>
        </w:rPr>
        <w:t>IL-PARLAMENT EWROPEW U L-KUNSILL TAL-UNJONI EWROPEA,</w:t>
      </w:r>
    </w:p>
    <w:p w14:paraId="7F457089" w14:textId="77777777" w:rsidR="00DB139D" w:rsidRPr="005A19B7" w:rsidRDefault="00DB139D" w:rsidP="00825B19">
      <w:pPr>
        <w:rPr>
          <w:noProof/>
        </w:rPr>
      </w:pPr>
      <w:r w:rsidRPr="005A19B7">
        <w:rPr>
          <w:noProof/>
        </w:rPr>
        <w:t>Wara li kkunsidraw it-Trattat dwar il-Funzjonament tal-Unjoni Ewropea u, b’mod partikolari l-Artikolu 114 tiegħu,</w:t>
      </w:r>
    </w:p>
    <w:p w14:paraId="25FB23D1" w14:textId="77777777" w:rsidR="00DB139D" w:rsidRPr="005A19B7" w:rsidRDefault="00DB139D" w:rsidP="00825B19">
      <w:pPr>
        <w:rPr>
          <w:noProof/>
        </w:rPr>
      </w:pPr>
      <w:r w:rsidRPr="005A19B7">
        <w:rPr>
          <w:noProof/>
        </w:rPr>
        <w:t>Wara li kkunsidraw il-proposta tal-Kummissjoni Ewropea,</w:t>
      </w:r>
    </w:p>
    <w:p w14:paraId="2E99E012" w14:textId="77777777" w:rsidR="00DB139D" w:rsidRPr="005A19B7" w:rsidRDefault="00DB139D" w:rsidP="00825B19">
      <w:pPr>
        <w:rPr>
          <w:noProof/>
        </w:rPr>
      </w:pPr>
      <w:r w:rsidRPr="005A19B7">
        <w:rPr>
          <w:noProof/>
        </w:rPr>
        <w:t>Wara li l-abbozz tal-att leġiżlattiv intbagħat lill-parlamenti nazzjonali,</w:t>
      </w:r>
    </w:p>
    <w:p w14:paraId="6035CF87" w14:textId="77777777" w:rsidR="00DB139D" w:rsidRPr="005A19B7" w:rsidRDefault="00DB139D" w:rsidP="00825B19">
      <w:pPr>
        <w:rPr>
          <w:noProof/>
        </w:rPr>
      </w:pPr>
      <w:r w:rsidRPr="005A19B7">
        <w:rPr>
          <w:noProof/>
        </w:rPr>
        <w:t>Wara li kkunsidraw l-opinjoni tal-Kumitat Ekonomiku u Soċjali Ewropew</w:t>
      </w:r>
      <w:r w:rsidRPr="005A19B7">
        <w:rPr>
          <w:rStyle w:val="FootnoteReference"/>
          <w:noProof/>
        </w:rPr>
        <w:footnoteReference w:id="8"/>
      </w:r>
      <w:r w:rsidRPr="005A19B7">
        <w:rPr>
          <w:noProof/>
        </w:rPr>
        <w:t xml:space="preserve">, </w:t>
      </w:r>
    </w:p>
    <w:p w14:paraId="0B6768B4" w14:textId="77777777" w:rsidR="00DB139D" w:rsidRPr="005A19B7" w:rsidRDefault="00DB139D" w:rsidP="00825B19">
      <w:pPr>
        <w:rPr>
          <w:noProof/>
        </w:rPr>
      </w:pPr>
      <w:r w:rsidRPr="005A19B7">
        <w:rPr>
          <w:noProof/>
        </w:rPr>
        <w:t>Filwaqt li jaġixxu skont il-proċedura leġiżlattiva ordinarja,</w:t>
      </w:r>
    </w:p>
    <w:p w14:paraId="4215036E" w14:textId="6BD75C87" w:rsidR="00D34432" w:rsidRPr="005A19B7" w:rsidRDefault="00DB139D" w:rsidP="001534E5">
      <w:pPr>
        <w:rPr>
          <w:noProof/>
        </w:rPr>
      </w:pPr>
      <w:r w:rsidRPr="005A19B7">
        <w:rPr>
          <w:noProof/>
        </w:rPr>
        <w:t>Billi:</w:t>
      </w:r>
    </w:p>
    <w:p w14:paraId="3B316BD4" w14:textId="2527F4F2" w:rsidR="00DF5A8F" w:rsidRPr="005A19B7" w:rsidRDefault="00B65861" w:rsidP="00B65861">
      <w:pPr>
        <w:pStyle w:val="ManualConsidrant"/>
        <w:rPr>
          <w:noProof/>
        </w:rPr>
      </w:pPr>
      <w:r w:rsidRPr="00B65861">
        <w:t>(1)</w:t>
      </w:r>
      <w:r w:rsidRPr="00B65861">
        <w:tab/>
      </w:r>
      <w:r w:rsidR="001C6095" w:rsidRPr="005A19B7">
        <w:rPr>
          <w:noProof/>
        </w:rPr>
        <w:t>Ir-Regolament (UE) Nru 1025/2012 tal-Parlament Ewropew u tal-Kunsill</w:t>
      </w:r>
      <w:r w:rsidR="001C6095" w:rsidRPr="005A19B7">
        <w:rPr>
          <w:rStyle w:val="FootnoteReference"/>
          <w:noProof/>
        </w:rPr>
        <w:footnoteReference w:id="9"/>
      </w:r>
      <w:r w:rsidR="001C6095" w:rsidRPr="005A19B7">
        <w:rPr>
          <w:noProof/>
        </w:rPr>
        <w:t xml:space="preserve"> jistabbilixxi regoli fir-rigward tal-istabbiliment ta’ standards Ewropej u ta' strumenti ta’ standardizzazzjoni Ewropea għall-prodotti u għas-servizzi b’appoġġ għal-leġiżlazzjoni u għall-politiki tal-Unjoni. </w:t>
      </w:r>
    </w:p>
    <w:p w14:paraId="720267D3" w14:textId="615F6EBB" w:rsidR="00D34432" w:rsidRPr="005A19B7" w:rsidRDefault="00B65861" w:rsidP="00B65861">
      <w:pPr>
        <w:pStyle w:val="ManualConsidrant"/>
        <w:rPr>
          <w:noProof/>
        </w:rPr>
      </w:pPr>
      <w:r w:rsidRPr="00B65861">
        <w:t>(2)</w:t>
      </w:r>
      <w:r w:rsidRPr="00B65861">
        <w:tab/>
      </w:r>
      <w:r w:rsidR="00817786" w:rsidRPr="005A19B7">
        <w:rPr>
          <w:noProof/>
        </w:rPr>
        <w:t>F’konformità mal-Artikolu 10 tar-Regolament (UE) Nru 1025/2012 il-Kummissjoni tista’ titlob lil organizzazzjoni Ewropea tal-istandardizzazzjoni waħda jew aktar sabiex jabbozzaw standard Ewropew jew strument ta' standardizzazzjoni Ewropea.</w:t>
      </w:r>
    </w:p>
    <w:p w14:paraId="6155F240" w14:textId="7CF86C4B" w:rsidR="00694935" w:rsidRPr="005A19B7" w:rsidRDefault="00B65861" w:rsidP="00B65861">
      <w:pPr>
        <w:pStyle w:val="ManualConsidrant"/>
        <w:rPr>
          <w:noProof/>
        </w:rPr>
      </w:pPr>
      <w:r w:rsidRPr="00B65861">
        <w:t>(3)</w:t>
      </w:r>
      <w:r w:rsidRPr="00B65861">
        <w:tab/>
      </w:r>
      <w:r w:rsidR="00694935" w:rsidRPr="005A19B7">
        <w:rPr>
          <w:noProof/>
        </w:rPr>
        <w:t>L-istandards Ewropej u l-istrumenti ta’ standardizzazzjoni Ewropea għandhom rwol importanti għas-suq intern. Pereżempju, jistgħu jintużaw standards armonizzati sabiex tingħata preżunzjoni li l-prodotti li għandhom ikunu disponibbli fis-suq ikunu konformi mar-rekwiżiti essenzjali li huma stabbiliti fil-leġiżlazzjoni rilevanti tal-Unjoni dwar l-armonizzazzjoni għal dawk il-prodotti meta jikkonformaw mal-istandards armonizzati.</w:t>
      </w:r>
    </w:p>
    <w:p w14:paraId="393B70F8" w14:textId="10252B3D" w:rsidR="00694935" w:rsidRPr="005A19B7" w:rsidRDefault="00B65861" w:rsidP="00B65861">
      <w:pPr>
        <w:pStyle w:val="ManualConsidrant"/>
        <w:rPr>
          <w:noProof/>
        </w:rPr>
      </w:pPr>
      <w:r w:rsidRPr="00B65861">
        <w:t>(4)</w:t>
      </w:r>
      <w:r w:rsidRPr="00B65861">
        <w:tab/>
      </w:r>
      <w:r w:rsidR="00C61A34" w:rsidRPr="005A19B7">
        <w:rPr>
          <w:noProof/>
        </w:rPr>
        <w:t>F’dawn l-aħħar snin, il-prattiki fl-organizzazzjonijiet Ewropej tal-istandardizzazzjoni fir-rigward tal-governanza interna u l-proċeduri tat-teħid tad-deċiżjonijiet tagħhom inbidlu. B’riżultat ta’ dan, l-organizzazzjonijiet Ewropej tal-istandardizzazzjoni żiedu l-kooperazzjoni tagħhom mal-partijiet ikkonċernati internazzjonali u Ewropej. Kooperazzjoni bħal din hija milqugħa minħabba li tikkontribwixxi għall-proċess ta’ standardizzazzjoni trasparenti, miftuħ, imparzjali u mibni fuq kunsensus. Madankollu, meta l-organizzazzjonijiet Ewropej tal-istandardizzazzjoni jeżegwixxu talbiet ta’ standardizzazzjoni sabiex jappoġġaw il-leġiżlazzjoni u l-politiki tal-Unjoni, il-parteċipazzjoni mhux ristretta ta’ kwalunkwe parti ikkonċernata fit-teħid ta’ deċiżjonijiet interni tagħhom, tista’ twassal għal deċiżjonijiet li ma jqisux bis-sħiħ l-interessi, l-objettivi tal-politika, u l-valuri tal-Unjoni kif ukoll l-interessi pubbliċi b’mod ġenerali.</w:t>
      </w:r>
    </w:p>
    <w:p w14:paraId="3869AD44" w14:textId="5B8ECB96" w:rsidR="008113CE" w:rsidRPr="005A19B7" w:rsidRDefault="00B65861" w:rsidP="00B65861">
      <w:pPr>
        <w:pStyle w:val="ManualConsidrant"/>
        <w:rPr>
          <w:noProof/>
        </w:rPr>
      </w:pPr>
      <w:r w:rsidRPr="00B65861">
        <w:t>(5)</w:t>
      </w:r>
      <w:r w:rsidRPr="00B65861">
        <w:tab/>
      </w:r>
      <w:r w:rsidR="009D3145" w:rsidRPr="005A19B7">
        <w:rPr>
          <w:noProof/>
        </w:rPr>
        <w:t>Il-korpi nazzjonali tal-istandardizzazzjoni għandhom rwol essenzjali fis-sistema ta’ standardizzazzjoni, kemm fil-livell tal-Unjoni, f’konformità mar-Regolament (UE) Nru 1025/2012, kif ukoll fil-livell tal-Istati Membri. Għalhekk, il-korpi nazzjonali tal-istandardizzazzjoni jinsabu fl-aħjar pożizzjoni sabiex jiżguraw li l-interessi, l-objettivi tal-politika u l-valuri tal-Unjoni kif ukoll l-interessi pubbliċi b’mod ġenerali jitqiesu kif xieraq fl-organizzazzjonijiet Ewropej tal-istandardizzazzjoni. Għalhekk huwa meħtieġ li jissaħħaħ ir-rwol tagħhom fil-korpi tat-teħid tad-deċiżjonijiet tal-organizzazzjonijiet Ewropej tal-istandardizzazzjoni meta dawk il-korpi jieħdu deċiżjonijiet dwar l-istandards Ewropej u dwar l-istrumenti ta’ standardizzazzjoni Ewropea mitluba mill-Kummissjoni skont l-Artikolu 10(1) tar-Regolament (UE) Nru 1025/2012.</w:t>
      </w:r>
    </w:p>
    <w:p w14:paraId="4928D501" w14:textId="1A0C0E56" w:rsidR="00834E7C" w:rsidRPr="005A19B7" w:rsidRDefault="00B65861" w:rsidP="00B65861">
      <w:pPr>
        <w:pStyle w:val="ManualConsidrant"/>
        <w:rPr>
          <w:noProof/>
        </w:rPr>
      </w:pPr>
      <w:r w:rsidRPr="00B65861">
        <w:t>(6)</w:t>
      </w:r>
      <w:r w:rsidRPr="00B65861">
        <w:tab/>
      </w:r>
      <w:r w:rsidR="008113CE" w:rsidRPr="005A19B7">
        <w:rPr>
          <w:noProof/>
        </w:rPr>
        <w:t>Il-korpi tat-teħid tad-deċiżjonijiet tal-organizzazzjonijiet Ewropej tal-istandardizzazzjoni huma miftuħa għall-parteċipazzjoni mhux biss mill-korpi nazzjonali tal-istandardizzazzjoni, iżda wkoll mill-organizzazzjonijiet nazzjonali tal-istandardizzazzjoni tal-pajjiżi aderenti, tal-pajjiżi kandidati u tal-kandidati potenzjali għall-Unjoni, fost l-oħrajn. Sabiex jiġi evitat li dawk l-organizzazzjonijiet jiġu esklużi mill-parteċipazzjoni fix-xogħol tal-korpi tat-teħid tad-deċiżjonijiet ikkonċernati, huwa meħtieġ biss li jiġi previst li d-deċiżjonijiet f’dawk il-korpi dwar l-istandards Ewropej u l-istrumenti ta’ standardizzazzjoni Ewropea mitluba skont l-Artikolu 10(1) tar-Regolament (UE) Nru 1025/2012 jittieħdu esklussivament minn rappreżentanti tal-korpi nazzjonali tal-istandardizzazzjoni, mingħajr ma jiġu imposti xi rekwiżiti oħra dwar il-ħidma tal-korpi tat-teħid tad-deċiżjonijiet tal-organizzazzjonijiet Ewropej tal-istandardizzazzjoni.</w:t>
      </w:r>
    </w:p>
    <w:p w14:paraId="3E807642" w14:textId="67A758F1" w:rsidR="00A1491E" w:rsidRPr="005A19B7" w:rsidRDefault="00B65861" w:rsidP="00B65861">
      <w:pPr>
        <w:pStyle w:val="ManualConsidrant"/>
        <w:rPr>
          <w:noProof/>
        </w:rPr>
      </w:pPr>
      <w:r w:rsidRPr="00B65861">
        <w:t>(7)</w:t>
      </w:r>
      <w:r w:rsidRPr="00B65861">
        <w:tab/>
      </w:r>
      <w:r w:rsidR="009B1499" w:rsidRPr="005A19B7">
        <w:rPr>
          <w:noProof/>
        </w:rPr>
        <w:t>Sabiex ir-rekwiżit għad-deċiżjonijiet fil-korpi tat-teħid tad-deċiżjonijiet tal-organizzazzjonijiet Ewropej tal-istandardizzazzjoni dwar l-istandards Ewropej u l-istrumenti ta’ standardizzazzjoni Ewropea mitluba mill-Kummissjoni skont l-Artikolu 10(1) tar-Regolament (UE) Nru 1025/2012 jittieħdu esklussivament minn rappreżentanti tal-korpi nazzjonali tal-istandardizzazzjoni biex ikunu effettivi, jeħtieġ li jiġi previst li l-Kummissjoni tista’ tagħmel dawn it-talbiet biss lil organizzazzjoni Ewropea tal-istandardizzazzjoni li tikkonforma ma’ dak ir-rekwiżit.</w:t>
      </w:r>
    </w:p>
    <w:p w14:paraId="61459538" w14:textId="06F45D2E" w:rsidR="002E69BD" w:rsidRPr="005A19B7" w:rsidRDefault="00B65861" w:rsidP="00B65861">
      <w:pPr>
        <w:pStyle w:val="ManualConsidrant"/>
        <w:rPr>
          <w:noProof/>
        </w:rPr>
      </w:pPr>
      <w:r w:rsidRPr="00B65861">
        <w:t>(8)</w:t>
      </w:r>
      <w:r w:rsidRPr="00B65861">
        <w:tab/>
      </w:r>
      <w:r w:rsidR="002E69BD" w:rsidRPr="005A19B7">
        <w:rPr>
          <w:noProof/>
        </w:rPr>
        <w:t>Għaldaqstant, ir-Regolament (UE) Nru 1025/2012 jenħtieġ li jiġi emendat skont dan.</w:t>
      </w:r>
    </w:p>
    <w:p w14:paraId="073FCA99" w14:textId="4E5DFE5F" w:rsidR="00BF1DE8" w:rsidRPr="005A19B7" w:rsidRDefault="00B65861" w:rsidP="00B65861">
      <w:pPr>
        <w:pStyle w:val="ManualConsidrant"/>
        <w:rPr>
          <w:noProof/>
        </w:rPr>
      </w:pPr>
      <w:r w:rsidRPr="00B65861">
        <w:t>(9)</w:t>
      </w:r>
      <w:r w:rsidRPr="00B65861">
        <w:tab/>
      </w:r>
      <w:r w:rsidR="00C61A34" w:rsidRPr="005A19B7">
        <w:rPr>
          <w:noProof/>
        </w:rPr>
        <w:t>Sabiex l-organizzazzjonijiet Ewropej tal-istandardizzazzjoni jkunu jistgħu jadattaw, fejn meħtieġ, ir-regoli interni ta’ proċedura tagħhom għar-rekwiżiti ta’ dan ir-Regolament, l-applikazzjoni tiegħu jenħtieġ li tiġi differita,</w:t>
      </w:r>
    </w:p>
    <w:p w14:paraId="354BFCD7" w14:textId="77777777" w:rsidR="00DB139D" w:rsidRPr="005A19B7" w:rsidRDefault="00DB139D" w:rsidP="00825B19">
      <w:pPr>
        <w:pStyle w:val="Formuledadoption"/>
        <w:rPr>
          <w:noProof/>
        </w:rPr>
      </w:pPr>
      <w:r w:rsidRPr="005A19B7">
        <w:rPr>
          <w:noProof/>
        </w:rPr>
        <w:t>ADOTTAW DAN IR-REGOLAMENT:</w:t>
      </w:r>
    </w:p>
    <w:p w14:paraId="3F2F92DB" w14:textId="77777777" w:rsidR="00DB139D" w:rsidRPr="005A19B7" w:rsidRDefault="00DB139D" w:rsidP="00825B19">
      <w:pPr>
        <w:pStyle w:val="Titrearticle"/>
        <w:rPr>
          <w:noProof/>
        </w:rPr>
      </w:pPr>
      <w:r w:rsidRPr="005A19B7">
        <w:rPr>
          <w:noProof/>
        </w:rPr>
        <w:t>Artikolu 1</w:t>
      </w:r>
    </w:p>
    <w:p w14:paraId="1F21B1BA" w14:textId="77777777" w:rsidR="00834E7C" w:rsidRPr="005A19B7" w:rsidRDefault="00834E7C" w:rsidP="00834E7C">
      <w:pPr>
        <w:rPr>
          <w:noProof/>
        </w:rPr>
      </w:pPr>
      <w:r w:rsidRPr="005A19B7">
        <w:rPr>
          <w:noProof/>
        </w:rPr>
        <w:t>L-Artikolu 10 tar-Regolament (UE) Nru 1025/2012 huwa emendat kif ġej:</w:t>
      </w:r>
    </w:p>
    <w:p w14:paraId="6AAC0210" w14:textId="77777777" w:rsidR="00834E7C" w:rsidRPr="005A19B7" w:rsidRDefault="00003C6A" w:rsidP="00003C6A">
      <w:pPr>
        <w:ind w:firstLine="360"/>
        <w:rPr>
          <w:noProof/>
        </w:rPr>
      </w:pPr>
      <w:r w:rsidRPr="005A19B7">
        <w:rPr>
          <w:noProof/>
        </w:rPr>
        <w:t>(1) fil-paragrafu 1, l-ewwel sentenza hija sostitwita b’dan li ġej:</w:t>
      </w:r>
    </w:p>
    <w:p w14:paraId="63D80351" w14:textId="77777777" w:rsidR="00103923" w:rsidRPr="005A19B7" w:rsidRDefault="00834E7C" w:rsidP="00FE1C7A">
      <w:pPr>
        <w:ind w:left="360"/>
        <w:rPr>
          <w:noProof/>
        </w:rPr>
      </w:pPr>
      <w:r w:rsidRPr="005A19B7">
        <w:rPr>
          <w:noProof/>
        </w:rPr>
        <w:t>“Il-Kummissjoni tista’ titlob, fi ħdan il-limitazzjonijiet tal-kompetenzi stipulati fit-Trattati, li organizzazzjoni Ewropea tal-istandardizzazzjoni waħda jew aktar jabbozzaw standard Ewropew jew strument ta’ standardizzazzjoni Ewropea fi żmien skadenza stabbilita, diment li l-organizzazzjoni Ewropea tal-istandardizzazzjoni kkonċernata tikkonforma mal-paragrafu 2a.”;</w:t>
      </w:r>
    </w:p>
    <w:p w14:paraId="71041CA7" w14:textId="77777777" w:rsidR="00834E7C" w:rsidRPr="005A19B7" w:rsidRDefault="009E2996" w:rsidP="00D633E1">
      <w:pPr>
        <w:ind w:left="360"/>
        <w:rPr>
          <w:noProof/>
        </w:rPr>
      </w:pPr>
      <w:r w:rsidRPr="005A19B7">
        <w:rPr>
          <w:noProof/>
        </w:rPr>
        <w:t>(2)</w:t>
      </w:r>
      <w:r w:rsidRPr="005A19B7">
        <w:rPr>
          <w:noProof/>
        </w:rPr>
        <w:tab/>
        <w:t>jiddaħħal il-paragrafu 2a li ġej:</w:t>
      </w:r>
    </w:p>
    <w:p w14:paraId="45CC37E4" w14:textId="77777777" w:rsidR="00834E7C" w:rsidRPr="005A19B7" w:rsidRDefault="00834E7C" w:rsidP="00834E7C">
      <w:pPr>
        <w:ind w:left="360"/>
        <w:rPr>
          <w:noProof/>
        </w:rPr>
      </w:pPr>
      <w:r w:rsidRPr="005A19B7">
        <w:rPr>
          <w:noProof/>
        </w:rPr>
        <w:t>“2a.</w:t>
      </w:r>
      <w:r w:rsidRPr="005A19B7">
        <w:rPr>
          <w:noProof/>
        </w:rPr>
        <w:tab/>
        <w:t xml:space="preserve">Kull organizzazzjoni Ewropea tal-istandardizzazzjoni għandha tiżgura li d-deċiżjonijiet li ġejjin dwar l-istandards Ewropej u l-istrumenti ta’ standardizzazzjoni Ewropea msemmija fil-paragrafu 1 jittieħdu esklussivament minn rappreżentanti tal-korpi nazzjonali tal-istandardizzazzjoni fi ħdan il-korp kompetenti tat-teħid tad-deċiżjonijiet ta’ dik l-organizzazzjoni: </w:t>
      </w:r>
    </w:p>
    <w:p w14:paraId="4688FE2B" w14:textId="77777777" w:rsidR="00834E7C" w:rsidRPr="005A19B7" w:rsidRDefault="00834E7C" w:rsidP="00834E7C">
      <w:pPr>
        <w:ind w:left="720"/>
        <w:rPr>
          <w:noProof/>
        </w:rPr>
      </w:pPr>
      <w:r w:rsidRPr="005A19B7">
        <w:rPr>
          <w:noProof/>
        </w:rPr>
        <w:t>(a) id-deċiżjonijiet dwar l-aċċettazzjoni, ir-rifjut u l-eżekuzzjoni tat-talbiet għall-istandardizzazzjoni;</w:t>
      </w:r>
    </w:p>
    <w:p w14:paraId="108B9762" w14:textId="77777777" w:rsidR="00834E7C" w:rsidRPr="005A19B7" w:rsidRDefault="00834E7C" w:rsidP="00834E7C">
      <w:pPr>
        <w:ind w:left="720"/>
        <w:rPr>
          <w:noProof/>
        </w:rPr>
      </w:pPr>
      <w:r w:rsidRPr="005A19B7">
        <w:rPr>
          <w:noProof/>
        </w:rPr>
        <w:t xml:space="preserve">(b) id-deċiżjonijiet dwar l-aċċettazzjoni ta’ punti ġodda fl-aġenda ta’ ħidma; </w:t>
      </w:r>
    </w:p>
    <w:p w14:paraId="563B4352" w14:textId="77777777" w:rsidR="00DB139D" w:rsidRPr="005A19B7" w:rsidRDefault="00834E7C" w:rsidP="00F03CB0">
      <w:pPr>
        <w:ind w:left="720"/>
        <w:rPr>
          <w:noProof/>
        </w:rPr>
      </w:pPr>
      <w:r w:rsidRPr="005A19B7">
        <w:rPr>
          <w:noProof/>
        </w:rPr>
        <w:t>(c) id-deċiżjonijiet dwar l-adozzjoni, ir-reviżjoni u l-irtirar ta’ standards Ewropej jew ta’ strumenti ta’ standardizzazzjoni Ewropea.”.</w:t>
      </w:r>
    </w:p>
    <w:p w14:paraId="3A928DE3" w14:textId="77777777" w:rsidR="00103923" w:rsidRPr="005A19B7" w:rsidRDefault="00103923" w:rsidP="00090DBE">
      <w:pPr>
        <w:rPr>
          <w:noProof/>
        </w:rPr>
      </w:pPr>
    </w:p>
    <w:p w14:paraId="235A02ED" w14:textId="77777777" w:rsidR="00DB139D" w:rsidRPr="005A19B7" w:rsidRDefault="00DB139D" w:rsidP="00825B19">
      <w:pPr>
        <w:pStyle w:val="Titrearticle"/>
        <w:rPr>
          <w:noProof/>
        </w:rPr>
      </w:pPr>
      <w:r w:rsidRPr="005A19B7">
        <w:rPr>
          <w:noProof/>
        </w:rPr>
        <w:t>Artikolu 2</w:t>
      </w:r>
    </w:p>
    <w:p w14:paraId="4F2F002F" w14:textId="77777777" w:rsidR="00DB139D" w:rsidRPr="005A19B7" w:rsidRDefault="00DB139D" w:rsidP="00825B19">
      <w:pPr>
        <w:rPr>
          <w:noProof/>
        </w:rPr>
      </w:pPr>
      <w:r w:rsidRPr="005A19B7">
        <w:rPr>
          <w:noProof/>
        </w:rPr>
        <w:t>Dan ir-Regolament għandu jidħol fis-seħħ fl-għoxrin jum wara dak tal-pubblikazzjoni tiegħu f’</w:t>
      </w:r>
      <w:r w:rsidRPr="005A19B7">
        <w:rPr>
          <w:i/>
          <w:noProof/>
        </w:rPr>
        <w:t>Il-Ġurnal Uffiċjali tal-Unjoni Ewropea</w:t>
      </w:r>
      <w:r w:rsidRPr="005A19B7">
        <w:rPr>
          <w:noProof/>
        </w:rPr>
        <w:t>.</w:t>
      </w:r>
    </w:p>
    <w:p w14:paraId="5926ECDB" w14:textId="77777777" w:rsidR="00D215E9" w:rsidRPr="005A19B7" w:rsidRDefault="00D215E9" w:rsidP="00D215E9">
      <w:pPr>
        <w:rPr>
          <w:noProof/>
          <w:color w:val="00B050"/>
        </w:rPr>
      </w:pPr>
      <w:r w:rsidRPr="005A19B7">
        <w:rPr>
          <w:noProof/>
        </w:rPr>
        <w:t>Għandu japplika minn …</w:t>
      </w:r>
      <w:r w:rsidRPr="005A19B7">
        <w:rPr>
          <w:i/>
          <w:noProof/>
        </w:rPr>
        <w:t>[OP: jekk jogħġbok daħħal id-data – 6 xhur mid-data tad-dħul fis-seħħ ta’ dan ir-Regolament].</w:t>
      </w:r>
    </w:p>
    <w:p w14:paraId="455968F9" w14:textId="77777777" w:rsidR="00DB139D" w:rsidRPr="005A19B7" w:rsidRDefault="00DB139D" w:rsidP="00825B19">
      <w:pPr>
        <w:pStyle w:val="Applicationdirecte"/>
        <w:rPr>
          <w:noProof/>
        </w:rPr>
      </w:pPr>
      <w:r w:rsidRPr="005A19B7">
        <w:rPr>
          <w:noProof/>
        </w:rPr>
        <w:t>Dan ir-Regolament għandu jorbot fl-intier tiegħu u japplika direttament fl-Istati Membri kollha.</w:t>
      </w:r>
    </w:p>
    <w:p w14:paraId="121CE304" w14:textId="6318CB90" w:rsidR="00DB139D" w:rsidRPr="005A19B7" w:rsidRDefault="00FC7A99" w:rsidP="001E3235">
      <w:pPr>
        <w:pStyle w:val="Fait"/>
        <w:rPr>
          <w:noProof/>
        </w:rPr>
      </w:pPr>
      <w:r w:rsidRPr="00FC7A99">
        <w:t>Magħmul fi Brussell,</w:t>
      </w:r>
    </w:p>
    <w:p w14:paraId="793DB9A9" w14:textId="77777777" w:rsidR="00DB139D" w:rsidRPr="005A19B7" w:rsidRDefault="00DB139D" w:rsidP="001E3235">
      <w:pPr>
        <w:pStyle w:val="Institutionquisigne"/>
        <w:rPr>
          <w:noProof/>
        </w:rPr>
      </w:pPr>
      <w:r w:rsidRPr="005A19B7">
        <w:rPr>
          <w:noProof/>
        </w:rPr>
        <w:t>Għall-Parlament Ewropew</w:t>
      </w:r>
      <w:r w:rsidRPr="005A19B7">
        <w:rPr>
          <w:noProof/>
        </w:rPr>
        <w:tab/>
        <w:t>Għall-Kunsill</w:t>
      </w:r>
    </w:p>
    <w:p w14:paraId="500884DA" w14:textId="77777777" w:rsidR="00DB139D" w:rsidRPr="005A19B7" w:rsidRDefault="00DB139D" w:rsidP="00DB139D">
      <w:pPr>
        <w:pStyle w:val="Personnequisigne"/>
        <w:rPr>
          <w:noProof/>
        </w:rPr>
      </w:pPr>
      <w:r w:rsidRPr="005A19B7">
        <w:rPr>
          <w:noProof/>
        </w:rPr>
        <w:t>Il-President</w:t>
      </w:r>
      <w:r w:rsidRPr="005A19B7">
        <w:rPr>
          <w:noProof/>
        </w:rPr>
        <w:tab/>
        <w:t>Il-President</w:t>
      </w:r>
    </w:p>
    <w:sectPr w:rsidR="00DB139D" w:rsidRPr="005A19B7" w:rsidSect="00944145"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5BA60" w14:textId="77777777" w:rsidR="00BC26F1" w:rsidRDefault="00BC26F1" w:rsidP="00DB139D">
      <w:pPr>
        <w:spacing w:before="0" w:after="0"/>
      </w:pPr>
      <w:r>
        <w:separator/>
      </w:r>
    </w:p>
  </w:endnote>
  <w:endnote w:type="continuationSeparator" w:id="0">
    <w:p w14:paraId="229A6D90" w14:textId="77777777" w:rsidR="00BC26F1" w:rsidRDefault="00BC26F1" w:rsidP="00DB139D">
      <w:pPr>
        <w:spacing w:before="0" w:after="0"/>
      </w:pPr>
      <w:r>
        <w:continuationSeparator/>
      </w:r>
    </w:p>
  </w:endnote>
  <w:endnote w:type="continuationNotice" w:id="1">
    <w:p w14:paraId="79CB1E98" w14:textId="77777777" w:rsidR="00B12290" w:rsidRDefault="00B1229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rinda">
    <w:panose1 w:val="00000400000000000000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FBE5A" w14:textId="3EE66443" w:rsidR="00456FC9" w:rsidRPr="00944145" w:rsidRDefault="00944145" w:rsidP="00944145">
    <w:pPr>
      <w:pStyle w:val="Footer"/>
      <w:rPr>
        <w:rFonts w:ascii="Arial" w:hAnsi="Arial" w:cs="Arial"/>
        <w:b/>
        <w:sz w:val="48"/>
      </w:rPr>
    </w:pPr>
    <w:r w:rsidRPr="00944145">
      <w:rPr>
        <w:rFonts w:ascii="Arial" w:hAnsi="Arial" w:cs="Arial"/>
        <w:b/>
        <w:sz w:val="48"/>
      </w:rPr>
      <w:t>MT</w:t>
    </w:r>
    <w:r w:rsidRPr="00944145">
      <w:rPr>
        <w:rFonts w:ascii="Arial" w:hAnsi="Arial" w:cs="Arial"/>
        <w:b/>
        <w:sz w:val="48"/>
      </w:rPr>
      <w:tab/>
    </w:r>
    <w:r w:rsidRPr="00944145">
      <w:rPr>
        <w:rFonts w:ascii="Arial" w:hAnsi="Arial" w:cs="Arial"/>
        <w:b/>
        <w:sz w:val="48"/>
      </w:rPr>
      <w:tab/>
    </w:r>
    <w:r w:rsidRPr="00944145">
      <w:tab/>
    </w:r>
    <w:r w:rsidRPr="00944145">
      <w:rPr>
        <w:rFonts w:ascii="Arial" w:hAnsi="Arial" w:cs="Arial"/>
        <w:b/>
        <w:sz w:val="48"/>
      </w:rPr>
      <w:t>MT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3D5D0" w14:textId="727DBB40" w:rsidR="00944145" w:rsidRPr="00944145" w:rsidRDefault="00944145" w:rsidP="00944145">
    <w:pPr>
      <w:pStyle w:val="Footer"/>
      <w:rPr>
        <w:rFonts w:ascii="Arial" w:hAnsi="Arial" w:cs="Arial"/>
        <w:b/>
        <w:sz w:val="48"/>
      </w:rPr>
    </w:pPr>
    <w:r w:rsidRPr="00944145">
      <w:rPr>
        <w:rFonts w:ascii="Arial" w:hAnsi="Arial" w:cs="Arial"/>
        <w:b/>
        <w:sz w:val="48"/>
      </w:rPr>
      <w:t>MT</w:t>
    </w:r>
    <w:r w:rsidRPr="00944145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 w:rsidR="001E3235">
      <w:rPr>
        <w:noProof/>
      </w:rPr>
      <w:t>7</w:t>
    </w:r>
    <w:r>
      <w:fldChar w:fldCharType="end"/>
    </w:r>
    <w:r>
      <w:tab/>
    </w:r>
    <w:r w:rsidRPr="00944145">
      <w:tab/>
    </w:r>
    <w:r w:rsidRPr="00944145">
      <w:rPr>
        <w:rFonts w:ascii="Arial" w:hAnsi="Arial" w:cs="Arial"/>
        <w:b/>
        <w:sz w:val="48"/>
      </w:rPr>
      <w:t>MT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4D5A4" w14:textId="77777777" w:rsidR="00944145" w:rsidRPr="00944145" w:rsidRDefault="00944145" w:rsidP="009441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11731" w14:textId="77777777" w:rsidR="00BC26F1" w:rsidRDefault="00BC26F1" w:rsidP="00DB139D">
      <w:pPr>
        <w:spacing w:before="0" w:after="0"/>
      </w:pPr>
      <w:r>
        <w:separator/>
      </w:r>
    </w:p>
  </w:footnote>
  <w:footnote w:type="continuationSeparator" w:id="0">
    <w:p w14:paraId="30DE6BBA" w14:textId="77777777" w:rsidR="00BC26F1" w:rsidRDefault="00BC26F1" w:rsidP="00DB139D">
      <w:pPr>
        <w:spacing w:before="0" w:after="0"/>
      </w:pPr>
      <w:r>
        <w:continuationSeparator/>
      </w:r>
    </w:p>
  </w:footnote>
  <w:footnote w:type="continuationNotice" w:id="1">
    <w:p w14:paraId="7FC44852" w14:textId="77777777" w:rsidR="00B12290" w:rsidRDefault="00B12290">
      <w:pPr>
        <w:spacing w:before="0" w:after="0"/>
      </w:pPr>
    </w:p>
  </w:footnote>
  <w:footnote w:id="2">
    <w:p w14:paraId="6827D34C" w14:textId="2F86F978" w:rsidR="008503A4" w:rsidRDefault="008503A4" w:rsidP="008503A4">
      <w:pPr>
        <w:pStyle w:val="FootnoteText"/>
      </w:pPr>
      <w:r>
        <w:rPr>
          <w:rStyle w:val="FootnoteReference"/>
        </w:rPr>
        <w:footnoteRef/>
      </w:r>
      <w:r>
        <w:tab/>
        <w:t>Ir-Regolament (UE) Nru 1025/2012 tal-Parlament Ewropew u tal-Kunsill tal-25 ta’ Ottubru 2012 dwar l-Istandardizzazzjoni Ewropea, li jemenda d-Direttivi tal-Kunsill 89/686/KEE u 93/15/KEE u d-Direttivi 94/9/KE, 94/25/KE, 95/16/KE, 97/23/KE, 98/34/KE, 2004/22/KE, 2007/23/KE, 2009/23/KE u 2009/105/KE tal-Parlament Ewropew u tal-Kunsill u li jħassar id-Deċiżjoni tal-Kunsill 87/95/KEE u d-Deċiżjoni Nru 1673/2006/KE tal-Parlament Ewropew u tal-Kunsill (ĠU L 316/12, 14.11.2012).</w:t>
      </w:r>
    </w:p>
  </w:footnote>
  <w:footnote w:id="3">
    <w:p w14:paraId="5AE2002C" w14:textId="44AF4DAA" w:rsidR="008503A4" w:rsidRDefault="008503A4" w:rsidP="008503A4">
      <w:pPr>
        <w:pStyle w:val="FootnoteText"/>
      </w:pPr>
      <w:r>
        <w:rPr>
          <w:rStyle w:val="FootnoteReference"/>
        </w:rPr>
        <w:footnoteRef/>
      </w:r>
      <w:r>
        <w:tab/>
        <w:t>https://eur-lex.europa.eu/legal-content/MT/TXT/HTML/?uri=CELEX:52021DC0350&amp;from=EN</w:t>
      </w:r>
    </w:p>
  </w:footnote>
  <w:footnote w:id="4">
    <w:p w14:paraId="2B2D719A" w14:textId="72D612A9" w:rsidR="00A73103" w:rsidRDefault="00A73103" w:rsidP="00A73103">
      <w:pPr>
        <w:pStyle w:val="FootnoteText"/>
      </w:pPr>
      <w:r>
        <w:rPr>
          <w:rStyle w:val="FootnoteReference"/>
        </w:rPr>
        <w:footnoteRef/>
      </w:r>
      <w:r>
        <w:tab/>
        <w:t>https://eur-lex.europa.eu/legal-content/mt/TXT/?uri=CELEX:52020DC0067</w:t>
      </w:r>
    </w:p>
  </w:footnote>
  <w:footnote w:id="5">
    <w:p w14:paraId="096BDDB7" w14:textId="487B8DE3" w:rsidR="00A73103" w:rsidRDefault="00A73103" w:rsidP="00A73103">
      <w:pPr>
        <w:pStyle w:val="FootnoteText"/>
      </w:pPr>
      <w:r>
        <w:rPr>
          <w:rStyle w:val="FootnoteReference"/>
        </w:rPr>
        <w:footnoteRef/>
      </w:r>
      <w:r>
        <w:tab/>
        <w:t>https://eur-lex.europa.eu/legal-content/MT/TXT/?uri=JOIN%3A2021%3A30%3AFIN</w:t>
      </w:r>
    </w:p>
  </w:footnote>
  <w:footnote w:id="6">
    <w:p w14:paraId="0A2574E0" w14:textId="4836D46B" w:rsidR="00A73103" w:rsidRDefault="00A73103" w:rsidP="00A73103">
      <w:pPr>
        <w:pStyle w:val="FootnoteText"/>
      </w:pPr>
      <w:r>
        <w:rPr>
          <w:rStyle w:val="FootnoteReference"/>
        </w:rPr>
        <w:footnoteRef/>
      </w:r>
      <w:r>
        <w:tab/>
        <w:t>https://eur-lex.europa.eu/legal-content/MT/TXT/?uri=CELEX%3A52020XG0616%2801%29</w:t>
      </w:r>
    </w:p>
  </w:footnote>
  <w:footnote w:id="7">
    <w:p w14:paraId="5A015C1D" w14:textId="038369E1" w:rsidR="008503A4" w:rsidRDefault="008503A4" w:rsidP="008503A4">
      <w:pPr>
        <w:pStyle w:val="FootnoteText"/>
      </w:pPr>
      <w:r>
        <w:rPr>
          <w:rStyle w:val="FootnoteReference"/>
        </w:rPr>
        <w:footnoteRef/>
      </w:r>
      <w:r>
        <w:tab/>
        <w:t>https://ec.europa.eu/info/law/better-regulation/have-your-say/initiatives/13099-L-istrategija-tal-istandardizzazzjoni_mt</w:t>
      </w:r>
    </w:p>
  </w:footnote>
  <w:footnote w:id="8">
    <w:p w14:paraId="01379ADB" w14:textId="77777777" w:rsidR="00825B19" w:rsidRDefault="00825B19" w:rsidP="00825B19">
      <w:pPr>
        <w:pStyle w:val="FootnoteText"/>
      </w:pPr>
      <w:r>
        <w:rPr>
          <w:rStyle w:val="FootnoteReference"/>
        </w:rPr>
        <w:footnoteRef/>
      </w:r>
      <w:r>
        <w:tab/>
        <w:t>ĠU C …, …, p. ….</w:t>
      </w:r>
    </w:p>
  </w:footnote>
  <w:footnote w:id="9">
    <w:p w14:paraId="4D3C80A0" w14:textId="77777777" w:rsidR="00825B19" w:rsidRDefault="00825B19" w:rsidP="001C6095">
      <w:pPr>
        <w:pStyle w:val="FootnoteText"/>
      </w:pPr>
      <w:r>
        <w:rPr>
          <w:rStyle w:val="FootnoteReference"/>
        </w:rPr>
        <w:footnoteRef/>
      </w:r>
      <w:r>
        <w:tab/>
        <w:t>Ir-Regolament (UE) Nru 1025/2012 tal-Parlament Ewropew u tal-Kunsill tal-25 ta’ Ottubru 2012 dwar l-Istandardizzazzjoni Ewropea, li jemenda d-Direttivi tal-Kunsill 89/686/KEE u 93/15/KEE u d-Direttivi 94/9/KE, 94/25/KE, 95/16/KE, 97/23/KE, 98/34/KE, 2004/22/KE, 2007/23/KE, 2009/23/KE u 2009/105/KE tal-Parlament Ewropew u tal-Kunsill u li jħassar id-Deċiżjoni tal-Kunsill 87/95/KEE u d-Deċiżjoni Nru 1673/2006/KE tal-Parlament Ewropew u tal-Kunsill (ĠU L 316, 14.11.2012, p. 12).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800018B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0684474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728240A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C1DA738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A000B35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688B2A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D3E6D9B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CD142D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 w15:restartNumberingAfterBreak="0">
    <w:nsid w:val="22E44180"/>
    <w:multiLevelType w:val="multilevel"/>
    <w:tmpl w:val="DFC88CEC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NumPar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NumPar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NumPar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 w15:restartNumberingAfterBreak="0">
    <w:nsid w:val="42FC077D"/>
    <w:multiLevelType w:val="singleLevel"/>
    <w:tmpl w:val="4128FD03"/>
    <w:name w:val="Tiret 5"/>
    <w:lvl w:ilvl="0">
      <w:start w:val="1"/>
      <w:numFmt w:val="bullet"/>
      <w:lvlRestart w:val="0"/>
      <w:pStyle w:val="Tiret5"/>
      <w:lvlText w:val="–"/>
      <w:lvlJc w:val="left"/>
      <w:pPr>
        <w:tabs>
          <w:tab w:val="num" w:pos="3685"/>
        </w:tabs>
        <w:ind w:left="3685" w:hanging="567"/>
      </w:pPr>
    </w:lvl>
  </w:abstractNum>
  <w:abstractNum w:abstractNumId="1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6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7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8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 w15:restartNumberingAfterBreak="0">
    <w:nsid w:val="64A12FA4"/>
    <w:multiLevelType w:val="multilevel"/>
    <w:tmpl w:val="428ECF3E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2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22"/>
    <w:lvlOverride w:ilvl="0">
      <w:startOverride w:val="1"/>
    </w:lvlOverride>
  </w:num>
  <w:num w:numId="10">
    <w:abstractNumId w:val="19"/>
  </w:num>
  <w:num w:numId="11">
    <w:abstractNumId w:val="12"/>
  </w:num>
  <w:num w:numId="12">
    <w:abstractNumId w:val="21"/>
  </w:num>
  <w:num w:numId="13">
    <w:abstractNumId w:val="11"/>
  </w:num>
  <w:num w:numId="14">
    <w:abstractNumId w:val="13"/>
  </w:num>
  <w:num w:numId="15">
    <w:abstractNumId w:val="9"/>
  </w:num>
  <w:num w:numId="16">
    <w:abstractNumId w:val="20"/>
  </w:num>
  <w:num w:numId="17">
    <w:abstractNumId w:val="8"/>
  </w:num>
  <w:num w:numId="18">
    <w:abstractNumId w:val="15"/>
  </w:num>
  <w:num w:numId="19">
    <w:abstractNumId w:val="17"/>
  </w:num>
  <w:num w:numId="20">
    <w:abstractNumId w:val="18"/>
  </w:num>
  <w:num w:numId="21">
    <w:abstractNumId w:val="10"/>
  </w:num>
  <w:num w:numId="22">
    <w:abstractNumId w:val="16"/>
  </w:num>
  <w:num w:numId="23">
    <w:abstractNumId w:val="22"/>
  </w:num>
  <w:num w:numId="24">
    <w:abstractNumId w:val="20"/>
  </w:num>
  <w:num w:numId="25">
    <w:abstractNumId w:val="20"/>
  </w:num>
  <w:num w:numId="26">
    <w:abstractNumId w:val="20"/>
  </w:num>
  <w:num w:numId="27">
    <w:abstractNumId w:val="14"/>
  </w:num>
  <w:num w:numId="28">
    <w:abstractNumId w:val="9"/>
  </w:num>
  <w:num w:numId="29">
    <w:abstractNumId w:val="9"/>
  </w:num>
  <w:num w:numId="30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2-02-10 09:48:08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7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FigNum" w:val="1"/>
    <w:docVar w:name="LW_CORRIGENDUM" w:val="&lt;UNUSED&gt;"/>
    <w:docVar w:name="LW_COVERPAGE_EXISTS" w:val="True"/>
    <w:docVar w:name="LW_COVERPAGE_GUID" w:val="B2704C99-B074-43AD-9E08-AA4BAC45FAEE"/>
    <w:docVar w:name="LW_COVERPAGE_TYPE" w:val="1"/>
    <w:docVar w:name="LW_CROSSREFERENCE" w:val="&lt;UNUSED&gt;"/>
    <w:docVar w:name="LW_DocType" w:val="COM"/>
    <w:docVar w:name="LW_EMISSION" w:val="2.2.2022"/>
    <w:docVar w:name="LW_EMISSION_ISODATE" w:val="2022-02-02"/>
    <w:docVar w:name="LW_EMISSION_LOCATION" w:val="BRX"/>
    <w:docVar w:name="LW_EMISSION_PREFIX" w:val="Brussell, "/>
    <w:docVar w:name="LW_EMISSION_SUFFIX" w:val=" "/>
    <w:docVar w:name="LW_ID_DOCMODEL" w:val="SJ-023"/>
    <w:docVar w:name="LW_ID_DOCSIGNATURE" w:val="SJ-023"/>
    <w:docVar w:name="LW_ID_DOCSTRUCTURE" w:val="COM/PL/ORG"/>
    <w:docVar w:name="LW_ID_DOCTYPE" w:val="SJ-023"/>
    <w:docVar w:name="LW_ID_EXP.MOTIFS.NEW" w:val="EM_PL_"/>
    <w:docVar w:name="LW_ID_STATUT" w:val="SJ-023"/>
    <w:docVar w:name="LW_INTERETEEE.CP" w:val="(Test b’rilevanza għaż-ŻEE)"/>
    <w:docVar w:name="LW_LANGUE" w:val="MT"/>
    <w:docVar w:name="LW_LEVEL_OF_SENSITIVITY" w:val="Standard treatment"/>
    <w:docVar w:name="LW_NOM.INST" w:val="IL-KUMMISSJONI EWROPEA"/>
    <w:docVar w:name="LW_NOM.INST_JOINTDOC" w:val="&lt;EMPTY&gt;"/>
    <w:docVar w:name="LW_PART_NBR" w:val="1"/>
    <w:docVar w:name="LW_PART_NBR_TOTAL" w:val="1"/>
    <w:docVar w:name="LW_REF.II.NEW.CP" w:val="COD"/>
    <w:docVar w:name="LW_REF.II.NEW.CP_NUMBER" w:val="0021"/>
    <w:docVar w:name="LW_REF.II.NEW.CP_YEAR" w:val="2022"/>
    <w:docVar w:name="LW_REF.INST.NEW" w:val="COM"/>
    <w:docVar w:name="LW_REF.INST.NEW_ADOPTED" w:val="final"/>
    <w:docVar w:name="LW_REF.INST.NEW_TEXT" w:val="(2022) 32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TATUT.CP" w:val="Proposta għal"/>
    <w:docVar w:name="LW_SUPERTITRE" w:val="&lt;UNUSED&gt;"/>
    <w:docVar w:name="LW_TITRE.OBJ.CP" w:val="li jemenda r-Regolament (UE) Nru 1025/2012 fir-rigward tad-deċiżjonijiet tal-organizzazzjonijiet Ewropej tal-istandardizzazzjoni dwar standards Ewropej u strumenti ta’ standardizzazzjoni Ewropea"/>
    <w:docVar w:name="LW_TYPE.DOC.CP" w:val="REGOLAMENT TAL-PARLAMENT EWROPEW U TAL-KUNSILL"/>
    <w:docVar w:name="LwApiVersions" w:val="LW4CoDe 1.23.2.0; LW 8.0, Build 20211117"/>
  </w:docVars>
  <w:rsids>
    <w:rsidRoot w:val="00DB139D"/>
    <w:rsid w:val="00001474"/>
    <w:rsid w:val="00003C6A"/>
    <w:rsid w:val="0000669E"/>
    <w:rsid w:val="000170F1"/>
    <w:rsid w:val="00034A7E"/>
    <w:rsid w:val="0003702E"/>
    <w:rsid w:val="0005003A"/>
    <w:rsid w:val="000572A9"/>
    <w:rsid w:val="00065A6B"/>
    <w:rsid w:val="00090DBE"/>
    <w:rsid w:val="00091B05"/>
    <w:rsid w:val="000A0220"/>
    <w:rsid w:val="000A2035"/>
    <w:rsid w:val="000A49DB"/>
    <w:rsid w:val="000A516B"/>
    <w:rsid w:val="000A7517"/>
    <w:rsid w:val="000B2D59"/>
    <w:rsid w:val="000B5AD5"/>
    <w:rsid w:val="000B5F45"/>
    <w:rsid w:val="000C0DC7"/>
    <w:rsid w:val="000C2F08"/>
    <w:rsid w:val="000C4EBC"/>
    <w:rsid w:val="000E198E"/>
    <w:rsid w:val="000E32A6"/>
    <w:rsid w:val="000E40A8"/>
    <w:rsid w:val="000F2582"/>
    <w:rsid w:val="001008CD"/>
    <w:rsid w:val="00100D1B"/>
    <w:rsid w:val="00102C6D"/>
    <w:rsid w:val="00103923"/>
    <w:rsid w:val="001125AB"/>
    <w:rsid w:val="00117A36"/>
    <w:rsid w:val="00140F93"/>
    <w:rsid w:val="001534E5"/>
    <w:rsid w:val="0016022A"/>
    <w:rsid w:val="0016530A"/>
    <w:rsid w:val="00190AF9"/>
    <w:rsid w:val="001B498B"/>
    <w:rsid w:val="001C2816"/>
    <w:rsid w:val="001C5434"/>
    <w:rsid w:val="001C5834"/>
    <w:rsid w:val="001C6095"/>
    <w:rsid w:val="001E3235"/>
    <w:rsid w:val="001E7A85"/>
    <w:rsid w:val="001F0B26"/>
    <w:rsid w:val="00210B10"/>
    <w:rsid w:val="00224013"/>
    <w:rsid w:val="002326A6"/>
    <w:rsid w:val="00232E98"/>
    <w:rsid w:val="00233AE4"/>
    <w:rsid w:val="002409DD"/>
    <w:rsid w:val="00241283"/>
    <w:rsid w:val="00242075"/>
    <w:rsid w:val="00256F47"/>
    <w:rsid w:val="0027515B"/>
    <w:rsid w:val="00277E9D"/>
    <w:rsid w:val="00296B8D"/>
    <w:rsid w:val="002A350D"/>
    <w:rsid w:val="002B1BD2"/>
    <w:rsid w:val="002C3E81"/>
    <w:rsid w:val="002C530A"/>
    <w:rsid w:val="002E69BD"/>
    <w:rsid w:val="002F2029"/>
    <w:rsid w:val="003106B5"/>
    <w:rsid w:val="00311649"/>
    <w:rsid w:val="0031625C"/>
    <w:rsid w:val="003235A7"/>
    <w:rsid w:val="00323E57"/>
    <w:rsid w:val="003257DE"/>
    <w:rsid w:val="00351880"/>
    <w:rsid w:val="00363011"/>
    <w:rsid w:val="003659F0"/>
    <w:rsid w:val="003669D2"/>
    <w:rsid w:val="00371166"/>
    <w:rsid w:val="0037269B"/>
    <w:rsid w:val="003738F0"/>
    <w:rsid w:val="0038446D"/>
    <w:rsid w:val="00391417"/>
    <w:rsid w:val="00396EAF"/>
    <w:rsid w:val="003A185C"/>
    <w:rsid w:val="003B68A9"/>
    <w:rsid w:val="003C361A"/>
    <w:rsid w:val="003D6127"/>
    <w:rsid w:val="003E54F4"/>
    <w:rsid w:val="003F007A"/>
    <w:rsid w:val="003F6BE1"/>
    <w:rsid w:val="003F7899"/>
    <w:rsid w:val="004020D8"/>
    <w:rsid w:val="004057B6"/>
    <w:rsid w:val="00411B5C"/>
    <w:rsid w:val="004139D1"/>
    <w:rsid w:val="00414D58"/>
    <w:rsid w:val="00416B70"/>
    <w:rsid w:val="004215B3"/>
    <w:rsid w:val="00433DF1"/>
    <w:rsid w:val="00435BD8"/>
    <w:rsid w:val="00442C16"/>
    <w:rsid w:val="004471D1"/>
    <w:rsid w:val="0045168A"/>
    <w:rsid w:val="00456F54"/>
    <w:rsid w:val="00456FC9"/>
    <w:rsid w:val="00470A6F"/>
    <w:rsid w:val="00474EF0"/>
    <w:rsid w:val="00477B0E"/>
    <w:rsid w:val="004976A1"/>
    <w:rsid w:val="004A3113"/>
    <w:rsid w:val="004A5BF0"/>
    <w:rsid w:val="004B6D4E"/>
    <w:rsid w:val="004C7BAA"/>
    <w:rsid w:val="004D2CD9"/>
    <w:rsid w:val="004D3A65"/>
    <w:rsid w:val="004F02AE"/>
    <w:rsid w:val="005023CC"/>
    <w:rsid w:val="0050247D"/>
    <w:rsid w:val="00510128"/>
    <w:rsid w:val="00523548"/>
    <w:rsid w:val="005261CF"/>
    <w:rsid w:val="00572E21"/>
    <w:rsid w:val="00574C30"/>
    <w:rsid w:val="005943A7"/>
    <w:rsid w:val="005A0BCD"/>
    <w:rsid w:val="005A19B7"/>
    <w:rsid w:val="005B6004"/>
    <w:rsid w:val="005D6DB1"/>
    <w:rsid w:val="005E27FC"/>
    <w:rsid w:val="005E5C26"/>
    <w:rsid w:val="005F1F7A"/>
    <w:rsid w:val="00610600"/>
    <w:rsid w:val="006163C2"/>
    <w:rsid w:val="006179C6"/>
    <w:rsid w:val="00630AF3"/>
    <w:rsid w:val="0065437E"/>
    <w:rsid w:val="00666036"/>
    <w:rsid w:val="00666D79"/>
    <w:rsid w:val="00694935"/>
    <w:rsid w:val="006A30E9"/>
    <w:rsid w:val="006A6622"/>
    <w:rsid w:val="006A74EF"/>
    <w:rsid w:val="006E6609"/>
    <w:rsid w:val="006F1853"/>
    <w:rsid w:val="006F38BF"/>
    <w:rsid w:val="006F53C7"/>
    <w:rsid w:val="006F56CC"/>
    <w:rsid w:val="0070128F"/>
    <w:rsid w:val="007117EE"/>
    <w:rsid w:val="00712F31"/>
    <w:rsid w:val="0072024D"/>
    <w:rsid w:val="00730FCF"/>
    <w:rsid w:val="007319C4"/>
    <w:rsid w:val="00734681"/>
    <w:rsid w:val="00734CED"/>
    <w:rsid w:val="00740749"/>
    <w:rsid w:val="007716EB"/>
    <w:rsid w:val="007903CE"/>
    <w:rsid w:val="00793420"/>
    <w:rsid w:val="007A2FC6"/>
    <w:rsid w:val="007B4AFC"/>
    <w:rsid w:val="007C06F6"/>
    <w:rsid w:val="007C7658"/>
    <w:rsid w:val="007D1599"/>
    <w:rsid w:val="007D15E2"/>
    <w:rsid w:val="007D50EF"/>
    <w:rsid w:val="007F6F39"/>
    <w:rsid w:val="007F71DE"/>
    <w:rsid w:val="0080618C"/>
    <w:rsid w:val="008113CE"/>
    <w:rsid w:val="0081749B"/>
    <w:rsid w:val="00817786"/>
    <w:rsid w:val="00825B19"/>
    <w:rsid w:val="00834E7C"/>
    <w:rsid w:val="0083638F"/>
    <w:rsid w:val="008503A4"/>
    <w:rsid w:val="00853C65"/>
    <w:rsid w:val="00866232"/>
    <w:rsid w:val="00876909"/>
    <w:rsid w:val="00892D63"/>
    <w:rsid w:val="00896BA3"/>
    <w:rsid w:val="008A0445"/>
    <w:rsid w:val="008A1DD1"/>
    <w:rsid w:val="008C1215"/>
    <w:rsid w:val="008C4125"/>
    <w:rsid w:val="008E14E8"/>
    <w:rsid w:val="008E3945"/>
    <w:rsid w:val="008F3F00"/>
    <w:rsid w:val="008F41C3"/>
    <w:rsid w:val="008F66D1"/>
    <w:rsid w:val="00904BA0"/>
    <w:rsid w:val="00920255"/>
    <w:rsid w:val="00920981"/>
    <w:rsid w:val="00923035"/>
    <w:rsid w:val="00927FBA"/>
    <w:rsid w:val="00930A22"/>
    <w:rsid w:val="00942964"/>
    <w:rsid w:val="00944145"/>
    <w:rsid w:val="00945F65"/>
    <w:rsid w:val="00947BD1"/>
    <w:rsid w:val="00964046"/>
    <w:rsid w:val="00970E3E"/>
    <w:rsid w:val="009822B7"/>
    <w:rsid w:val="00986B33"/>
    <w:rsid w:val="00987AD5"/>
    <w:rsid w:val="009B1499"/>
    <w:rsid w:val="009B45EC"/>
    <w:rsid w:val="009B7138"/>
    <w:rsid w:val="009B731E"/>
    <w:rsid w:val="009D3145"/>
    <w:rsid w:val="009E2996"/>
    <w:rsid w:val="009F152B"/>
    <w:rsid w:val="009F38C6"/>
    <w:rsid w:val="00A014D7"/>
    <w:rsid w:val="00A1491E"/>
    <w:rsid w:val="00A448FE"/>
    <w:rsid w:val="00A675B2"/>
    <w:rsid w:val="00A73103"/>
    <w:rsid w:val="00AB09A4"/>
    <w:rsid w:val="00AC18B6"/>
    <w:rsid w:val="00AC5F91"/>
    <w:rsid w:val="00AD4F9F"/>
    <w:rsid w:val="00AE3170"/>
    <w:rsid w:val="00AF2022"/>
    <w:rsid w:val="00AF276A"/>
    <w:rsid w:val="00AF5499"/>
    <w:rsid w:val="00AF7DDF"/>
    <w:rsid w:val="00B0185D"/>
    <w:rsid w:val="00B0551C"/>
    <w:rsid w:val="00B065B5"/>
    <w:rsid w:val="00B10495"/>
    <w:rsid w:val="00B12290"/>
    <w:rsid w:val="00B13598"/>
    <w:rsid w:val="00B16BE1"/>
    <w:rsid w:val="00B17DBA"/>
    <w:rsid w:val="00B24216"/>
    <w:rsid w:val="00B46916"/>
    <w:rsid w:val="00B5447E"/>
    <w:rsid w:val="00B65861"/>
    <w:rsid w:val="00B80E70"/>
    <w:rsid w:val="00B81CEB"/>
    <w:rsid w:val="00BA1A25"/>
    <w:rsid w:val="00BA2746"/>
    <w:rsid w:val="00BC26F1"/>
    <w:rsid w:val="00BC6864"/>
    <w:rsid w:val="00BC755D"/>
    <w:rsid w:val="00BD62CA"/>
    <w:rsid w:val="00BD6746"/>
    <w:rsid w:val="00BE0FD0"/>
    <w:rsid w:val="00BE246D"/>
    <w:rsid w:val="00BE73C8"/>
    <w:rsid w:val="00BF17AA"/>
    <w:rsid w:val="00BF1C19"/>
    <w:rsid w:val="00BF1DE8"/>
    <w:rsid w:val="00BF31D3"/>
    <w:rsid w:val="00BF7648"/>
    <w:rsid w:val="00C044C3"/>
    <w:rsid w:val="00C051C1"/>
    <w:rsid w:val="00C075D3"/>
    <w:rsid w:val="00C15479"/>
    <w:rsid w:val="00C24556"/>
    <w:rsid w:val="00C3184A"/>
    <w:rsid w:val="00C55758"/>
    <w:rsid w:val="00C57686"/>
    <w:rsid w:val="00C61A34"/>
    <w:rsid w:val="00C7142E"/>
    <w:rsid w:val="00C76DB7"/>
    <w:rsid w:val="00C807D4"/>
    <w:rsid w:val="00C8167A"/>
    <w:rsid w:val="00C8482F"/>
    <w:rsid w:val="00C852EC"/>
    <w:rsid w:val="00CA1BEA"/>
    <w:rsid w:val="00CB7BDB"/>
    <w:rsid w:val="00CC1425"/>
    <w:rsid w:val="00CC5629"/>
    <w:rsid w:val="00CD4FB4"/>
    <w:rsid w:val="00CE05A1"/>
    <w:rsid w:val="00CE4BE8"/>
    <w:rsid w:val="00D10286"/>
    <w:rsid w:val="00D215E9"/>
    <w:rsid w:val="00D3051D"/>
    <w:rsid w:val="00D34432"/>
    <w:rsid w:val="00D3556A"/>
    <w:rsid w:val="00D44D4F"/>
    <w:rsid w:val="00D61B81"/>
    <w:rsid w:val="00D633E1"/>
    <w:rsid w:val="00D64E75"/>
    <w:rsid w:val="00D7004F"/>
    <w:rsid w:val="00D735AB"/>
    <w:rsid w:val="00D766FC"/>
    <w:rsid w:val="00D77950"/>
    <w:rsid w:val="00D83444"/>
    <w:rsid w:val="00D9461D"/>
    <w:rsid w:val="00D969D6"/>
    <w:rsid w:val="00DA0C8F"/>
    <w:rsid w:val="00DA29CF"/>
    <w:rsid w:val="00DB139D"/>
    <w:rsid w:val="00DB59D7"/>
    <w:rsid w:val="00DC2433"/>
    <w:rsid w:val="00DC47A2"/>
    <w:rsid w:val="00DD372C"/>
    <w:rsid w:val="00DD6DCC"/>
    <w:rsid w:val="00DF1EFC"/>
    <w:rsid w:val="00DF5A8F"/>
    <w:rsid w:val="00E16AF3"/>
    <w:rsid w:val="00E235DC"/>
    <w:rsid w:val="00E314AA"/>
    <w:rsid w:val="00E360F6"/>
    <w:rsid w:val="00E727E0"/>
    <w:rsid w:val="00E82F46"/>
    <w:rsid w:val="00E84BBC"/>
    <w:rsid w:val="00EA4ABB"/>
    <w:rsid w:val="00EC00F8"/>
    <w:rsid w:val="00EC0D20"/>
    <w:rsid w:val="00EC563B"/>
    <w:rsid w:val="00EE121A"/>
    <w:rsid w:val="00EE389E"/>
    <w:rsid w:val="00EE45A6"/>
    <w:rsid w:val="00F00B0D"/>
    <w:rsid w:val="00F00E84"/>
    <w:rsid w:val="00F029B6"/>
    <w:rsid w:val="00F03CB0"/>
    <w:rsid w:val="00F04E1E"/>
    <w:rsid w:val="00F12839"/>
    <w:rsid w:val="00F16547"/>
    <w:rsid w:val="00F20062"/>
    <w:rsid w:val="00F25B32"/>
    <w:rsid w:val="00F33A91"/>
    <w:rsid w:val="00F4411E"/>
    <w:rsid w:val="00F50B1D"/>
    <w:rsid w:val="00F65292"/>
    <w:rsid w:val="00F75921"/>
    <w:rsid w:val="00F801A0"/>
    <w:rsid w:val="00F87B34"/>
    <w:rsid w:val="00F935BF"/>
    <w:rsid w:val="00FA7535"/>
    <w:rsid w:val="00FB40A8"/>
    <w:rsid w:val="00FC36AB"/>
    <w:rsid w:val="00FC7A99"/>
    <w:rsid w:val="00FD7072"/>
    <w:rsid w:val="00FD744C"/>
    <w:rsid w:val="00FE1C7A"/>
    <w:rsid w:val="00FF1CED"/>
    <w:rsid w:val="321FB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D459C81"/>
  <w15:docId w15:val="{E7378A80-DF19-41EA-8C54-A14826BB5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mt-MT"/>
    </w:rPr>
  </w:style>
  <w:style w:type="paragraph" w:styleId="Heading1">
    <w:name w:val="heading 1"/>
    <w:basedOn w:val="Normal"/>
    <w:next w:val="Text1"/>
    <w:link w:val="Heading1Char"/>
    <w:uiPriority w:val="9"/>
    <w:qFormat/>
    <w:rsid w:val="009B7138"/>
    <w:pPr>
      <w:keepNext/>
      <w:numPr>
        <w:numId w:val="2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rsid w:val="009B7138"/>
    <w:pPr>
      <w:keepNext/>
      <w:numPr>
        <w:ilvl w:val="1"/>
        <w:numId w:val="2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rsid w:val="009B7138"/>
    <w:pPr>
      <w:keepNext/>
      <w:numPr>
        <w:ilvl w:val="2"/>
        <w:numId w:val="2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rsid w:val="009B7138"/>
    <w:pPr>
      <w:keepNext/>
      <w:numPr>
        <w:ilvl w:val="3"/>
        <w:numId w:val="26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Text2"/>
    <w:link w:val="Heading5Char"/>
    <w:uiPriority w:val="9"/>
    <w:semiHidden/>
    <w:unhideWhenUsed/>
    <w:qFormat/>
    <w:rsid w:val="006E6609"/>
    <w:pPr>
      <w:keepNext/>
      <w:numPr>
        <w:ilvl w:val="4"/>
        <w:numId w:val="26"/>
      </w:numPr>
      <w:outlineLvl w:val="4"/>
    </w:pPr>
    <w:rPr>
      <w:rFonts w:eastAsiaTheme="majorEastAsia"/>
    </w:rPr>
  </w:style>
  <w:style w:type="paragraph" w:styleId="Heading6">
    <w:name w:val="heading 6"/>
    <w:basedOn w:val="Normal"/>
    <w:next w:val="Text2"/>
    <w:link w:val="Heading6Char"/>
    <w:uiPriority w:val="9"/>
    <w:semiHidden/>
    <w:unhideWhenUsed/>
    <w:qFormat/>
    <w:rsid w:val="006E6609"/>
    <w:pPr>
      <w:keepNext/>
      <w:numPr>
        <w:ilvl w:val="5"/>
        <w:numId w:val="26"/>
      </w:numPr>
      <w:outlineLvl w:val="5"/>
    </w:pPr>
    <w:rPr>
      <w:rFonts w:eastAsiaTheme="majorEastAsia"/>
      <w:iCs/>
    </w:rPr>
  </w:style>
  <w:style w:type="paragraph" w:styleId="Heading7">
    <w:name w:val="heading 7"/>
    <w:basedOn w:val="Normal"/>
    <w:next w:val="Text2"/>
    <w:link w:val="Heading7Char"/>
    <w:uiPriority w:val="9"/>
    <w:semiHidden/>
    <w:unhideWhenUsed/>
    <w:qFormat/>
    <w:rsid w:val="006E6609"/>
    <w:pPr>
      <w:keepNext/>
      <w:numPr>
        <w:ilvl w:val="6"/>
        <w:numId w:val="26"/>
      </w:numPr>
      <w:outlineLvl w:val="6"/>
    </w:pPr>
    <w:rPr>
      <w:rFonts w:eastAsiaTheme="majorEastAsia"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B139D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34E7C"/>
    <w:pPr>
      <w:spacing w:before="0" w:after="240"/>
      <w:ind w:left="720"/>
      <w:contextualSpacing/>
    </w:pPr>
    <w:rPr>
      <w:rFonts w:eastAsia="Times New Roman"/>
      <w:szCs w:val="20"/>
      <w:lang w:eastAsia="fr-BE"/>
    </w:rPr>
  </w:style>
  <w:style w:type="paragraph" w:styleId="ListBullet">
    <w:name w:val="List Bullet"/>
    <w:basedOn w:val="Normal"/>
    <w:uiPriority w:val="99"/>
    <w:semiHidden/>
    <w:unhideWhenUsed/>
    <w:rsid w:val="001125A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125A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125A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125AB"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95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950"/>
    <w:rPr>
      <w:rFonts w:ascii="Segoe UI" w:hAnsi="Segoe UI" w:cs="Segoe UI"/>
      <w:sz w:val="18"/>
      <w:szCs w:val="18"/>
      <w:lang w:val="mt-MT"/>
    </w:rPr>
  </w:style>
  <w:style w:type="paragraph" w:styleId="Revision">
    <w:name w:val="Revision"/>
    <w:hidden/>
    <w:uiPriority w:val="99"/>
    <w:semiHidden/>
    <w:rsid w:val="002C3E81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25B32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F25B32"/>
    <w:pPr>
      <w:spacing w:after="0"/>
    </w:pPr>
  </w:style>
  <w:style w:type="paragraph" w:styleId="ListNumber">
    <w:name w:val="List Number"/>
    <w:basedOn w:val="Normal"/>
    <w:uiPriority w:val="99"/>
    <w:semiHidden/>
    <w:unhideWhenUsed/>
    <w:rsid w:val="00F25B32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F25B32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25B32"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25B32"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F2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27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276A"/>
    <w:rPr>
      <w:rFonts w:ascii="Times New Roman" w:hAnsi="Times New Roman" w:cs="Times New Roman"/>
      <w:sz w:val="20"/>
      <w:szCs w:val="20"/>
      <w:lang w:val="mt-M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2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276A"/>
    <w:rPr>
      <w:rFonts w:ascii="Times New Roman" w:hAnsi="Times New Roman" w:cs="Times New Roman"/>
      <w:b/>
      <w:bCs/>
      <w:sz w:val="20"/>
      <w:szCs w:val="20"/>
      <w:lang w:val="mt-MT"/>
    </w:rPr>
  </w:style>
  <w:style w:type="character" w:styleId="FollowedHyperlink">
    <w:name w:val="FollowedHyperlink"/>
    <w:basedOn w:val="DefaultParagraphFont"/>
    <w:uiPriority w:val="99"/>
    <w:semiHidden/>
    <w:unhideWhenUsed/>
    <w:rsid w:val="00AF276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D44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4145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944145"/>
    <w:rPr>
      <w:rFonts w:ascii="Times New Roman" w:hAnsi="Times New Roman" w:cs="Times New Roman"/>
      <w:sz w:val="24"/>
      <w:lang w:val="mt-MT"/>
    </w:rPr>
  </w:style>
  <w:style w:type="paragraph" w:styleId="Footer">
    <w:name w:val="footer"/>
    <w:basedOn w:val="Normal"/>
    <w:link w:val="FooterChar"/>
    <w:uiPriority w:val="99"/>
    <w:unhideWhenUsed/>
    <w:rsid w:val="00944145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944145"/>
    <w:rPr>
      <w:rFonts w:ascii="Times New Roman" w:hAnsi="Times New Roman" w:cs="Times New Roman"/>
      <w:sz w:val="24"/>
      <w:lang w:val="mt-M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7138"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7138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9B7138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7138"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7138"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7138"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9B7138"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rsid w:val="009B7138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rsid w:val="009B7138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rsid w:val="009B7138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rsid w:val="009B7138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rsid w:val="009B7138"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rsid w:val="009B7138"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rsid w:val="009B7138"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rsid w:val="009B7138"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rsid w:val="009B7138"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944145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944145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sid w:val="009B7138"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94414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rsid w:val="00944145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rsid w:val="0094414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rsid w:val="009B7138"/>
    <w:pPr>
      <w:ind w:left="850"/>
    </w:pPr>
  </w:style>
  <w:style w:type="paragraph" w:customStyle="1" w:styleId="Text2">
    <w:name w:val="Text 2"/>
    <w:basedOn w:val="Normal"/>
    <w:rsid w:val="009B7138"/>
    <w:pPr>
      <w:ind w:left="1417"/>
    </w:pPr>
  </w:style>
  <w:style w:type="paragraph" w:customStyle="1" w:styleId="Text3">
    <w:name w:val="Text 3"/>
    <w:basedOn w:val="Normal"/>
    <w:rsid w:val="009B7138"/>
    <w:pPr>
      <w:ind w:left="1984"/>
    </w:pPr>
  </w:style>
  <w:style w:type="paragraph" w:customStyle="1" w:styleId="Text4">
    <w:name w:val="Text 4"/>
    <w:basedOn w:val="Normal"/>
    <w:rsid w:val="009B7138"/>
    <w:pPr>
      <w:ind w:left="2551"/>
    </w:pPr>
  </w:style>
  <w:style w:type="paragraph" w:customStyle="1" w:styleId="NormalCentered">
    <w:name w:val="Normal Centered"/>
    <w:basedOn w:val="Normal"/>
    <w:rsid w:val="009B7138"/>
    <w:pPr>
      <w:jc w:val="center"/>
    </w:pPr>
  </w:style>
  <w:style w:type="paragraph" w:customStyle="1" w:styleId="NormalLeft">
    <w:name w:val="Normal Left"/>
    <w:basedOn w:val="Normal"/>
    <w:rsid w:val="009B7138"/>
    <w:pPr>
      <w:jc w:val="left"/>
    </w:pPr>
  </w:style>
  <w:style w:type="paragraph" w:customStyle="1" w:styleId="NormalRight">
    <w:name w:val="Normal Right"/>
    <w:basedOn w:val="Normal"/>
    <w:rsid w:val="009B7138"/>
    <w:pPr>
      <w:jc w:val="right"/>
    </w:pPr>
  </w:style>
  <w:style w:type="paragraph" w:customStyle="1" w:styleId="QuotedText">
    <w:name w:val="Quoted Text"/>
    <w:basedOn w:val="Normal"/>
    <w:rsid w:val="009B7138"/>
    <w:pPr>
      <w:ind w:left="1417"/>
    </w:pPr>
  </w:style>
  <w:style w:type="paragraph" w:customStyle="1" w:styleId="Point0">
    <w:name w:val="Point 0"/>
    <w:basedOn w:val="Normal"/>
    <w:rsid w:val="009B7138"/>
    <w:pPr>
      <w:ind w:left="850" w:hanging="850"/>
    </w:pPr>
  </w:style>
  <w:style w:type="paragraph" w:customStyle="1" w:styleId="Point1">
    <w:name w:val="Point 1"/>
    <w:basedOn w:val="Normal"/>
    <w:rsid w:val="009B7138"/>
    <w:pPr>
      <w:ind w:left="1417" w:hanging="567"/>
    </w:pPr>
  </w:style>
  <w:style w:type="paragraph" w:customStyle="1" w:styleId="Point2">
    <w:name w:val="Point 2"/>
    <w:basedOn w:val="Normal"/>
    <w:rsid w:val="009B7138"/>
    <w:pPr>
      <w:ind w:left="1984" w:hanging="567"/>
    </w:pPr>
  </w:style>
  <w:style w:type="paragraph" w:customStyle="1" w:styleId="Point3">
    <w:name w:val="Point 3"/>
    <w:basedOn w:val="Normal"/>
    <w:rsid w:val="009B7138"/>
    <w:pPr>
      <w:ind w:left="2551" w:hanging="567"/>
    </w:pPr>
  </w:style>
  <w:style w:type="paragraph" w:customStyle="1" w:styleId="Point4">
    <w:name w:val="Point 4"/>
    <w:basedOn w:val="Normal"/>
    <w:rsid w:val="009B7138"/>
    <w:pPr>
      <w:ind w:left="3118" w:hanging="567"/>
    </w:pPr>
  </w:style>
  <w:style w:type="paragraph" w:customStyle="1" w:styleId="Tiret0">
    <w:name w:val="Tiret 0"/>
    <w:basedOn w:val="Point0"/>
    <w:rsid w:val="009B7138"/>
    <w:pPr>
      <w:numPr>
        <w:numId w:val="10"/>
      </w:numPr>
    </w:pPr>
  </w:style>
  <w:style w:type="paragraph" w:customStyle="1" w:styleId="Tiret1">
    <w:name w:val="Tiret 1"/>
    <w:basedOn w:val="Point1"/>
    <w:rsid w:val="009B7138"/>
    <w:pPr>
      <w:numPr>
        <w:numId w:val="11"/>
      </w:numPr>
    </w:pPr>
  </w:style>
  <w:style w:type="paragraph" w:customStyle="1" w:styleId="Tiret2">
    <w:name w:val="Tiret 2"/>
    <w:basedOn w:val="Point2"/>
    <w:rsid w:val="009B7138"/>
    <w:pPr>
      <w:numPr>
        <w:numId w:val="12"/>
      </w:numPr>
    </w:pPr>
  </w:style>
  <w:style w:type="paragraph" w:customStyle="1" w:styleId="Tiret3">
    <w:name w:val="Tiret 3"/>
    <w:basedOn w:val="Point3"/>
    <w:rsid w:val="009B7138"/>
    <w:pPr>
      <w:numPr>
        <w:numId w:val="13"/>
      </w:numPr>
    </w:pPr>
  </w:style>
  <w:style w:type="paragraph" w:customStyle="1" w:styleId="Tiret4">
    <w:name w:val="Tiret 4"/>
    <w:basedOn w:val="Point4"/>
    <w:rsid w:val="009B7138"/>
    <w:pPr>
      <w:numPr>
        <w:numId w:val="14"/>
      </w:numPr>
    </w:pPr>
  </w:style>
  <w:style w:type="paragraph" w:customStyle="1" w:styleId="PointDouble0">
    <w:name w:val="PointDouble 0"/>
    <w:basedOn w:val="Normal"/>
    <w:rsid w:val="009B7138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9B7138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rsid w:val="009B7138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rsid w:val="009B7138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rsid w:val="009B7138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rsid w:val="009B7138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9B7138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rsid w:val="009B7138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rsid w:val="009B7138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rsid w:val="009B7138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rsid w:val="009B7138"/>
    <w:pPr>
      <w:numPr>
        <w:numId w:val="30"/>
      </w:numPr>
    </w:pPr>
  </w:style>
  <w:style w:type="paragraph" w:customStyle="1" w:styleId="NumPar2">
    <w:name w:val="NumPar 2"/>
    <w:basedOn w:val="Normal"/>
    <w:next w:val="Text1"/>
    <w:rsid w:val="009B7138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rsid w:val="009B7138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rsid w:val="009B7138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rsid w:val="009B7138"/>
    <w:pPr>
      <w:ind w:left="850" w:hanging="850"/>
    </w:pPr>
  </w:style>
  <w:style w:type="paragraph" w:customStyle="1" w:styleId="ManualNumPar2">
    <w:name w:val="Manual NumPar 2"/>
    <w:basedOn w:val="Normal"/>
    <w:next w:val="Text1"/>
    <w:rsid w:val="009B7138"/>
    <w:pPr>
      <w:ind w:left="850" w:hanging="850"/>
    </w:pPr>
  </w:style>
  <w:style w:type="paragraph" w:customStyle="1" w:styleId="ManualNumPar3">
    <w:name w:val="Manual NumPar 3"/>
    <w:basedOn w:val="Normal"/>
    <w:next w:val="Text1"/>
    <w:rsid w:val="009B7138"/>
    <w:pPr>
      <w:ind w:left="850" w:hanging="850"/>
    </w:pPr>
  </w:style>
  <w:style w:type="paragraph" w:customStyle="1" w:styleId="ManualNumPar4">
    <w:name w:val="Manual NumPar 4"/>
    <w:basedOn w:val="Normal"/>
    <w:next w:val="Text1"/>
    <w:rsid w:val="009B7138"/>
    <w:pPr>
      <w:ind w:left="850" w:hanging="850"/>
    </w:pPr>
  </w:style>
  <w:style w:type="paragraph" w:customStyle="1" w:styleId="QuotedNumPar">
    <w:name w:val="Quoted NumPar"/>
    <w:basedOn w:val="Normal"/>
    <w:rsid w:val="009B7138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9B7138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9B7138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9B7138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9B7138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rsid w:val="009B7138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9B7138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rsid w:val="009B7138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9B7138"/>
    <w:pPr>
      <w:jc w:val="center"/>
    </w:pPr>
    <w:rPr>
      <w:b/>
    </w:rPr>
  </w:style>
  <w:style w:type="character" w:customStyle="1" w:styleId="Marker">
    <w:name w:val="Marker"/>
    <w:basedOn w:val="DefaultParagraphFont"/>
    <w:rsid w:val="008A0445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sid w:val="009B7138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sid w:val="009B7138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9B7138"/>
    <w:pPr>
      <w:numPr>
        <w:numId w:val="17"/>
      </w:numPr>
    </w:pPr>
  </w:style>
  <w:style w:type="paragraph" w:customStyle="1" w:styleId="Point1number">
    <w:name w:val="Point 1 (number)"/>
    <w:basedOn w:val="Normal"/>
    <w:rsid w:val="009B7138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rsid w:val="009B7138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rsid w:val="009B7138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rsid w:val="009B7138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rsid w:val="009B7138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rsid w:val="009B7138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rsid w:val="009B7138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rsid w:val="009B7138"/>
    <w:pPr>
      <w:numPr>
        <w:ilvl w:val="8"/>
        <w:numId w:val="17"/>
      </w:numPr>
    </w:pPr>
  </w:style>
  <w:style w:type="paragraph" w:customStyle="1" w:styleId="Bullet0">
    <w:name w:val="Bullet 0"/>
    <w:basedOn w:val="Normal"/>
    <w:rsid w:val="009B7138"/>
    <w:pPr>
      <w:numPr>
        <w:numId w:val="18"/>
      </w:numPr>
    </w:pPr>
  </w:style>
  <w:style w:type="paragraph" w:customStyle="1" w:styleId="Bullet1">
    <w:name w:val="Bullet 1"/>
    <w:basedOn w:val="Normal"/>
    <w:rsid w:val="009B7138"/>
    <w:pPr>
      <w:numPr>
        <w:numId w:val="19"/>
      </w:numPr>
    </w:pPr>
  </w:style>
  <w:style w:type="paragraph" w:customStyle="1" w:styleId="Bullet2">
    <w:name w:val="Bullet 2"/>
    <w:basedOn w:val="Normal"/>
    <w:rsid w:val="009B7138"/>
    <w:pPr>
      <w:numPr>
        <w:numId w:val="20"/>
      </w:numPr>
    </w:pPr>
  </w:style>
  <w:style w:type="paragraph" w:customStyle="1" w:styleId="Bullet3">
    <w:name w:val="Bullet 3"/>
    <w:basedOn w:val="Normal"/>
    <w:rsid w:val="009B7138"/>
    <w:pPr>
      <w:numPr>
        <w:numId w:val="21"/>
      </w:numPr>
    </w:pPr>
  </w:style>
  <w:style w:type="paragraph" w:customStyle="1" w:styleId="Bullet4">
    <w:name w:val="Bullet 4"/>
    <w:basedOn w:val="Normal"/>
    <w:rsid w:val="009B7138"/>
    <w:pPr>
      <w:numPr>
        <w:numId w:val="22"/>
      </w:numPr>
    </w:pPr>
  </w:style>
  <w:style w:type="paragraph" w:customStyle="1" w:styleId="Langue">
    <w:name w:val="Langue"/>
    <w:basedOn w:val="Normal"/>
    <w:next w:val="Rfrenceinterne"/>
    <w:rsid w:val="009B7138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rsid w:val="009B7138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rsid w:val="009B7138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rsid w:val="009B7138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rsid w:val="009B7138"/>
    <w:pPr>
      <w:spacing w:before="0" w:after="0"/>
    </w:pPr>
  </w:style>
  <w:style w:type="paragraph" w:customStyle="1" w:styleId="Declassification">
    <w:name w:val="Declassification"/>
    <w:basedOn w:val="Normal"/>
    <w:next w:val="Normal"/>
    <w:rsid w:val="009B7138"/>
    <w:pPr>
      <w:spacing w:before="0" w:after="0"/>
    </w:pPr>
  </w:style>
  <w:style w:type="paragraph" w:customStyle="1" w:styleId="Disclaimer">
    <w:name w:val="Disclaimer"/>
    <w:basedOn w:val="Normal"/>
    <w:rsid w:val="009B7138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rsid w:val="009B7138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rsid w:val="009B7138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rsid w:val="009B7138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rsid w:val="009B7138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rsid w:val="009B7138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9B7138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9B7138"/>
    <w:pPr>
      <w:spacing w:before="480"/>
    </w:pPr>
  </w:style>
  <w:style w:type="paragraph" w:customStyle="1" w:styleId="Avertissementtitre">
    <w:name w:val="Avertissement titre"/>
    <w:basedOn w:val="Normal"/>
    <w:next w:val="Normal"/>
    <w:rsid w:val="009B7138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rsid w:val="009B7138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rsid w:val="009B7138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rsid w:val="009B7138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rsid w:val="009B7138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rsid w:val="009B7138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rsid w:val="009B7138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rsid w:val="009B7138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rsid w:val="009B7138"/>
    <w:pPr>
      <w:keepNext/>
    </w:pPr>
  </w:style>
  <w:style w:type="paragraph" w:customStyle="1" w:styleId="Institutionquiagit">
    <w:name w:val="Institution qui agit"/>
    <w:basedOn w:val="Normal"/>
    <w:next w:val="Normal"/>
    <w:rsid w:val="009B7138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9B7138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rsid w:val="009B7138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rsid w:val="009B7138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rsid w:val="009B7138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rsid w:val="009B7138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rsid w:val="009B7138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rsid w:val="009B7138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rsid w:val="009B7138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rsid w:val="009B7138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sid w:val="009B7138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sid w:val="009B7138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9B7138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sid w:val="009B7138"/>
    <w:rPr>
      <w:i/>
      <w:caps/>
    </w:rPr>
  </w:style>
  <w:style w:type="paragraph" w:customStyle="1" w:styleId="Supertitre">
    <w:name w:val="Supertitre"/>
    <w:basedOn w:val="Normal"/>
    <w:next w:val="Normal"/>
    <w:rsid w:val="009B7138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rsid w:val="009B7138"/>
    <w:pPr>
      <w:spacing w:before="360" w:after="0"/>
      <w:jc w:val="center"/>
    </w:pPr>
  </w:style>
  <w:style w:type="paragraph" w:customStyle="1" w:styleId="Rfrencecroise">
    <w:name w:val="Référence croisée"/>
    <w:basedOn w:val="Normal"/>
    <w:rsid w:val="009B7138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rsid w:val="009B7138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9B7138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9B7138"/>
  </w:style>
  <w:style w:type="paragraph" w:customStyle="1" w:styleId="StatutPagedecouverture">
    <w:name w:val="Statut (Page de couverture)"/>
    <w:basedOn w:val="Statut"/>
    <w:next w:val="TypedudocumentPagedecouverture"/>
    <w:rsid w:val="009B7138"/>
  </w:style>
  <w:style w:type="paragraph" w:customStyle="1" w:styleId="TitreobjetPagedecouverture">
    <w:name w:val="Titre objet (Page de couverture)"/>
    <w:basedOn w:val="Titreobjet"/>
    <w:next w:val="IntrtEEEPagedecouverture"/>
    <w:rsid w:val="009B7138"/>
  </w:style>
  <w:style w:type="paragraph" w:customStyle="1" w:styleId="TypedudocumentPagedecouverture">
    <w:name w:val="Type du document (Page de couverture)"/>
    <w:basedOn w:val="Typedudocument"/>
    <w:next w:val="TitreobjetPagedecouverture"/>
    <w:rsid w:val="009B7138"/>
  </w:style>
  <w:style w:type="paragraph" w:customStyle="1" w:styleId="Volume">
    <w:name w:val="Volume"/>
    <w:basedOn w:val="Normal"/>
    <w:next w:val="Confidentialit"/>
    <w:rsid w:val="009B7138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rsid w:val="009B7138"/>
    <w:pPr>
      <w:spacing w:after="240"/>
    </w:pPr>
  </w:style>
  <w:style w:type="paragraph" w:customStyle="1" w:styleId="Accompagnant">
    <w:name w:val="Accompagnant"/>
    <w:basedOn w:val="Normal"/>
    <w:next w:val="Typeacteprincipal"/>
    <w:rsid w:val="009B7138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rsid w:val="009B7138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rsid w:val="009B7138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9B7138"/>
  </w:style>
  <w:style w:type="paragraph" w:customStyle="1" w:styleId="AccompagnantPagedecouverture">
    <w:name w:val="Accompagnant (Page de couverture)"/>
    <w:basedOn w:val="Accompagnant"/>
    <w:next w:val="TypeacteprincipalPagedecouverture"/>
    <w:rsid w:val="009B7138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9B7138"/>
  </w:style>
  <w:style w:type="paragraph" w:customStyle="1" w:styleId="ObjetacteprincipalPagedecouverture">
    <w:name w:val="Objet acte principal (Page de couverture)"/>
    <w:basedOn w:val="Objetacteprincipal"/>
    <w:next w:val="Rfrencecroise"/>
    <w:rsid w:val="009B7138"/>
  </w:style>
  <w:style w:type="paragraph" w:customStyle="1" w:styleId="LanguesfaisantfoiPagedecouverture">
    <w:name w:val="Langues faisant foi (Page de couverture)"/>
    <w:basedOn w:val="Normal"/>
    <w:next w:val="Normal"/>
    <w:rsid w:val="009B7138"/>
    <w:pPr>
      <w:spacing w:before="360" w:after="0"/>
      <w:jc w:val="center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6E6609"/>
    <w:rPr>
      <w:rFonts w:ascii="Times New Roman" w:eastAsiaTheme="majorEastAsia" w:hAnsi="Times New Roman" w:cs="Times New Roman"/>
      <w:sz w:val="24"/>
      <w:lang w:val="mt-M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6609"/>
    <w:rPr>
      <w:rFonts w:ascii="Times New Roman" w:eastAsiaTheme="majorEastAsia" w:hAnsi="Times New Roman" w:cs="Times New Roman"/>
      <w:iCs/>
      <w:sz w:val="24"/>
      <w:lang w:val="mt-MT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6609"/>
    <w:rPr>
      <w:rFonts w:ascii="Times New Roman" w:eastAsiaTheme="majorEastAsia" w:hAnsi="Times New Roman" w:cs="Times New Roman"/>
      <w:iCs/>
      <w:sz w:val="24"/>
      <w:lang w:val="mt-MT"/>
    </w:rPr>
  </w:style>
  <w:style w:type="paragraph" w:customStyle="1" w:styleId="ManualHeading5">
    <w:name w:val="Manual Heading 5"/>
    <w:basedOn w:val="Normal"/>
    <w:next w:val="Text2"/>
    <w:rsid w:val="006E6609"/>
    <w:pPr>
      <w:keepNext/>
      <w:tabs>
        <w:tab w:val="left" w:pos="1417"/>
      </w:tabs>
      <w:ind w:left="1417" w:hanging="1417"/>
      <w:outlineLvl w:val="4"/>
    </w:pPr>
  </w:style>
  <w:style w:type="paragraph" w:customStyle="1" w:styleId="ManualHeading6">
    <w:name w:val="Manual Heading 6"/>
    <w:basedOn w:val="Normal"/>
    <w:next w:val="Text2"/>
    <w:rsid w:val="006E6609"/>
    <w:pPr>
      <w:keepNext/>
      <w:tabs>
        <w:tab w:val="left" w:pos="1417"/>
      </w:tabs>
      <w:ind w:left="1417" w:hanging="1417"/>
      <w:outlineLvl w:val="5"/>
    </w:pPr>
  </w:style>
  <w:style w:type="paragraph" w:customStyle="1" w:styleId="ManualHeading7">
    <w:name w:val="Manual Heading 7"/>
    <w:basedOn w:val="Normal"/>
    <w:next w:val="Text2"/>
    <w:rsid w:val="006E6609"/>
    <w:pPr>
      <w:keepNext/>
      <w:tabs>
        <w:tab w:val="left" w:pos="1417"/>
      </w:tabs>
      <w:ind w:left="1417" w:hanging="1417"/>
      <w:outlineLvl w:val="6"/>
    </w:pPr>
  </w:style>
  <w:style w:type="paragraph" w:customStyle="1" w:styleId="Text5">
    <w:name w:val="Text 5"/>
    <w:basedOn w:val="Normal"/>
    <w:rsid w:val="006E6609"/>
    <w:pPr>
      <w:ind w:left="3118"/>
    </w:pPr>
  </w:style>
  <w:style w:type="paragraph" w:customStyle="1" w:styleId="Text6">
    <w:name w:val="Text 6"/>
    <w:basedOn w:val="Normal"/>
    <w:rsid w:val="006E6609"/>
    <w:pPr>
      <w:ind w:left="3685"/>
    </w:pPr>
  </w:style>
  <w:style w:type="paragraph" w:customStyle="1" w:styleId="Point5">
    <w:name w:val="Point 5"/>
    <w:basedOn w:val="Normal"/>
    <w:rsid w:val="006E6609"/>
    <w:pPr>
      <w:ind w:left="3685" w:hanging="567"/>
    </w:pPr>
  </w:style>
  <w:style w:type="paragraph" w:customStyle="1" w:styleId="Tiret5">
    <w:name w:val="Tiret 5"/>
    <w:basedOn w:val="Point5"/>
    <w:rsid w:val="006E6609"/>
    <w:pPr>
      <w:numPr>
        <w:numId w:val="27"/>
      </w:numPr>
    </w:pPr>
  </w:style>
  <w:style w:type="paragraph" w:customStyle="1" w:styleId="NumPar5">
    <w:name w:val="NumPar 5"/>
    <w:basedOn w:val="Normal"/>
    <w:next w:val="Text2"/>
    <w:rsid w:val="006E6609"/>
    <w:pPr>
      <w:numPr>
        <w:ilvl w:val="4"/>
        <w:numId w:val="30"/>
      </w:numPr>
    </w:pPr>
  </w:style>
  <w:style w:type="paragraph" w:customStyle="1" w:styleId="NumPar6">
    <w:name w:val="NumPar 6"/>
    <w:basedOn w:val="Normal"/>
    <w:next w:val="Text2"/>
    <w:rsid w:val="006E6609"/>
    <w:pPr>
      <w:numPr>
        <w:ilvl w:val="5"/>
        <w:numId w:val="30"/>
      </w:numPr>
    </w:pPr>
  </w:style>
  <w:style w:type="paragraph" w:customStyle="1" w:styleId="NumPar7">
    <w:name w:val="NumPar 7"/>
    <w:basedOn w:val="Normal"/>
    <w:next w:val="Text2"/>
    <w:rsid w:val="006E6609"/>
    <w:pPr>
      <w:numPr>
        <w:ilvl w:val="6"/>
        <w:numId w:val="30"/>
      </w:numPr>
    </w:pPr>
  </w:style>
  <w:style w:type="paragraph" w:customStyle="1" w:styleId="ManualNumPar5">
    <w:name w:val="Manual NumPar 5"/>
    <w:basedOn w:val="Normal"/>
    <w:next w:val="Text2"/>
    <w:rsid w:val="006E6609"/>
    <w:pPr>
      <w:ind w:left="1417" w:hanging="1417"/>
    </w:pPr>
  </w:style>
  <w:style w:type="paragraph" w:customStyle="1" w:styleId="ManualNumPar6">
    <w:name w:val="Manual NumPar 6"/>
    <w:basedOn w:val="Normal"/>
    <w:next w:val="Text2"/>
    <w:rsid w:val="006E6609"/>
    <w:pPr>
      <w:ind w:left="1417" w:hanging="1417"/>
    </w:pPr>
  </w:style>
  <w:style w:type="paragraph" w:customStyle="1" w:styleId="ManualNumPar7">
    <w:name w:val="Manual NumPar 7"/>
    <w:basedOn w:val="Normal"/>
    <w:next w:val="Text2"/>
    <w:rsid w:val="006E6609"/>
    <w:pPr>
      <w:ind w:left="1417" w:hanging="14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2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AFC18838DFC5594A8C4C39FB99B0A7E5" ma:contentTypeVersion="0" ma:contentTypeDescription="Create a new document in this library." ma:contentTypeScope="" ma:versionID="e1f2c132d1f8817ca6bc114585c1e621">
  <xsd:schema xmlns:xsd="http://www.w3.org/2001/XMLSchema" xmlns:xs="http://www.w3.org/2001/XMLSchema" xmlns:p="http://schemas.microsoft.com/office/2006/metadata/properties" xmlns:ns2="http://schemas.microsoft.com/sharepoint/v3/fields" xmlns:ns3="dc8a0960-67d3-484a-bce9-86574ea0ba84" targetNamespace="http://schemas.microsoft.com/office/2006/metadata/properties" ma:root="true" ma:fieldsID="dde22bff10c28eac2c2c36a2570375bf" ns2:_="" ns3:_="">
    <xsd:import namespace="http://schemas.microsoft.com/sharepoint/v3/fields"/>
    <xsd:import namespace="dc8a0960-67d3-484a-bce9-86574ea0ba84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2:_Status" minOccurs="0"/>
                <xsd:element ref="ns3:EC_Collab_DocumentLanguage"/>
                <xsd:element ref="ns3:EC_Collab_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a0960-67d3-484a-bce9-86574ea0ba84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4" ma:displayName="Language" ma:default="E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5" ma:displayName="EC Status" ma:default="Not Started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_Collab_Status xmlns="dc8a0960-67d3-484a-bce9-86574ea0ba84">Not Started</EC_Collab_Status>
    <_Status xmlns="http://schemas.microsoft.com/sharepoint/v3/fields">Not Started</_Status>
    <EC_Collab_Reference xmlns="dc8a0960-67d3-484a-bce9-86574ea0ba84" xsi:nil="true"/>
    <EC_Collab_DocumentLanguage xmlns="dc8a0960-67d3-484a-bce9-86574ea0ba84">EN</EC_Collab_DocumentLanguag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292F9-0831-41A1-BB98-0D04476BB7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0FA0A5-30DB-4EDF-A320-812A18A79D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dc8a0960-67d3-484a-bce9-86574ea0b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8CADF8-212F-4173-B09F-81A731C59CC9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c8a0960-67d3-484a-bce9-86574ea0ba84"/>
    <ds:schemaRef ds:uri="http://purl.org/dc/elements/1.1/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5679E81-B2C6-4F9E-8D61-E5B17DA59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2</TotalTime>
  <Pages>8</Pages>
  <Words>1785</Words>
  <Characters>15360</Characters>
  <Application>Microsoft Office Word</Application>
  <DocSecurity>0</DocSecurity>
  <Lines>243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EC CoDe</cp:lastModifiedBy>
  <cp:revision>39</cp:revision>
  <dcterms:created xsi:type="dcterms:W3CDTF">2022-02-08T19:47:00Z</dcterms:created>
  <dcterms:modified xsi:type="dcterms:W3CDTF">2022-02-10T08:48:00Z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7.0.9.0</vt:lpwstr>
  </property>
  <property fmtid="{D5CDD505-2E9C-101B-9397-08002B2CF9AE}" pid="4" name="Last edited using">
    <vt:lpwstr>LW 7.0.1, Build 20200226</vt:lpwstr>
  </property>
  <property fmtid="{D5CDD505-2E9C-101B-9397-08002B2CF9AE}" pid="5" name="Created using">
    <vt:lpwstr>LW 7.0.1, Build 20200226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SJ-023</vt:lpwstr>
  </property>
  <property fmtid="{D5CDD505-2E9C-101B-9397-08002B2CF9AE}" pid="10" name="ContentTypeId">
    <vt:lpwstr>0x010100258AA79CEB83498886A3A0868112325000AFC18838DFC5594A8C4C39FB99B0A7E5</vt:lpwstr>
  </property>
  <property fmtid="{D5CDD505-2E9C-101B-9397-08002B2CF9AE}" pid="11" name="DQCStatus">
    <vt:lpwstr>Green (DQC version 03)</vt:lpwstr>
  </property>
</Properties>
</file>