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9A3" w:rsidRPr="003731CD" w:rsidRDefault="007462C5" w:rsidP="007462C5">
      <w:pPr>
        <w:pStyle w:val="Pagedecouverture"/>
      </w:pPr>
      <w:bookmarkStart w:id="0" w:name="_Toc40124195"/>
      <w:bookmarkStart w:id="1" w:name="LW_BM_COVERPAGE"/>
      <w:bookmarkStart w:id="2"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D60274B-7BE4-4873-ABEC-EE79EC615CAE" style="width:450.5pt;height:334.5pt">
            <v:imagedata r:id="rId11" o:title=""/>
          </v:shape>
        </w:pict>
      </w:r>
      <w:bookmarkEnd w:id="2"/>
    </w:p>
    <w:bookmarkEnd w:id="1"/>
    <w:p w:rsidR="001079A3" w:rsidRPr="003731CD" w:rsidRDefault="001079A3">
      <w:pPr>
        <w:sectPr w:rsidR="001079A3" w:rsidRPr="003731CD" w:rsidSect="007462C5">
          <w:headerReference w:type="even" r:id="rId12"/>
          <w:headerReference w:type="default" r:id="rId13"/>
          <w:footerReference w:type="even" r:id="rId14"/>
          <w:footerReference w:type="default" r:id="rId15"/>
          <w:headerReference w:type="first" r:id="rId16"/>
          <w:footerReference w:type="first" r:id="rId17"/>
          <w:pgSz w:w="11901" w:h="16838"/>
          <w:pgMar w:top="1134" w:right="1417" w:bottom="1134" w:left="1417" w:header="709" w:footer="709" w:gutter="0"/>
          <w:pgNumType w:start="0"/>
          <w:cols w:space="720"/>
          <w:docGrid w:linePitch="326"/>
        </w:sectPr>
      </w:pPr>
    </w:p>
    <w:p w:rsidR="001079A3" w:rsidRPr="003731CD" w:rsidRDefault="00BB6FCD">
      <w:pPr>
        <w:jc w:val="center"/>
        <w:rPr>
          <w:rFonts w:ascii="Times New Roman Bold" w:hAnsi="Times New Roman Bold"/>
          <w:b/>
          <w:bCs/>
          <w:sz w:val="22"/>
          <w:szCs w:val="22"/>
        </w:rPr>
      </w:pPr>
      <w:r w:rsidRPr="003731CD">
        <w:rPr>
          <w:rFonts w:ascii="Times New Roman Bold" w:hAnsi="Times New Roman Bold"/>
          <w:b/>
          <w:bCs/>
          <w:sz w:val="22"/>
          <w:szCs w:val="22"/>
        </w:rPr>
        <w:lastRenderedPageBreak/>
        <w:t>KOMUNIKAT KOMISJI DO PARLAMENTU EUROPEJSKIEGO I RADY</w:t>
      </w:r>
    </w:p>
    <w:p w:rsidR="001079A3" w:rsidRPr="003731CD" w:rsidRDefault="001079A3">
      <w:pPr>
        <w:jc w:val="center"/>
        <w:rPr>
          <w:b/>
          <w:bCs/>
          <w:smallCaps/>
          <w:sz w:val="22"/>
          <w:szCs w:val="22"/>
        </w:rPr>
      </w:pPr>
    </w:p>
    <w:p w:rsidR="001079A3" w:rsidRPr="003731CD" w:rsidRDefault="00BB6FCD">
      <w:pPr>
        <w:jc w:val="center"/>
        <w:rPr>
          <w:rFonts w:ascii="Times New Roman Bold" w:hAnsi="Times New Roman Bold"/>
          <w:b/>
          <w:bCs/>
          <w:sz w:val="22"/>
          <w:szCs w:val="22"/>
        </w:rPr>
      </w:pPr>
      <w:r w:rsidRPr="003731CD">
        <w:rPr>
          <w:rFonts w:ascii="Times New Roman Bold" w:hAnsi="Times New Roman Bold"/>
          <w:b/>
          <w:bCs/>
          <w:sz w:val="22"/>
          <w:szCs w:val="22"/>
        </w:rPr>
        <w:t>Ochrona danych jako filar wzmacniania pozycji obywateli oraz podejście UE do transformacji cyfrowej – dwa lata stosowania ogólnego rozporządzenia</w:t>
      </w:r>
      <w:r w:rsidR="003731CD" w:rsidRPr="003731CD">
        <w:rPr>
          <w:rFonts w:ascii="Times New Roman Bold" w:hAnsi="Times New Roman Bold"/>
          <w:b/>
          <w:bCs/>
          <w:sz w:val="22"/>
          <w:szCs w:val="22"/>
        </w:rPr>
        <w:t xml:space="preserve"> o och</w:t>
      </w:r>
      <w:r w:rsidRPr="003731CD">
        <w:rPr>
          <w:rFonts w:ascii="Times New Roman Bold" w:hAnsi="Times New Roman Bold"/>
          <w:b/>
          <w:bCs/>
          <w:sz w:val="22"/>
          <w:szCs w:val="22"/>
        </w:rPr>
        <w:t>ronie danych</w:t>
      </w:r>
    </w:p>
    <w:p w:rsidR="001079A3" w:rsidRPr="003731CD" w:rsidRDefault="001079A3">
      <w:pPr>
        <w:jc w:val="center"/>
        <w:rPr>
          <w:b/>
          <w:bCs/>
          <w:sz w:val="22"/>
          <w:szCs w:val="22"/>
        </w:rPr>
      </w:pPr>
    </w:p>
    <w:p w:rsidR="001079A3" w:rsidRPr="003731CD" w:rsidRDefault="001079A3">
      <w:pPr>
        <w:jc w:val="center"/>
        <w:rPr>
          <w:b/>
          <w:bCs/>
          <w:smallCaps/>
          <w:sz w:val="28"/>
          <w:szCs w:val="28"/>
        </w:rPr>
      </w:pPr>
    </w:p>
    <w:p w:rsidR="001079A3" w:rsidRPr="003731CD" w:rsidRDefault="00BB6FCD">
      <w:pPr>
        <w:pStyle w:val="Heading1"/>
      </w:pPr>
      <w:r w:rsidRPr="003731CD">
        <w:rPr>
          <w:bCs/>
          <w:sz w:val="22"/>
          <w:szCs w:val="22"/>
        </w:rPr>
        <w:t>Przepisy</w:t>
      </w:r>
      <w:r w:rsidR="003731CD" w:rsidRPr="003731CD">
        <w:rPr>
          <w:bCs/>
          <w:sz w:val="22"/>
          <w:szCs w:val="22"/>
        </w:rPr>
        <w:t xml:space="preserve"> o och</w:t>
      </w:r>
      <w:r w:rsidRPr="003731CD">
        <w:rPr>
          <w:bCs/>
          <w:sz w:val="22"/>
          <w:szCs w:val="22"/>
        </w:rPr>
        <w:t>ronie danych jako filar wzmacniania pozycji obywateli oraz podejście UE do transformacji cyfrowej</w:t>
      </w:r>
      <w:bookmarkEnd w:id="0"/>
    </w:p>
    <w:p w:rsidR="001079A3" w:rsidRPr="003731CD" w:rsidRDefault="00BB6FCD">
      <w:r w:rsidRPr="003731CD">
        <w:t>Niniejsze sprawozdanie jest pierwszym sprawozdaniem</w:t>
      </w:r>
      <w:r w:rsidR="003731CD" w:rsidRPr="003731CD">
        <w:t xml:space="preserve"> z oce</w:t>
      </w:r>
      <w:r w:rsidRPr="003731CD">
        <w:t>ny</w:t>
      </w:r>
      <w:r w:rsidR="003731CD" w:rsidRPr="003731CD">
        <w:t xml:space="preserve"> i prz</w:t>
      </w:r>
      <w:r w:rsidRPr="003731CD">
        <w:t>eglądu ogólnego rozporządzenia</w:t>
      </w:r>
      <w:r w:rsidR="003731CD" w:rsidRPr="003731CD">
        <w:t xml:space="preserve"> o och</w:t>
      </w:r>
      <w:r w:rsidRPr="003731CD">
        <w:t>ronie danych</w:t>
      </w:r>
      <w:r w:rsidRPr="003731CD">
        <w:rPr>
          <w:rStyle w:val="FootnoteReference"/>
        </w:rPr>
        <w:footnoteReference w:id="2"/>
      </w:r>
      <w:r w:rsidRPr="003731CD">
        <w:t xml:space="preserve"> (zwanego dalej „RODO”),</w:t>
      </w:r>
      <w:r w:rsidR="003731CD" w:rsidRPr="003731CD">
        <w:t xml:space="preserve"> w szc</w:t>
      </w:r>
      <w:r w:rsidRPr="003731CD">
        <w:t>zególności</w:t>
      </w:r>
      <w:r w:rsidR="003731CD" w:rsidRPr="003731CD">
        <w:t xml:space="preserve"> w odn</w:t>
      </w:r>
      <w:r w:rsidRPr="003731CD">
        <w:t>iesieniu do stosowania</w:t>
      </w:r>
      <w:r w:rsidR="003731CD" w:rsidRPr="003731CD">
        <w:t xml:space="preserve"> i fun</w:t>
      </w:r>
      <w:r w:rsidRPr="003731CD">
        <w:t>kcjonowania przepisów dotyczących przekazywania danych osobowych do państw trzecich</w:t>
      </w:r>
      <w:r w:rsidR="003731CD" w:rsidRPr="003731CD">
        <w:t xml:space="preserve"> i org</w:t>
      </w:r>
      <w:r w:rsidRPr="003731CD">
        <w:t>anizacji międzynarodowych oraz przepisów dotyczących współpracy</w:t>
      </w:r>
      <w:r w:rsidR="003731CD" w:rsidRPr="003731CD">
        <w:t xml:space="preserve"> i spó</w:t>
      </w:r>
      <w:r w:rsidRPr="003731CD">
        <w:t>jności zgodnie</w:t>
      </w:r>
      <w:r w:rsidR="003731CD" w:rsidRPr="003731CD">
        <w:t xml:space="preserve"> z art</w:t>
      </w:r>
      <w:r w:rsidRPr="003731CD">
        <w:t>.</w:t>
      </w:r>
      <w:r w:rsidR="003731CD" w:rsidRPr="003731CD">
        <w:t> </w:t>
      </w:r>
      <w:r w:rsidRPr="003731CD">
        <w:t>97 RODO.</w:t>
      </w:r>
    </w:p>
    <w:p w:rsidR="001079A3" w:rsidRPr="003731CD" w:rsidRDefault="00BB6FCD">
      <w:r w:rsidRPr="003731CD">
        <w:t>Ogólne rozporządzenie</w:t>
      </w:r>
      <w:r w:rsidR="003731CD" w:rsidRPr="003731CD">
        <w:t xml:space="preserve"> o och</w:t>
      </w:r>
      <w:r w:rsidRPr="003731CD">
        <w:t>ronie danych (RODO), które obowiązuje od dnia 25 maja 2018</w:t>
      </w:r>
      <w:r w:rsidR="003731CD" w:rsidRPr="003731CD">
        <w:t> </w:t>
      </w:r>
      <w:r w:rsidRPr="003731CD">
        <w:t>r., stanowi centralny element unijnych ram</w:t>
      </w:r>
      <w:r w:rsidRPr="003731CD">
        <w:rPr>
          <w:rStyle w:val="FootnoteReference"/>
        </w:rPr>
        <w:footnoteReference w:id="3"/>
      </w:r>
      <w:r w:rsidRPr="003731CD">
        <w:t xml:space="preserve"> gwarantujących podstawowe prawo do ochrony danych, zapisane</w:t>
      </w:r>
      <w:r w:rsidR="003731CD" w:rsidRPr="003731CD">
        <w:t xml:space="preserve"> w Kar</w:t>
      </w:r>
      <w:r w:rsidRPr="003731CD">
        <w:t>cie praw podstawowych Unii Europejskiej (art.</w:t>
      </w:r>
      <w:r w:rsidR="003731CD" w:rsidRPr="003731CD">
        <w:t> </w:t>
      </w:r>
      <w:r w:rsidRPr="003731CD">
        <w:t>8)</w:t>
      </w:r>
      <w:r w:rsidR="003731CD" w:rsidRPr="003731CD">
        <w:t xml:space="preserve"> i w tra</w:t>
      </w:r>
      <w:r w:rsidRPr="003731CD">
        <w:t>ktatach (art.</w:t>
      </w:r>
      <w:r w:rsidR="003731CD" w:rsidRPr="003731CD">
        <w:t> </w:t>
      </w:r>
      <w:r w:rsidRPr="003731CD">
        <w:t>16 Traktatu</w:t>
      </w:r>
      <w:r w:rsidR="003731CD" w:rsidRPr="003731CD">
        <w:t xml:space="preserve"> o fun</w:t>
      </w:r>
      <w:r w:rsidRPr="003731CD">
        <w:t>kcjonowaniu Unii Europejskiej, „TFUE”). Dzięki wprowadzeniu RODO wzmocniono gwarancje ochrony danych, zapewniono obywatelom dodatkowe</w:t>
      </w:r>
      <w:r w:rsidR="003731CD" w:rsidRPr="003731CD">
        <w:t xml:space="preserve"> i wię</w:t>
      </w:r>
      <w:r w:rsidRPr="003731CD">
        <w:t>ksze prawa oraz większą przejrzystość,</w:t>
      </w:r>
      <w:r w:rsidR="003731CD" w:rsidRPr="003731CD">
        <w:t xml:space="preserve"> a tak</w:t>
      </w:r>
      <w:r w:rsidRPr="003731CD">
        <w:t>że zagwarantowano, że wszystkie podmioty wykorzystujące dane osobowe objęte zakresem stosowania tego rozporządzenia podlegają większej odpowiedzialności</w:t>
      </w:r>
      <w:r w:rsidR="003731CD" w:rsidRPr="003731CD">
        <w:t>. W roz</w:t>
      </w:r>
      <w:r w:rsidRPr="003731CD">
        <w:t>porządzeniu tym wyposażono niezależne organy ochrony danych</w:t>
      </w:r>
      <w:r w:rsidR="003731CD" w:rsidRPr="003731CD">
        <w:t xml:space="preserve"> w wię</w:t>
      </w:r>
      <w:r w:rsidRPr="003731CD">
        <w:t>ksze</w:t>
      </w:r>
      <w:r w:rsidR="003731CD" w:rsidRPr="003731CD">
        <w:t xml:space="preserve"> i zha</w:t>
      </w:r>
      <w:r w:rsidRPr="003731CD">
        <w:t>rmonizowane uprawnienia</w:t>
      </w:r>
      <w:r w:rsidR="003731CD" w:rsidRPr="003731CD">
        <w:t xml:space="preserve"> w zak</w:t>
      </w:r>
      <w:r w:rsidRPr="003731CD">
        <w:t>resie egzekwowania prawa oraz ustanowiono nowy system zarządzania. Ustanowiono</w:t>
      </w:r>
      <w:r w:rsidR="003731CD" w:rsidRPr="003731CD">
        <w:t xml:space="preserve"> w nim</w:t>
      </w:r>
      <w:r w:rsidRPr="003731CD">
        <w:t xml:space="preserve"> także równe warunki działania dla wszystkich przedsiębiorstw działających na rynku UE, niezależnie od miejsca ich siedziby, oraz zapewniono swobodny przepływ danych w UE, wzmacniając tym samym rynek wewnętrzny. </w:t>
      </w:r>
    </w:p>
    <w:p w:rsidR="001079A3" w:rsidRPr="003731CD" w:rsidRDefault="00BB6FCD">
      <w:r w:rsidRPr="003731CD">
        <w:t>RODO jest ważnym elementem ukierunkowanego na człowieka podejścia do technologii</w:t>
      </w:r>
      <w:r w:rsidR="003731CD" w:rsidRPr="003731CD">
        <w:t xml:space="preserve"> i jed</w:t>
      </w:r>
      <w:r w:rsidRPr="003731CD">
        <w:t>nocześnie nadaje kierunek</w:t>
      </w:r>
      <w:r w:rsidR="003731CD" w:rsidRPr="003731CD">
        <w:t xml:space="preserve"> w wyk</w:t>
      </w:r>
      <w:r w:rsidRPr="003731CD">
        <w:t>orzystywaniu technologii</w:t>
      </w:r>
      <w:r w:rsidR="003731CD" w:rsidRPr="003731CD">
        <w:t xml:space="preserve"> w tra</w:t>
      </w:r>
      <w:r w:rsidRPr="003731CD">
        <w:t>nsformacji ekologicznej</w:t>
      </w:r>
      <w:r w:rsidR="003731CD" w:rsidRPr="003731CD">
        <w:t xml:space="preserve"> i cyf</w:t>
      </w:r>
      <w:r w:rsidRPr="003731CD">
        <w:t>rowej, które charakteryzują kształtowanie polityki UE. Zostało to ostatnio podkreślone</w:t>
      </w:r>
      <w:r w:rsidR="003731CD" w:rsidRPr="003731CD">
        <w:t xml:space="preserve"> w bia</w:t>
      </w:r>
      <w:r w:rsidRPr="003731CD">
        <w:t>łej księdze</w:t>
      </w:r>
      <w:r w:rsidR="003731CD" w:rsidRPr="003731CD">
        <w:t xml:space="preserve"> w spr</w:t>
      </w:r>
      <w:r w:rsidRPr="003731CD">
        <w:t>awie sztucznej inteligencji</w:t>
      </w:r>
      <w:r w:rsidRPr="003731CD">
        <w:rPr>
          <w:vertAlign w:val="superscript"/>
        </w:rPr>
        <w:footnoteReference w:id="4"/>
      </w:r>
      <w:r w:rsidR="003731CD" w:rsidRPr="003731CD">
        <w:t xml:space="preserve"> i w kom</w:t>
      </w:r>
      <w:r w:rsidRPr="003731CD">
        <w:t>unikacie</w:t>
      </w:r>
      <w:r w:rsidR="003731CD" w:rsidRPr="003731CD">
        <w:t xml:space="preserve"> w spr</w:t>
      </w:r>
      <w:r w:rsidRPr="003731CD">
        <w:t>awie europejskiej strategii</w:t>
      </w:r>
      <w:r w:rsidR="003731CD" w:rsidRPr="003731CD">
        <w:t xml:space="preserve"> w zak</w:t>
      </w:r>
      <w:r w:rsidRPr="003731CD">
        <w:t>resie danych</w:t>
      </w:r>
      <w:r w:rsidRPr="003731CD">
        <w:rPr>
          <w:vertAlign w:val="superscript"/>
        </w:rPr>
        <w:footnoteReference w:id="5"/>
      </w:r>
      <w:r w:rsidRPr="003731CD">
        <w:t xml:space="preserve"> (zwanej dalej „strategią</w:t>
      </w:r>
      <w:r w:rsidR="003731CD" w:rsidRPr="003731CD">
        <w:t xml:space="preserve"> w zak</w:t>
      </w:r>
      <w:r w:rsidRPr="003731CD">
        <w:t>resie danych”)</w:t>
      </w:r>
      <w:r w:rsidR="003731CD" w:rsidRPr="003731CD">
        <w:t xml:space="preserve"> z lut</w:t>
      </w:r>
      <w:r w:rsidRPr="003731CD">
        <w:t>ego 2020</w:t>
      </w:r>
      <w:r w:rsidR="003731CD" w:rsidRPr="003731CD">
        <w:t> </w:t>
      </w:r>
      <w:r w:rsidRPr="003731CD">
        <w:t xml:space="preserve">r. </w:t>
      </w:r>
    </w:p>
    <w:p w:rsidR="001079A3" w:rsidRPr="003731CD" w:rsidRDefault="00BB6FCD">
      <w:r w:rsidRPr="003731CD">
        <w:t>W gospodarce, która</w:t>
      </w:r>
      <w:r w:rsidR="003731CD" w:rsidRPr="003731CD">
        <w:t xml:space="preserve"> w cor</w:t>
      </w:r>
      <w:r w:rsidRPr="003731CD">
        <w:t>az większym stopniu opiera się na przetwarzaniu danych,</w:t>
      </w:r>
      <w:r w:rsidR="003731CD" w:rsidRPr="003731CD">
        <w:t xml:space="preserve"> w tym</w:t>
      </w:r>
      <w:r w:rsidRPr="003731CD">
        <w:t xml:space="preserve"> danych osobowych, RODO stanowi istotne narzędziem gwarantujące, że osoby fizyczne mają większą kontrolę nad swoimi danymi osobowymi i że dane te są przetwarzane do celów zgodnych</w:t>
      </w:r>
      <w:r w:rsidR="003731CD" w:rsidRPr="003731CD">
        <w:t xml:space="preserve"> z pra</w:t>
      </w:r>
      <w:r w:rsidRPr="003731CD">
        <w:t>wem,</w:t>
      </w:r>
      <w:r w:rsidR="003731CD" w:rsidRPr="003731CD">
        <w:t xml:space="preserve"> w spo</w:t>
      </w:r>
      <w:r w:rsidRPr="003731CD">
        <w:t>sób legalny, uczciwy</w:t>
      </w:r>
      <w:r w:rsidR="003731CD" w:rsidRPr="003731CD">
        <w:t xml:space="preserve"> i prz</w:t>
      </w:r>
      <w:r w:rsidRPr="003731CD">
        <w:t>ejrzysty. Jednocześnie RODO przyczynia się do wspierania godnych zaufania innowacji, zwłaszcza dzięki podejściu opartym na analizie ryzyka</w:t>
      </w:r>
      <w:r w:rsidR="003731CD" w:rsidRPr="003731CD">
        <w:t xml:space="preserve"> i zas</w:t>
      </w:r>
      <w:r w:rsidRPr="003731CD">
        <w:t>adom takim jak uwzględnianie ochrony prywatności już</w:t>
      </w:r>
      <w:r w:rsidR="003731CD" w:rsidRPr="003731CD">
        <w:t xml:space="preserve"> w faz</w:t>
      </w:r>
      <w:r w:rsidRPr="003731CD">
        <w:t>ie projektowania oraz domyślna ochrona prywatności. Komisja zaproponowała uzupełnienie ram prawnych dotyczących ochrony danych</w:t>
      </w:r>
      <w:r w:rsidR="003731CD" w:rsidRPr="003731CD">
        <w:t xml:space="preserve"> i pry</w:t>
      </w:r>
      <w:r w:rsidRPr="003731CD">
        <w:t>watności</w:t>
      </w:r>
      <w:r w:rsidRPr="003731CD">
        <w:rPr>
          <w:vertAlign w:val="superscript"/>
        </w:rPr>
        <w:footnoteReference w:id="6"/>
      </w:r>
      <w:r w:rsidRPr="003731CD">
        <w:t xml:space="preserve"> za pomocą rozporządzenia</w:t>
      </w:r>
      <w:r w:rsidR="003731CD" w:rsidRPr="003731CD">
        <w:t xml:space="preserve"> o pry</w:t>
      </w:r>
      <w:r w:rsidRPr="003731CD">
        <w:t>watności</w:t>
      </w:r>
      <w:r w:rsidR="003731CD" w:rsidRPr="003731CD">
        <w:t xml:space="preserve"> i łąc</w:t>
      </w:r>
      <w:r w:rsidRPr="003731CD">
        <w:t>zności elektronicznej</w:t>
      </w:r>
      <w:r w:rsidRPr="003731CD">
        <w:rPr>
          <w:vertAlign w:val="superscript"/>
        </w:rPr>
        <w:footnoteReference w:id="7"/>
      </w:r>
      <w:r w:rsidRPr="003731CD">
        <w:t>, które ma zastąpić obecną dyrektywę</w:t>
      </w:r>
      <w:r w:rsidR="003731CD" w:rsidRPr="003731CD">
        <w:t xml:space="preserve"> o pry</w:t>
      </w:r>
      <w:r w:rsidRPr="003731CD">
        <w:t>watności</w:t>
      </w:r>
      <w:r w:rsidR="003731CD" w:rsidRPr="003731CD">
        <w:t xml:space="preserve"> i łąc</w:t>
      </w:r>
      <w:r w:rsidRPr="003731CD">
        <w:t>zności elektronicznej</w:t>
      </w:r>
      <w:r w:rsidRPr="003731CD">
        <w:rPr>
          <w:vertAlign w:val="superscript"/>
        </w:rPr>
        <w:footnoteReference w:id="8"/>
      </w:r>
      <w:r w:rsidRPr="003731CD">
        <w:t>. Wniosek ten jest obecnie analizowany przez współprawodawców</w:t>
      </w:r>
      <w:r w:rsidR="003731CD" w:rsidRPr="003731CD">
        <w:t xml:space="preserve"> i jeg</w:t>
      </w:r>
      <w:r w:rsidRPr="003731CD">
        <w:t>o szybkie przyjęcie jest bardzo istotne.</w:t>
      </w:r>
    </w:p>
    <w:p w:rsidR="001079A3" w:rsidRPr="003731CD" w:rsidRDefault="00BB6FCD">
      <w:r w:rsidRPr="003731CD">
        <w:t>W ramach priorytetów Komisji</w:t>
      </w:r>
      <w:r w:rsidR="003731CD" w:rsidRPr="003731CD">
        <w:t xml:space="preserve"> w zak</w:t>
      </w:r>
      <w:r w:rsidRPr="003731CD">
        <w:t>resie „Europy na miarę ery cyfrowej”</w:t>
      </w:r>
      <w:r w:rsidRPr="003731CD">
        <w:rPr>
          <w:rStyle w:val="FootnoteReference"/>
        </w:rPr>
        <w:footnoteReference w:id="9"/>
      </w:r>
      <w:r w:rsidRPr="003731CD">
        <w:t xml:space="preserve"> i „Europejskiego Zielonego Ładu”</w:t>
      </w:r>
      <w:r w:rsidRPr="003731CD">
        <w:rPr>
          <w:rStyle w:val="FootnoteReference"/>
        </w:rPr>
        <w:footnoteReference w:id="10"/>
      </w:r>
      <w:r w:rsidRPr="003731CD">
        <w:t xml:space="preserve"> można opracować nowe inicjatywy umożliwiające obywatelom odgrywanie bardziej aktywnej roli</w:t>
      </w:r>
      <w:r w:rsidR="003731CD" w:rsidRPr="003731CD">
        <w:t xml:space="preserve"> w tra</w:t>
      </w:r>
      <w:r w:rsidRPr="003731CD">
        <w:t>nsformacji cyfrowej oraz</w:t>
      </w:r>
      <w:r w:rsidR="003731CD" w:rsidRPr="003731CD">
        <w:t xml:space="preserve"> w wyk</w:t>
      </w:r>
      <w:r w:rsidRPr="003731CD">
        <w:t>orzystywaniu narzędzi cyfrowych</w:t>
      </w:r>
      <w:r w:rsidR="003731CD" w:rsidRPr="003731CD">
        <w:t xml:space="preserve"> w dąż</w:t>
      </w:r>
      <w:r w:rsidRPr="003731CD">
        <w:t>eniu do społeczeństwa neutralnego dla klimatu i do bardziej zrównoważonego rozwoju. W RODO ustanowiono ramy dla tych inicjatyw</w:t>
      </w:r>
      <w:r w:rsidR="003731CD" w:rsidRPr="003731CD">
        <w:t xml:space="preserve"> i zag</w:t>
      </w:r>
      <w:r w:rsidRPr="003731CD">
        <w:t>warantowano, że mają one na celu skuteczne wzmocnienie pozycji osób fizycznych.</w:t>
      </w:r>
    </w:p>
    <w:p w:rsidR="001079A3" w:rsidRPr="003731CD" w:rsidRDefault="00BB6FCD">
      <w:r w:rsidRPr="003731CD">
        <w:t>W ramach strategii</w:t>
      </w:r>
      <w:r w:rsidR="003731CD" w:rsidRPr="003731CD">
        <w:t xml:space="preserve"> w zak</w:t>
      </w:r>
      <w:r w:rsidRPr="003731CD">
        <w:t>resie danych</w:t>
      </w:r>
      <w:r w:rsidRPr="003731CD">
        <w:rPr>
          <w:rStyle w:val="FootnoteReference"/>
        </w:rPr>
        <w:footnoteReference w:id="11"/>
      </w:r>
      <w:r w:rsidRPr="003731CD">
        <w:t xml:space="preserve"> wezwano do utworzenia „wspólnej europejskiej przestrzeni danych”, prawdziwie jednolitego rynku danych,</w:t>
      </w:r>
      <w:r w:rsidR="003731CD" w:rsidRPr="003731CD">
        <w:t xml:space="preserve"> a tak</w:t>
      </w:r>
      <w:r w:rsidRPr="003731CD">
        <w:t xml:space="preserve">że dziesięciu wspólnych europejskich sektorowych przestrzeni danych </w:t>
      </w:r>
      <w:r w:rsidRPr="003731CD">
        <w:rPr>
          <w:sz w:val="23"/>
          <w:szCs w:val="23"/>
        </w:rPr>
        <w:t>istotnych</w:t>
      </w:r>
      <w:r w:rsidR="003731CD" w:rsidRPr="003731CD">
        <w:rPr>
          <w:sz w:val="23"/>
          <w:szCs w:val="23"/>
        </w:rPr>
        <w:t xml:space="preserve"> w kon</w:t>
      </w:r>
      <w:r w:rsidRPr="003731CD">
        <w:rPr>
          <w:sz w:val="23"/>
          <w:szCs w:val="23"/>
        </w:rPr>
        <w:t>tekście transformacji ekologicznej</w:t>
      </w:r>
      <w:r w:rsidR="003731CD" w:rsidRPr="003731CD">
        <w:rPr>
          <w:sz w:val="23"/>
          <w:szCs w:val="23"/>
        </w:rPr>
        <w:t xml:space="preserve"> i cyf</w:t>
      </w:r>
      <w:r w:rsidRPr="003731CD">
        <w:rPr>
          <w:sz w:val="23"/>
          <w:szCs w:val="23"/>
        </w:rPr>
        <w:t>rowej</w:t>
      </w:r>
      <w:r w:rsidRPr="003731CD">
        <w:rPr>
          <w:rStyle w:val="FootnoteReference"/>
          <w:sz w:val="23"/>
          <w:szCs w:val="23"/>
        </w:rPr>
        <w:footnoteReference w:id="12"/>
      </w:r>
      <w:r w:rsidRPr="003731CD">
        <w:rPr>
          <w:sz w:val="23"/>
          <w:szCs w:val="23"/>
        </w:rPr>
        <w:t>. Dla wszystkich tych priorytetów kluczowe znaczenie mają jasne</w:t>
      </w:r>
      <w:r w:rsidR="003731CD" w:rsidRPr="003731CD">
        <w:rPr>
          <w:sz w:val="23"/>
          <w:szCs w:val="23"/>
        </w:rPr>
        <w:t xml:space="preserve"> i wyk</w:t>
      </w:r>
      <w:r w:rsidRPr="003731CD">
        <w:rPr>
          <w:sz w:val="23"/>
          <w:szCs w:val="23"/>
        </w:rPr>
        <w:t>onalne ramy wymiany danych</w:t>
      </w:r>
      <w:r w:rsidR="003731CD" w:rsidRPr="003731CD">
        <w:rPr>
          <w:sz w:val="23"/>
          <w:szCs w:val="23"/>
        </w:rPr>
        <w:t xml:space="preserve"> i zwi</w:t>
      </w:r>
      <w:r w:rsidRPr="003731CD">
        <w:rPr>
          <w:sz w:val="23"/>
          <w:szCs w:val="23"/>
        </w:rPr>
        <w:t>ększenia dostępności danych</w:t>
      </w:r>
      <w:r w:rsidR="003731CD" w:rsidRPr="003731CD">
        <w:rPr>
          <w:sz w:val="23"/>
          <w:szCs w:val="23"/>
        </w:rPr>
        <w:t>. W ram</w:t>
      </w:r>
      <w:r w:rsidRPr="003731CD">
        <w:rPr>
          <w:sz w:val="23"/>
          <w:szCs w:val="23"/>
        </w:rPr>
        <w:t>ach strategii</w:t>
      </w:r>
      <w:r w:rsidR="003731CD" w:rsidRPr="003731CD">
        <w:rPr>
          <w:sz w:val="23"/>
          <w:szCs w:val="23"/>
        </w:rPr>
        <w:t xml:space="preserve"> w zak</w:t>
      </w:r>
      <w:r w:rsidRPr="003731CD">
        <w:rPr>
          <w:sz w:val="23"/>
          <w:szCs w:val="23"/>
        </w:rPr>
        <w:t xml:space="preserve">resie danych </w:t>
      </w:r>
      <w:r w:rsidRPr="003731CD">
        <w:t>ogłoszono również zamiar zbadania przez Komisję</w:t>
      </w:r>
      <w:r w:rsidR="003731CD" w:rsidRPr="003731CD">
        <w:t xml:space="preserve"> w prz</w:t>
      </w:r>
      <w:r w:rsidRPr="003731CD">
        <w:t>yszłym prawodawstwie,</w:t>
      </w:r>
      <w:r w:rsidR="003731CD" w:rsidRPr="003731CD">
        <w:t xml:space="preserve"> w jak</w:t>
      </w:r>
      <w:r w:rsidRPr="003731CD">
        <w:t>i sposób należałoby umożliwić wykorzystanie danych przechowywanych</w:t>
      </w:r>
      <w:r w:rsidR="003731CD" w:rsidRPr="003731CD">
        <w:t xml:space="preserve"> w pub</w:t>
      </w:r>
      <w:r w:rsidRPr="003731CD">
        <w:t>licznych bazach danych do celów badań naukowych</w:t>
      </w:r>
      <w:r w:rsidR="003731CD" w:rsidRPr="003731CD">
        <w:t xml:space="preserve"> w spo</w:t>
      </w:r>
      <w:r w:rsidRPr="003731CD">
        <w:t>sób zgodny z RODO. Przestrzenie danych mają być wspierane przez europejską federację chmury obliczeniowej, co zapewni przetwarzanie danych</w:t>
      </w:r>
      <w:r w:rsidR="003731CD" w:rsidRPr="003731CD">
        <w:t xml:space="preserve"> i usł</w:t>
      </w:r>
      <w:r w:rsidRPr="003731CD">
        <w:t>ugi</w:t>
      </w:r>
      <w:r w:rsidR="003731CD" w:rsidRPr="003731CD">
        <w:t xml:space="preserve"> w zak</w:t>
      </w:r>
      <w:r w:rsidRPr="003731CD">
        <w:t>resie infrastruktury chmury obliczeniowej</w:t>
      </w:r>
      <w:r w:rsidR="003731CD" w:rsidRPr="003731CD">
        <w:t xml:space="preserve"> w zgo</w:t>
      </w:r>
      <w:r w:rsidRPr="003731CD">
        <w:t>dzie z RODO. RODO zapewnia wysoki poziom ochrony danych osobowych</w:t>
      </w:r>
      <w:r w:rsidR="003731CD" w:rsidRPr="003731CD">
        <w:t xml:space="preserve"> i cen</w:t>
      </w:r>
      <w:r w:rsidRPr="003731CD">
        <w:t>tralną rolę osób fizycznych we wszystkich tych przestrzeniach danych, zapewniając jednocześnie niezbędną elastyczność umożliwiającą uwzględnienie różnych podejść.</w:t>
      </w:r>
    </w:p>
    <w:p w:rsidR="001079A3" w:rsidRPr="003731CD" w:rsidRDefault="00BB6FCD">
      <w:pPr>
        <w:rPr>
          <w:rFonts w:cstheme="minorHAnsi"/>
        </w:rPr>
      </w:pPr>
      <w:r w:rsidRPr="003731CD">
        <w:t>Potrzeba zapewnienia zaufania</w:t>
      </w:r>
      <w:r w:rsidR="003731CD" w:rsidRPr="003731CD">
        <w:t xml:space="preserve"> i zap</w:t>
      </w:r>
      <w:r w:rsidRPr="003731CD">
        <w:t>otrzebowania na ochronę danych osobowych</w:t>
      </w:r>
      <w:r w:rsidR="003731CD" w:rsidRPr="003731CD">
        <w:t xml:space="preserve"> z pew</w:t>
      </w:r>
      <w:r w:rsidRPr="003731CD">
        <w:t>nością nie jest ograniczona do UE. Osoby fizyczne na całym świecie</w:t>
      </w:r>
      <w:r w:rsidR="003731CD" w:rsidRPr="003731CD">
        <w:t xml:space="preserve"> w cor</w:t>
      </w:r>
      <w:r w:rsidRPr="003731CD">
        <w:t>az większym stopniu doceniają prywatność</w:t>
      </w:r>
      <w:r w:rsidR="003731CD" w:rsidRPr="003731CD">
        <w:t xml:space="preserve"> i bez</w:t>
      </w:r>
      <w:r w:rsidRPr="003731CD">
        <w:t>pieczeństwo swoich danych. Jak wykazano</w:t>
      </w:r>
      <w:r w:rsidR="003731CD" w:rsidRPr="003731CD">
        <w:t xml:space="preserve"> w ram</w:t>
      </w:r>
      <w:r w:rsidRPr="003731CD">
        <w:t>ach niedawno przeprowadzanego badania globalnego</w:t>
      </w:r>
      <w:r w:rsidRPr="003731CD">
        <w:rPr>
          <w:rStyle w:val="FootnoteReference"/>
          <w:rFonts w:cstheme="minorHAnsi"/>
        </w:rPr>
        <w:footnoteReference w:id="13"/>
      </w:r>
      <w:r w:rsidRPr="003731CD">
        <w:t>, uważają one, że jest to istotny czynnik wpływający na ich decyzje dotyczące zakupu</w:t>
      </w:r>
      <w:r w:rsidR="003731CD" w:rsidRPr="003731CD">
        <w:t xml:space="preserve"> i zac</w:t>
      </w:r>
      <w:r w:rsidRPr="003731CD">
        <w:t>howania</w:t>
      </w:r>
      <w:r w:rsidR="003731CD" w:rsidRPr="003731CD">
        <w:t xml:space="preserve"> w int</w:t>
      </w:r>
      <w:r w:rsidRPr="003731CD">
        <w:t>ernecie. Rosnąca liczba przedsiębiorstw odpowiada na to zapotrzebowanie na prywatność, na przykład przez dobrowolne rozszerzanie zakresu niektórych praw</w:t>
      </w:r>
      <w:r w:rsidR="003731CD" w:rsidRPr="003731CD">
        <w:t xml:space="preserve"> i zab</w:t>
      </w:r>
      <w:r w:rsidRPr="003731CD">
        <w:t>ezpieczeń przewidzianych w RODO na ich klientów spoza UE. Wiele przedsiębiorstw propaguje również poszanowanie danych osobowych jako element przewagi konkurencyjnej</w:t>
      </w:r>
      <w:r w:rsidR="003731CD" w:rsidRPr="003731CD">
        <w:t xml:space="preserve"> i moc</w:t>
      </w:r>
      <w:r w:rsidRPr="003731CD">
        <w:t>ny atut na światowym rynku, oferując innowacyjne produkty</w:t>
      </w:r>
      <w:r w:rsidR="003731CD" w:rsidRPr="003731CD">
        <w:t xml:space="preserve"> i usł</w:t>
      </w:r>
      <w:r w:rsidRPr="003731CD">
        <w:t>ugi za pomocą nowatorskich rozwiązań</w:t>
      </w:r>
      <w:r w:rsidR="003731CD" w:rsidRPr="003731CD">
        <w:t xml:space="preserve"> w zak</w:t>
      </w:r>
      <w:r w:rsidRPr="003731CD">
        <w:t>resie prywatności lub bezpieczeństwa danych. Ponadto zwiększenie zdolności podmiotów sektora prywatnego</w:t>
      </w:r>
      <w:r w:rsidR="003731CD" w:rsidRPr="003731CD">
        <w:t xml:space="preserve"> i pub</w:t>
      </w:r>
      <w:r w:rsidRPr="003731CD">
        <w:t>licznego do gromadzenia</w:t>
      </w:r>
      <w:r w:rsidR="003731CD" w:rsidRPr="003731CD">
        <w:t xml:space="preserve"> i prz</w:t>
      </w:r>
      <w:r w:rsidRPr="003731CD">
        <w:t>etwarzania danych na dużą skalę nasuwa ważne</w:t>
      </w:r>
      <w:r w:rsidR="003731CD" w:rsidRPr="003731CD">
        <w:t xml:space="preserve"> i zło</w:t>
      </w:r>
      <w:r w:rsidRPr="003731CD">
        <w:t>żone pytania, które</w:t>
      </w:r>
      <w:r w:rsidR="003731CD" w:rsidRPr="003731CD">
        <w:t xml:space="preserve"> w cor</w:t>
      </w:r>
      <w:r w:rsidRPr="003731CD">
        <w:t>az większym stopniu stawiają prywatność</w:t>
      </w:r>
      <w:r w:rsidR="003731CD" w:rsidRPr="003731CD">
        <w:t xml:space="preserve"> w cen</w:t>
      </w:r>
      <w:r w:rsidRPr="003731CD">
        <w:t>trum debaty publicznej</w:t>
      </w:r>
      <w:r w:rsidR="003731CD" w:rsidRPr="003731CD">
        <w:t xml:space="preserve"> w róż</w:t>
      </w:r>
      <w:r w:rsidRPr="003731CD">
        <w:t>nych częściach świata.</w:t>
      </w:r>
    </w:p>
    <w:p w:rsidR="001079A3" w:rsidRPr="003731CD" w:rsidRDefault="00BB6FCD">
      <w:pPr>
        <w:rPr>
          <w:rFonts w:cstheme="minorHAnsi"/>
        </w:rPr>
      </w:pPr>
      <w:r w:rsidRPr="003731CD">
        <w:t>Przyjęcie ogólnego rozporządzenia</w:t>
      </w:r>
      <w:r w:rsidR="003731CD" w:rsidRPr="003731CD">
        <w:t xml:space="preserve"> o och</w:t>
      </w:r>
      <w:r w:rsidRPr="003731CD">
        <w:t>ronie danych przyczyniło się do tego, że inne państwa</w:t>
      </w:r>
      <w:r w:rsidR="003731CD" w:rsidRPr="003731CD">
        <w:t xml:space="preserve"> w wie</w:t>
      </w:r>
      <w:r w:rsidRPr="003731CD">
        <w:t>lu regionach świata również podjęły działania</w:t>
      </w:r>
      <w:r w:rsidR="003731CD" w:rsidRPr="003731CD">
        <w:t xml:space="preserve"> w tej</w:t>
      </w:r>
      <w:r w:rsidRPr="003731CD">
        <w:t xml:space="preserve"> kwestii. Jest to prawdziwie globalny trend, począwszy od Chile po Koreę Południową, od Brazylii po Japonię, od Kenii po Indie oraz od Kalifornii po Indonezję. Przywództwo UE</w:t>
      </w:r>
      <w:r w:rsidR="003731CD" w:rsidRPr="003731CD">
        <w:t xml:space="preserve"> w dzi</w:t>
      </w:r>
      <w:r w:rsidRPr="003731CD">
        <w:t>edzinie ochrony danych pokazuje, że może ona działać jako globalny organ normalizacyjny</w:t>
      </w:r>
      <w:r w:rsidR="003731CD" w:rsidRPr="003731CD">
        <w:t xml:space="preserve"> w odn</w:t>
      </w:r>
      <w:r w:rsidRPr="003731CD">
        <w:t>iesieniu do regulacji gospodarki cyfrowej; fakt ten został pozytywnie przyjęty przez ważnych członków społeczności międzynarodowej, takich jak sekretarz generalny ONZ António Guterres, który stwierdził, że RODO daje „dobry przykład, […] który inspiruje do podejmowania podobnych działań</w:t>
      </w:r>
      <w:r w:rsidR="003731CD" w:rsidRPr="003731CD">
        <w:t xml:space="preserve"> w inn</w:t>
      </w:r>
      <w:r w:rsidRPr="003731CD">
        <w:t>ych częściach świata”, oraz zaapelował „do UE</w:t>
      </w:r>
      <w:r w:rsidR="003731CD" w:rsidRPr="003731CD">
        <w:t xml:space="preserve"> i jej</w:t>
      </w:r>
      <w:r w:rsidRPr="003731CD">
        <w:t xml:space="preserve"> państw członkowskich, by nadal prowadziły do kształtowania ery cyfrowej</w:t>
      </w:r>
      <w:r w:rsidR="003731CD" w:rsidRPr="003731CD">
        <w:t xml:space="preserve"> i odg</w:t>
      </w:r>
      <w:r w:rsidRPr="003731CD">
        <w:t>rywały wiodącą rolę</w:t>
      </w:r>
      <w:r w:rsidR="003731CD" w:rsidRPr="003731CD">
        <w:t xml:space="preserve"> w zak</w:t>
      </w:r>
      <w:r w:rsidRPr="003731CD">
        <w:t>resie innowacji technologicznych</w:t>
      </w:r>
      <w:r w:rsidR="003731CD" w:rsidRPr="003731CD">
        <w:t xml:space="preserve"> i reg</w:t>
      </w:r>
      <w:r w:rsidRPr="003731CD">
        <w:t>ulacji.</w:t>
      </w:r>
      <w:r w:rsidRPr="003731CD">
        <w:rPr>
          <w:rStyle w:val="FootnoteReference"/>
          <w:iCs/>
        </w:rPr>
        <w:footnoteReference w:id="14"/>
      </w:r>
    </w:p>
    <w:p w:rsidR="001079A3" w:rsidRPr="003731CD" w:rsidRDefault="00BB6FCD">
      <w:pPr>
        <w:rPr>
          <w:rFonts w:cstheme="minorHAnsi"/>
        </w:rPr>
      </w:pPr>
      <w:r w:rsidRPr="003731CD">
        <w:t>Obecny kryzys związany z COVID-19 stanowi żywy obraz tej globalizacji debaty na temat ochrony prywatności zarówno</w:t>
      </w:r>
      <w:r w:rsidR="003731CD" w:rsidRPr="003731CD">
        <w:t xml:space="preserve"> w cza</w:t>
      </w:r>
      <w:r w:rsidRPr="003731CD">
        <w:t>sie kryzysu, jak</w:t>
      </w:r>
      <w:r w:rsidR="003731CD" w:rsidRPr="003731CD">
        <w:t xml:space="preserve"> i w kon</w:t>
      </w:r>
      <w:r w:rsidRPr="003731CD">
        <w:t>tekście przyszłego świata po wyjściu</w:t>
      </w:r>
      <w:r w:rsidR="003731CD" w:rsidRPr="003731CD">
        <w:t xml:space="preserve"> z nie</w:t>
      </w:r>
      <w:r w:rsidRPr="003731CD">
        <w:t>go. Kilka państw członkowskich UE podjęło działania nadzwyczajne</w:t>
      </w:r>
      <w:r w:rsidR="003731CD" w:rsidRPr="003731CD">
        <w:t xml:space="preserve"> w cel</w:t>
      </w:r>
      <w:r w:rsidRPr="003731CD">
        <w:t>u ochrony zdrowia publicznego. RODO wyraźnie podkreśla, że wszelkie ograniczenia muszą być zgodne</w:t>
      </w:r>
      <w:r w:rsidR="003731CD" w:rsidRPr="003731CD">
        <w:t xml:space="preserve"> z ist</w:t>
      </w:r>
      <w:r w:rsidRPr="003731CD">
        <w:t>otą podstawowych praw</w:t>
      </w:r>
      <w:r w:rsidR="003731CD" w:rsidRPr="003731CD">
        <w:t xml:space="preserve"> i wol</w:t>
      </w:r>
      <w:r w:rsidRPr="003731CD">
        <w:t>ności oraz być środkiem niezbędnym</w:t>
      </w:r>
      <w:r w:rsidR="003731CD" w:rsidRPr="003731CD">
        <w:t xml:space="preserve"> i pro</w:t>
      </w:r>
      <w:r w:rsidRPr="003731CD">
        <w:t>porcjonalnym</w:t>
      </w:r>
      <w:r w:rsidR="003731CD" w:rsidRPr="003731CD">
        <w:t xml:space="preserve"> w spo</w:t>
      </w:r>
      <w:r w:rsidRPr="003731CD">
        <w:t>łeczeństwie demokratycznym, który służy do celów ochrony interesu publicznego takiego jak zdrowie publiczne</w:t>
      </w:r>
      <w:r w:rsidR="003731CD" w:rsidRPr="003731CD">
        <w:t>. W zwi</w:t>
      </w:r>
      <w:r w:rsidRPr="003731CD">
        <w:t>ązku</w:t>
      </w:r>
      <w:r w:rsidR="003731CD" w:rsidRPr="003731CD">
        <w:t xml:space="preserve"> z tym</w:t>
      </w:r>
      <w:r w:rsidRPr="003731CD">
        <w:t>, że środki izolacji są stopniowo znoszone, decydenci muszą odpowiedzieć na oczekiwania obywateli co do oferty rozwiązań cyfrowych, które są godne zaufania</w:t>
      </w:r>
      <w:r w:rsidR="003731CD" w:rsidRPr="003731CD">
        <w:t xml:space="preserve"> i res</w:t>
      </w:r>
      <w:r w:rsidRPr="003731CD">
        <w:t>pektują prawa do prywatności</w:t>
      </w:r>
      <w:r w:rsidR="003731CD" w:rsidRPr="003731CD">
        <w:t xml:space="preserve"> i och</w:t>
      </w:r>
      <w:r w:rsidRPr="003731CD">
        <w:t>rony danych osobowych.</w:t>
      </w:r>
    </w:p>
    <w:p w:rsidR="001079A3" w:rsidRPr="003731CD" w:rsidRDefault="00BB6FCD">
      <w:r w:rsidRPr="003731CD">
        <w:t>W wielu krajach wbudowane</w:t>
      </w:r>
      <w:r w:rsidR="003731CD" w:rsidRPr="003731CD">
        <w:t xml:space="preserve"> w sys</w:t>
      </w:r>
      <w:r w:rsidRPr="003731CD">
        <w:t>tem środki ochrony prywatności, takie jak dobrowolne zapisywanie się przez użytkowników, minimalizacja danych</w:t>
      </w:r>
      <w:r w:rsidR="003731CD" w:rsidRPr="003731CD">
        <w:t xml:space="preserve"> i och</w:t>
      </w:r>
      <w:r w:rsidRPr="003731CD">
        <w:t>rona danych,</w:t>
      </w:r>
      <w:r w:rsidR="003731CD" w:rsidRPr="003731CD">
        <w:t xml:space="preserve"> a tak</w:t>
      </w:r>
      <w:r w:rsidRPr="003731CD">
        <w:t>że wyłączenie geolokalizacji, uznaje się za niezbędne do zapewnienia wiarygodności</w:t>
      </w:r>
      <w:r w:rsidR="003731CD" w:rsidRPr="003731CD">
        <w:t xml:space="preserve"> i spo</w:t>
      </w:r>
      <w:r w:rsidRPr="003731CD">
        <w:t>łecznej akceptacji rozwiązań opartych na danych mających na celu monitorowanie</w:t>
      </w:r>
      <w:r w:rsidR="003731CD" w:rsidRPr="003731CD">
        <w:t xml:space="preserve"> i ogr</w:t>
      </w:r>
      <w:r w:rsidRPr="003731CD">
        <w:t>aniczenie rozprzestrzeniania się wirusa, kalibrację środków przeciwdziałania</w:t>
      </w:r>
      <w:r w:rsidR="003731CD" w:rsidRPr="003731CD">
        <w:t xml:space="preserve"> w zak</w:t>
      </w:r>
      <w:r w:rsidRPr="003731CD">
        <w:t>resie polityki publicznej, pomoc pacjentom lub wdrażanie strategii wyjścia. W UE ramy prawne dotyczące ochrony danych</w:t>
      </w:r>
      <w:r w:rsidR="003731CD" w:rsidRPr="003731CD">
        <w:t xml:space="preserve"> i pry</w:t>
      </w:r>
      <w:r w:rsidRPr="003731CD">
        <w:t>watności</w:t>
      </w:r>
      <w:r w:rsidRPr="003731CD">
        <w:rPr>
          <w:rStyle w:val="FootnoteReference"/>
        </w:rPr>
        <w:footnoteReference w:id="15"/>
      </w:r>
      <w:r w:rsidRPr="003731CD">
        <w:t xml:space="preserve"> okazały się wystarczająco elastycznym narzędziem umożliwiającym opracowanie praktycznych rozwiązań (np. aplikacji do śledzenia kontaktów) przy jednoczesnym zapewnieniu wysokiego poziomu ochrony danych osobowych</w:t>
      </w:r>
      <w:r w:rsidR="003731CD" w:rsidRPr="003731CD">
        <w:t>. W tym</w:t>
      </w:r>
      <w:r w:rsidRPr="003731CD">
        <w:t xml:space="preserve"> kontekście</w:t>
      </w:r>
      <w:r w:rsidR="003731CD" w:rsidRPr="003731CD">
        <w:t xml:space="preserve"> w dni</w:t>
      </w:r>
      <w:r w:rsidRPr="003731CD">
        <w:t>u 16 kwietnia 2020</w:t>
      </w:r>
      <w:r w:rsidR="003731CD" w:rsidRPr="003731CD">
        <w:t> </w:t>
      </w:r>
      <w:r w:rsidRPr="003731CD">
        <w:t>r. Komisja opublikowała wytyczne dotyczące aplikacji wspierających walkę</w:t>
      </w:r>
      <w:r w:rsidR="003731CD" w:rsidRPr="003731CD">
        <w:t xml:space="preserve"> z pan</w:t>
      </w:r>
      <w:r w:rsidRPr="003731CD">
        <w:t>demią</w:t>
      </w:r>
      <w:r w:rsidR="003731CD" w:rsidRPr="003731CD">
        <w:t xml:space="preserve"> w odn</w:t>
      </w:r>
      <w:r w:rsidRPr="003731CD">
        <w:t>iesieniu do ochrony danych</w:t>
      </w:r>
      <w:r w:rsidRPr="003731CD">
        <w:rPr>
          <w:rStyle w:val="FootnoteReference"/>
        </w:rPr>
        <w:footnoteReference w:id="16"/>
      </w:r>
      <w:r w:rsidRPr="003731CD">
        <w:t xml:space="preserve">. </w:t>
      </w:r>
    </w:p>
    <w:p w:rsidR="001079A3" w:rsidRPr="003731CD" w:rsidRDefault="00BB6FCD">
      <w:pPr>
        <w:rPr>
          <w:rFonts w:cstheme="minorHAnsi"/>
        </w:rPr>
      </w:pPr>
      <w:r w:rsidRPr="003731CD">
        <w:t>Ochrona danych osobowych ma również zasadnicze znaczenie dla zapobiegania manipulacjom</w:t>
      </w:r>
      <w:r w:rsidR="003731CD" w:rsidRPr="003731CD">
        <w:t xml:space="preserve"> w zak</w:t>
      </w:r>
      <w:r w:rsidRPr="003731CD">
        <w:t>resie wyborów dokonywanych przez obywateli,</w:t>
      </w:r>
      <w:r w:rsidR="003731CD" w:rsidRPr="003731CD">
        <w:t xml:space="preserve"> w szc</w:t>
      </w:r>
      <w:r w:rsidRPr="003731CD">
        <w:t>zególności poprzez mikrotargetowanie wyborców</w:t>
      </w:r>
      <w:r w:rsidR="003731CD" w:rsidRPr="003731CD">
        <w:t xml:space="preserve"> w opa</w:t>
      </w:r>
      <w:r w:rsidRPr="003731CD">
        <w:t>rciu</w:t>
      </w:r>
      <w:r w:rsidR="003731CD" w:rsidRPr="003731CD">
        <w:t xml:space="preserve"> o nie</w:t>
      </w:r>
      <w:r w:rsidRPr="003731CD">
        <w:t>zgodne</w:t>
      </w:r>
      <w:r w:rsidR="003731CD" w:rsidRPr="003731CD">
        <w:t xml:space="preserve"> z pra</w:t>
      </w:r>
      <w:r w:rsidRPr="003731CD">
        <w:t>wem przetwarzanie danych osobowych, unikanie ingerencji</w:t>
      </w:r>
      <w:r w:rsidR="003731CD" w:rsidRPr="003731CD">
        <w:t xml:space="preserve"> w pro</w:t>
      </w:r>
      <w:r w:rsidRPr="003731CD">
        <w:t>cesy demokratyczne oraz zachowanie otwartej debaty, sprawiedliwości</w:t>
      </w:r>
      <w:r w:rsidR="003731CD" w:rsidRPr="003731CD">
        <w:t xml:space="preserve"> i prz</w:t>
      </w:r>
      <w:r w:rsidRPr="003731CD">
        <w:t>ejrzystości, które są niezbędne</w:t>
      </w:r>
      <w:r w:rsidR="003731CD" w:rsidRPr="003731CD">
        <w:t xml:space="preserve"> w dem</w:t>
      </w:r>
      <w:r w:rsidRPr="003731CD">
        <w:t>okracji</w:t>
      </w:r>
      <w:r w:rsidR="003731CD" w:rsidRPr="003731CD">
        <w:t>. Z teg</w:t>
      </w:r>
      <w:r w:rsidRPr="003731CD">
        <w:t>o względu we wrześniu 2018</w:t>
      </w:r>
      <w:r w:rsidR="003731CD" w:rsidRPr="003731CD">
        <w:t> </w:t>
      </w:r>
      <w:r w:rsidRPr="003731CD">
        <w:t>r. Komisja opublikowała wytyczne</w:t>
      </w:r>
      <w:r w:rsidR="003731CD" w:rsidRPr="003731CD">
        <w:t xml:space="preserve"> w spr</w:t>
      </w:r>
      <w:r w:rsidRPr="003731CD">
        <w:t>awie stosowania unijnych przepisów</w:t>
      </w:r>
      <w:r w:rsidR="003731CD" w:rsidRPr="003731CD">
        <w:t xml:space="preserve"> o och</w:t>
      </w:r>
      <w:r w:rsidRPr="003731CD">
        <w:t>ronie danych</w:t>
      </w:r>
      <w:r w:rsidR="003731CD" w:rsidRPr="003731CD">
        <w:t xml:space="preserve"> w kon</w:t>
      </w:r>
      <w:r w:rsidRPr="003731CD">
        <w:t>tekście wyborczym</w:t>
      </w:r>
      <w:r w:rsidRPr="003731CD">
        <w:rPr>
          <w:rStyle w:val="FootnoteReference"/>
        </w:rPr>
        <w:footnoteReference w:id="17"/>
      </w:r>
      <w:r w:rsidRPr="003731CD">
        <w:t>.</w:t>
      </w:r>
    </w:p>
    <w:p w:rsidR="001079A3" w:rsidRPr="003731CD" w:rsidRDefault="00BB6FCD">
      <w:r w:rsidRPr="003731CD">
        <w:t>W ramach tej oceny</w:t>
      </w:r>
      <w:r w:rsidR="003731CD" w:rsidRPr="003731CD">
        <w:t xml:space="preserve"> i prz</w:t>
      </w:r>
      <w:r w:rsidRPr="003731CD">
        <w:t>eglądu Komisja wzięła pod uwagę wkład Rady</w:t>
      </w:r>
      <w:r w:rsidRPr="003731CD">
        <w:rPr>
          <w:rStyle w:val="FootnoteReference"/>
        </w:rPr>
        <w:footnoteReference w:id="18"/>
      </w:r>
      <w:r w:rsidRPr="003731CD">
        <w:t>, Parlamentu Europejskiego</w:t>
      </w:r>
      <w:r w:rsidRPr="003731CD">
        <w:rPr>
          <w:rStyle w:val="FootnoteReference"/>
        </w:rPr>
        <w:footnoteReference w:id="19"/>
      </w:r>
      <w:r w:rsidRPr="003731CD">
        <w:t>, Europejskiej Rady Ochrony Danych (zwanej dalej „EROD”)</w:t>
      </w:r>
      <w:r w:rsidRPr="003731CD">
        <w:rPr>
          <w:rStyle w:val="FootnoteReference"/>
        </w:rPr>
        <w:footnoteReference w:id="20"/>
      </w:r>
      <w:r w:rsidRPr="003731CD">
        <w:t xml:space="preserve"> oraz indywidualnych organów ochrony danych</w:t>
      </w:r>
      <w:r w:rsidRPr="003731CD">
        <w:rPr>
          <w:rStyle w:val="FootnoteReference"/>
        </w:rPr>
        <w:footnoteReference w:id="21"/>
      </w:r>
      <w:r w:rsidRPr="003731CD">
        <w:t>, grupy ekspertów</w:t>
      </w:r>
      <w:r w:rsidR="003731CD" w:rsidRPr="003731CD">
        <w:t xml:space="preserve"> z udz</w:t>
      </w:r>
      <w:r w:rsidRPr="003731CD">
        <w:t>iałem wielu zainteresowanych stron</w:t>
      </w:r>
      <w:r w:rsidRPr="003731CD">
        <w:rPr>
          <w:rStyle w:val="FootnoteReference"/>
        </w:rPr>
        <w:footnoteReference w:id="22"/>
      </w:r>
      <w:r w:rsidR="003731CD" w:rsidRPr="003731CD">
        <w:t xml:space="preserve"> i inn</w:t>
      </w:r>
      <w:r w:rsidRPr="003731CD">
        <w:t>ych zainteresowanych stron,</w:t>
      </w:r>
      <w:r w:rsidR="003731CD" w:rsidRPr="003731CD">
        <w:t xml:space="preserve"> w tym</w:t>
      </w:r>
      <w:r w:rsidRPr="003731CD">
        <w:t xml:space="preserve"> informacje zwrotne przekazane</w:t>
      </w:r>
      <w:r w:rsidR="003731CD" w:rsidRPr="003731CD">
        <w:t xml:space="preserve"> w odn</w:t>
      </w:r>
      <w:r w:rsidRPr="003731CD">
        <w:t>iesieniu do planu działania</w:t>
      </w:r>
      <w:r w:rsidRPr="003731CD">
        <w:rPr>
          <w:rStyle w:val="FootnoteReference"/>
        </w:rPr>
        <w:footnoteReference w:id="23"/>
      </w:r>
      <w:r w:rsidRPr="003731CD">
        <w:rPr>
          <w:rStyle w:val="FooterChar"/>
        </w:rPr>
        <w:t>.</w:t>
      </w:r>
      <w:r w:rsidRPr="003731CD">
        <w:rPr>
          <w:rStyle w:val="FootnoteReference"/>
        </w:rPr>
        <w:t xml:space="preserve"> </w:t>
      </w:r>
    </w:p>
    <w:p w:rsidR="001079A3" w:rsidRPr="003731CD" w:rsidRDefault="00BB6FCD">
      <w:pPr>
        <w:pStyle w:val="NormalWeb"/>
      </w:pPr>
      <w:r w:rsidRPr="003731CD">
        <w:t>Ogólny pogląd jest taki, że dwa lata po wejściu</w:t>
      </w:r>
      <w:r w:rsidR="003731CD" w:rsidRPr="003731CD">
        <w:t xml:space="preserve"> w życ</w:t>
      </w:r>
      <w:r w:rsidRPr="003731CD">
        <w:t>ie RODO</w:t>
      </w:r>
      <w:r w:rsidR="003731CD" w:rsidRPr="003731CD">
        <w:t xml:space="preserve"> z pow</w:t>
      </w:r>
      <w:r w:rsidRPr="003731CD">
        <w:t>odzeniem realizuje swoje cele polegające na wzmocnieniu ochrony prawa jednostki do ochrony danych osobowych</w:t>
      </w:r>
      <w:r w:rsidR="003731CD" w:rsidRPr="003731CD">
        <w:t xml:space="preserve"> i zag</w:t>
      </w:r>
      <w:r w:rsidRPr="003731CD">
        <w:t xml:space="preserve">warantowaniu swobodnego przepływu danych osobowych w UE </w:t>
      </w:r>
      <w:r w:rsidRPr="003731CD">
        <w:rPr>
          <w:rStyle w:val="FootnoteReference"/>
        </w:rPr>
        <w:footnoteReference w:id="24"/>
      </w:r>
      <w:r w:rsidRPr="003731CD">
        <w:t>. Stwierdzono jednak również szereg obszarów,</w:t>
      </w:r>
      <w:r w:rsidR="003731CD" w:rsidRPr="003731CD">
        <w:t xml:space="preserve"> w któ</w:t>
      </w:r>
      <w:r w:rsidRPr="003731CD">
        <w:t>rych można by wprowadzić pewne ulepszenia. Podobnie jak większość zainteresowanych stron</w:t>
      </w:r>
      <w:r w:rsidR="003731CD" w:rsidRPr="003731CD">
        <w:t xml:space="preserve"> i org</w:t>
      </w:r>
      <w:r w:rsidRPr="003731CD">
        <w:t>anów ochrony danych Komisja jest zdania, że na obecnym etapie przedwczesne byłoby wyciąganie ostatecznych wniosków dotyczących stosowania RODO. Jest prawdopodobne, że przy rozwiązywaniu większości problemów wskazanych przez państwa członkowskie</w:t>
      </w:r>
      <w:r w:rsidR="003731CD" w:rsidRPr="003731CD">
        <w:t xml:space="preserve"> i zai</w:t>
      </w:r>
      <w:r w:rsidRPr="003731CD">
        <w:t>nteresowane strony będzie pomoże większe doświadczenie</w:t>
      </w:r>
      <w:r w:rsidR="003731CD" w:rsidRPr="003731CD">
        <w:t xml:space="preserve"> w sto</w:t>
      </w:r>
      <w:r w:rsidRPr="003731CD">
        <w:t>sowaniu RODO</w:t>
      </w:r>
      <w:r w:rsidR="003731CD" w:rsidRPr="003731CD">
        <w:t xml:space="preserve"> w nad</w:t>
      </w:r>
      <w:r w:rsidRPr="003731CD">
        <w:t>chodzących latach. Niemniej jednak</w:t>
      </w:r>
      <w:r w:rsidR="003731CD" w:rsidRPr="003731CD">
        <w:t xml:space="preserve"> w nin</w:t>
      </w:r>
      <w:r w:rsidRPr="003731CD">
        <w:t>iejszym sprawozdaniu przedstawiono wyzwania napotkane do tej pory przy stosowaniu RODO oraz możliwe sposoby rozwiązania tych problemów.</w:t>
      </w:r>
    </w:p>
    <w:p w:rsidR="001079A3" w:rsidRPr="003731CD" w:rsidRDefault="00BB6FCD">
      <w:r w:rsidRPr="003731CD">
        <w:t>Poza skupieniem się na dwóch kwestiach,</w:t>
      </w:r>
      <w:r w:rsidR="003731CD" w:rsidRPr="003731CD">
        <w:t xml:space="preserve"> o któ</w:t>
      </w:r>
      <w:r w:rsidRPr="003731CD">
        <w:t>rych mowa</w:t>
      </w:r>
      <w:r w:rsidR="003731CD" w:rsidRPr="003731CD">
        <w:t xml:space="preserve"> w art</w:t>
      </w:r>
      <w:r w:rsidRPr="003731CD">
        <w:t>.</w:t>
      </w:r>
      <w:r w:rsidR="003731CD" w:rsidRPr="003731CD">
        <w:t> </w:t>
      </w:r>
      <w:r w:rsidRPr="003731CD">
        <w:t>97 ust.</w:t>
      </w:r>
      <w:r w:rsidR="003731CD" w:rsidRPr="003731CD">
        <w:t> </w:t>
      </w:r>
      <w:r w:rsidRPr="003731CD">
        <w:t>2 RODO,</w:t>
      </w:r>
      <w:r w:rsidR="003731CD" w:rsidRPr="003731CD">
        <w:t xml:space="preserve"> a mia</w:t>
      </w:r>
      <w:r w:rsidRPr="003731CD">
        <w:t>nowicie na przekazywaniu danych osobowych do państw trzecich lub organizacji międzynarodowych oraz na mechanizmach współpracy</w:t>
      </w:r>
      <w:r w:rsidR="003731CD" w:rsidRPr="003731CD">
        <w:t xml:space="preserve"> i spó</w:t>
      </w:r>
      <w:r w:rsidRPr="003731CD">
        <w:t>jności,</w:t>
      </w:r>
      <w:r w:rsidR="003731CD" w:rsidRPr="003731CD">
        <w:t xml:space="preserve"> w ram</w:t>
      </w:r>
      <w:r w:rsidRPr="003731CD">
        <w:t>ach tej oceny</w:t>
      </w:r>
      <w:r w:rsidR="003731CD" w:rsidRPr="003731CD">
        <w:t xml:space="preserve"> i prz</w:t>
      </w:r>
      <w:r w:rsidRPr="003731CD">
        <w:t>eglądu przyjęto również szersze podejście do kwestii poruszonych przez różne podmioty</w:t>
      </w:r>
      <w:r w:rsidR="003731CD" w:rsidRPr="003731CD">
        <w:t xml:space="preserve"> w cią</w:t>
      </w:r>
      <w:r w:rsidRPr="003731CD">
        <w:t>gu ostatnich dwóch lat.</w:t>
      </w:r>
    </w:p>
    <w:p w:rsidR="001079A3" w:rsidRPr="003731CD" w:rsidRDefault="00BB6FCD">
      <w:pPr>
        <w:pStyle w:val="Heading1"/>
      </w:pPr>
      <w:r w:rsidRPr="003731CD">
        <w:t>Główne wnioski</w:t>
      </w:r>
    </w:p>
    <w:p w:rsidR="001079A3" w:rsidRPr="003731CD" w:rsidRDefault="00BB6FCD">
      <w:pPr>
        <w:pStyle w:val="Heading3"/>
      </w:pPr>
      <w:bookmarkStart w:id="3" w:name="_Toc40124197"/>
      <w:r w:rsidRPr="003731CD">
        <w:t>Egzekwowanie RODO oraz funkcjonowanie mechanizmu współpracy</w:t>
      </w:r>
      <w:r w:rsidR="003731CD" w:rsidRPr="003731CD">
        <w:t xml:space="preserve"> i spó</w:t>
      </w:r>
      <w:r w:rsidRPr="003731CD">
        <w:t>jności</w:t>
      </w:r>
      <w:bookmarkEnd w:id="3"/>
    </w:p>
    <w:p w:rsidR="001079A3" w:rsidRPr="003731CD" w:rsidRDefault="00BB6FCD">
      <w:r w:rsidRPr="003731CD">
        <w:t>W ramach RODO ustanowiono innowacyjny system zarządzania</w:t>
      </w:r>
      <w:r w:rsidR="003731CD" w:rsidRPr="003731CD">
        <w:t xml:space="preserve"> w opa</w:t>
      </w:r>
      <w:r w:rsidRPr="003731CD">
        <w:t>rciu</w:t>
      </w:r>
      <w:r w:rsidR="003731CD" w:rsidRPr="003731CD">
        <w:t xml:space="preserve"> o nie</w:t>
      </w:r>
      <w:r w:rsidRPr="003731CD">
        <w:t>zależne organy ochrony danych</w:t>
      </w:r>
      <w:r w:rsidR="003731CD" w:rsidRPr="003731CD">
        <w:t xml:space="preserve"> w pań</w:t>
      </w:r>
      <w:r w:rsidRPr="003731CD">
        <w:t>stwach członkowskich</w:t>
      </w:r>
      <w:r w:rsidR="003731CD" w:rsidRPr="003731CD">
        <w:t xml:space="preserve"> i ich</w:t>
      </w:r>
      <w:r w:rsidRPr="003731CD">
        <w:t xml:space="preserve"> współpracę</w:t>
      </w:r>
      <w:r w:rsidR="003731CD" w:rsidRPr="003731CD">
        <w:t xml:space="preserve"> w spr</w:t>
      </w:r>
      <w:r w:rsidRPr="003731CD">
        <w:t>awach transgranicznych oraz</w:t>
      </w:r>
      <w:r w:rsidR="003731CD" w:rsidRPr="003731CD">
        <w:t xml:space="preserve"> w ram</w:t>
      </w:r>
      <w:r w:rsidRPr="003731CD">
        <w:t>ach Europejskiej Rady Ochrony Danych („EROD”). Ogólnie uważa się, że organy ochrony danych</w:t>
      </w:r>
      <w:r w:rsidR="003731CD" w:rsidRPr="003731CD">
        <w:t xml:space="preserve"> w spo</w:t>
      </w:r>
      <w:r w:rsidRPr="003731CD">
        <w:t>sób zrównoważony wykorzystały swoje wzmocnione uprawnienia naprawcze,</w:t>
      </w:r>
      <w:r w:rsidR="003731CD" w:rsidRPr="003731CD">
        <w:t xml:space="preserve"> w tym</w:t>
      </w:r>
      <w:r w:rsidRPr="003731CD">
        <w:t xml:space="preserve"> ostrzeżenia</w:t>
      </w:r>
      <w:r w:rsidR="003731CD" w:rsidRPr="003731CD">
        <w:t xml:space="preserve"> i upo</w:t>
      </w:r>
      <w:r w:rsidRPr="003731CD">
        <w:t>mnienia, grzywny oraz ograniczenia czasowe lub definitywne dotyczące przetwarzania danych</w:t>
      </w:r>
      <w:r w:rsidRPr="003731CD">
        <w:rPr>
          <w:rStyle w:val="FootnoteReference"/>
        </w:rPr>
        <w:footnoteReference w:id="25"/>
      </w:r>
      <w:r w:rsidRPr="003731CD">
        <w:t>. Komisja zauważa, że organy stosowały kary administracyjne wynoszące od kilku tysięcy do kilku milionów euro,</w:t>
      </w:r>
      <w:r w:rsidR="003731CD" w:rsidRPr="003731CD">
        <w:t xml:space="preserve"> w zal</w:t>
      </w:r>
      <w:r w:rsidRPr="003731CD">
        <w:t>eżności od wagi naruszeń. Inne sankcje, takie jak zakaz przetwarzania danych, mogą wywołać taki sam, jeżeli nie większy, efekt odstraszający, co grzywny. Ostatecznym celem RODO jest zmiana kultury</w:t>
      </w:r>
      <w:r w:rsidR="003731CD" w:rsidRPr="003731CD">
        <w:t xml:space="preserve"> i zac</w:t>
      </w:r>
      <w:r w:rsidRPr="003731CD">
        <w:t>howania wszystkich zaangażowanych podmiotów</w:t>
      </w:r>
      <w:r w:rsidR="003731CD" w:rsidRPr="003731CD">
        <w:t xml:space="preserve"> z kor</w:t>
      </w:r>
      <w:r w:rsidRPr="003731CD">
        <w:t>zyścią dla obywateli. Bardziej szczegółowe informacje na temat wykorzystania uprawnień naprawczych przez organy ochrony danych przedstawiono</w:t>
      </w:r>
      <w:r w:rsidR="003731CD" w:rsidRPr="003731CD">
        <w:t xml:space="preserve"> w tow</w:t>
      </w:r>
      <w:r w:rsidRPr="003731CD">
        <w:t>arzyszącym dokumencie roboczym służb Komisji.</w:t>
      </w:r>
    </w:p>
    <w:p w:rsidR="001079A3" w:rsidRPr="003731CD" w:rsidRDefault="00BB6FCD">
      <w:r w:rsidRPr="003731CD">
        <w:t>Choć wciąż jest zbyt wcześnie na pełną ocenę funkcjonowania nowych mechanizmów współpracy</w:t>
      </w:r>
      <w:r w:rsidR="003731CD" w:rsidRPr="003731CD">
        <w:t xml:space="preserve"> i spó</w:t>
      </w:r>
      <w:r w:rsidRPr="003731CD">
        <w:t>jności, organy ochrony danych zacieśniły współpracę poprzez mechanizm kompleksowej obsługi</w:t>
      </w:r>
      <w:r w:rsidRPr="003731CD">
        <w:rPr>
          <w:rStyle w:val="FootnoteReference"/>
        </w:rPr>
        <w:footnoteReference w:id="26"/>
      </w:r>
      <w:r w:rsidR="003731CD" w:rsidRPr="003731CD">
        <w:t xml:space="preserve"> i sze</w:t>
      </w:r>
      <w:r w:rsidRPr="003731CD">
        <w:t>rokie wykorzystanie wzajemnej pomocy</w:t>
      </w:r>
      <w:r w:rsidRPr="003731CD">
        <w:rPr>
          <w:rStyle w:val="FootnoteReference"/>
        </w:rPr>
        <w:footnoteReference w:id="27"/>
      </w:r>
      <w:r w:rsidRPr="003731CD">
        <w:t>. Mechanizm kompleksowej obsługi, który jest kluczowym atutem rynku wewnętrznego, jest wykorzystywany do rozstrzygania wielu spraw transgranicznych</w:t>
      </w:r>
      <w:r w:rsidRPr="003731CD">
        <w:rPr>
          <w:rStyle w:val="FootnoteReference"/>
        </w:rPr>
        <w:footnoteReference w:id="28"/>
      </w:r>
      <w:r w:rsidRPr="003731CD">
        <w:t>. Obecnie trwają prace nad ważnymi decyzjami</w:t>
      </w:r>
      <w:r w:rsidR="003731CD" w:rsidRPr="003731CD">
        <w:t xml:space="preserve"> o wym</w:t>
      </w:r>
      <w:r w:rsidRPr="003731CD">
        <w:t>iarze transgranicznym, które będą podlegać mechanizmowi kompleksowej obsługi. Decyzje te, dotyczące często wielonarodowych korporacji działających</w:t>
      </w:r>
      <w:r w:rsidR="003731CD" w:rsidRPr="003731CD">
        <w:t xml:space="preserve"> w sek</w:t>
      </w:r>
      <w:r w:rsidRPr="003731CD">
        <w:t>torze zaawansowanych technologii, będą miały znaczny wpływ na prawa obywateli</w:t>
      </w:r>
      <w:r w:rsidR="003731CD" w:rsidRPr="003731CD">
        <w:t xml:space="preserve"> w wie</w:t>
      </w:r>
      <w:r w:rsidRPr="003731CD">
        <w:t>lu państwach członkowskich.</w:t>
      </w:r>
    </w:p>
    <w:p w:rsidR="001079A3" w:rsidRPr="003731CD" w:rsidRDefault="00BB6FCD">
      <w:r w:rsidRPr="003731CD">
        <w:t>Rozwijanie prawdziwie wspólnej europejskiej kultury ochrony danych między organami ochrony danych jest jednak nadal procesem</w:t>
      </w:r>
      <w:r w:rsidR="003731CD" w:rsidRPr="003731CD">
        <w:t xml:space="preserve"> w tok</w:t>
      </w:r>
      <w:r w:rsidRPr="003731CD">
        <w:t>u. Organy ochrony danych nie wykorzystały jeszcze</w:t>
      </w:r>
      <w:r w:rsidR="003731CD" w:rsidRPr="003731CD">
        <w:t xml:space="preserve"> w peł</w:t>
      </w:r>
      <w:r w:rsidRPr="003731CD">
        <w:t>ni narzędzi przewidzianych w RODO, takich jak wspólne operacje, które mogą prowadzić do wspólnych dochodzeń</w:t>
      </w:r>
      <w:r w:rsidR="003731CD" w:rsidRPr="003731CD">
        <w:t>. W nie</w:t>
      </w:r>
      <w:r w:rsidRPr="003731CD">
        <w:t>których przypadkach nie udało się osiągnąć wspólnego podejścia, które oznaczałoby przejście do najmniejszego wspólnego mianownika, a co za tym idzie – możliwości większej harmonizacji</w:t>
      </w:r>
      <w:r w:rsidRPr="003731CD">
        <w:rPr>
          <w:rStyle w:val="FootnoteReference"/>
        </w:rPr>
        <w:footnoteReference w:id="29"/>
      </w:r>
      <w:r w:rsidRPr="003731CD">
        <w:t xml:space="preserve">. </w:t>
      </w:r>
    </w:p>
    <w:p w:rsidR="001079A3" w:rsidRPr="003731CD" w:rsidRDefault="00BB6FCD">
      <w:r w:rsidRPr="003731CD">
        <w:t xml:space="preserve">Konieczne są dalsze postępy prac, </w:t>
      </w:r>
      <w:bookmarkStart w:id="4" w:name="_Toc40124198"/>
      <w:r w:rsidRPr="003731CD">
        <w:t>aby usprawnić</w:t>
      </w:r>
      <w:bookmarkEnd w:id="4"/>
      <w:r w:rsidR="003731CD" w:rsidRPr="003731CD">
        <w:t xml:space="preserve"> </w:t>
      </w:r>
      <w:bookmarkStart w:id="5" w:name="_Toc36383149"/>
      <w:bookmarkStart w:id="6" w:name="_Toc36461801"/>
      <w:bookmarkEnd w:id="5"/>
      <w:bookmarkEnd w:id="6"/>
      <w:r w:rsidR="003731CD" w:rsidRPr="003731CD">
        <w:t>i uje</w:t>
      </w:r>
      <w:r w:rsidRPr="003731CD">
        <w:t>dnolicić rozpatrywanie spraw transgranicznych</w:t>
      </w:r>
      <w:r w:rsidR="003731CD" w:rsidRPr="003731CD">
        <w:t xml:space="preserve"> w cał</w:t>
      </w:r>
      <w:r w:rsidRPr="003731CD">
        <w:t>ej UE,</w:t>
      </w:r>
      <w:r w:rsidR="003731CD" w:rsidRPr="003731CD">
        <w:t xml:space="preserve"> w tym z pro</w:t>
      </w:r>
      <w:r w:rsidRPr="003731CD">
        <w:t>ceduralnego punktu widzenia, na przykład</w:t>
      </w:r>
      <w:r w:rsidR="003731CD" w:rsidRPr="003731CD">
        <w:t xml:space="preserve"> w kwe</w:t>
      </w:r>
      <w:r w:rsidRPr="003731CD">
        <w:t>stiach takich jak procedury rozpatrywania skarg, kryteria dopuszczalności skarg, czas trwania postępowań</w:t>
      </w:r>
      <w:r w:rsidR="003731CD" w:rsidRPr="003731CD">
        <w:t xml:space="preserve"> w kon</w:t>
      </w:r>
      <w:r w:rsidRPr="003731CD">
        <w:t>tekście różnych ram czasowych lub brak odnośnych terminów</w:t>
      </w:r>
      <w:r w:rsidR="003731CD" w:rsidRPr="003731CD">
        <w:t xml:space="preserve"> w zak</w:t>
      </w:r>
      <w:r w:rsidRPr="003731CD">
        <w:t>resie krajowego administracyjnego prawa procesowego, moment</w:t>
      </w:r>
      <w:r w:rsidR="003731CD" w:rsidRPr="003731CD">
        <w:t xml:space="preserve"> w pos</w:t>
      </w:r>
      <w:r w:rsidRPr="003731CD">
        <w:t>tępowaniu,</w:t>
      </w:r>
      <w:r w:rsidR="003731CD" w:rsidRPr="003731CD">
        <w:t xml:space="preserve"> w któ</w:t>
      </w:r>
      <w:r w:rsidRPr="003731CD">
        <w:t>rym przysługuje prawo do bycia wysłuchanym lub informacje</w:t>
      </w:r>
      <w:r w:rsidR="003731CD" w:rsidRPr="003731CD">
        <w:t xml:space="preserve"> i zaa</w:t>
      </w:r>
      <w:r w:rsidRPr="003731CD">
        <w:t>ngażowanie skarżących</w:t>
      </w:r>
      <w:r w:rsidR="003731CD" w:rsidRPr="003731CD">
        <w:t xml:space="preserve"> w tok</w:t>
      </w:r>
      <w:r w:rsidRPr="003731CD">
        <w:t>u postępowania. Proces refleksji zainicjowany przez EROD</w:t>
      </w:r>
      <w:r w:rsidR="003731CD" w:rsidRPr="003731CD">
        <w:t xml:space="preserve"> w zwi</w:t>
      </w:r>
      <w:r w:rsidRPr="003731CD">
        <w:t>ązku</w:t>
      </w:r>
      <w:r w:rsidR="003731CD" w:rsidRPr="003731CD">
        <w:t xml:space="preserve"> z pow</w:t>
      </w:r>
      <w:r w:rsidRPr="003731CD">
        <w:t>yższym został pozytywnie przyjęty,</w:t>
      </w:r>
      <w:r w:rsidR="003731CD" w:rsidRPr="003731CD">
        <w:t xml:space="preserve"> a Kom</w:t>
      </w:r>
      <w:r w:rsidRPr="003731CD">
        <w:t>isja bierze czynny udział</w:t>
      </w:r>
      <w:r w:rsidR="003731CD" w:rsidRPr="003731CD">
        <w:t xml:space="preserve"> w odn</w:t>
      </w:r>
      <w:r w:rsidRPr="003731CD">
        <w:t>ośnych dyskusjach</w:t>
      </w:r>
      <w:r w:rsidRPr="003731CD">
        <w:rPr>
          <w:rStyle w:val="FootnoteReference"/>
        </w:rPr>
        <w:footnoteReference w:id="30"/>
      </w:r>
      <w:r w:rsidRPr="003731CD">
        <w:t>.</w:t>
      </w:r>
    </w:p>
    <w:p w:rsidR="001079A3" w:rsidRPr="003731CD" w:rsidRDefault="00BB6FCD">
      <w:r w:rsidRPr="003731CD">
        <w:t>Działania</w:t>
      </w:r>
      <w:r w:rsidR="003731CD" w:rsidRPr="003731CD">
        <w:t xml:space="preserve"> i wyt</w:t>
      </w:r>
      <w:r w:rsidRPr="003731CD">
        <w:t>yczne EROD mają kluczowe znaczenie dla dalszego spójnego rozwoju wymiany informacji między radą</w:t>
      </w:r>
      <w:r w:rsidR="003731CD" w:rsidRPr="003731CD">
        <w:t xml:space="preserve"> a zai</w:t>
      </w:r>
      <w:r w:rsidRPr="003731CD">
        <w:t>nteresowanymi stronami</w:t>
      </w:r>
      <w:r w:rsidRPr="003731CD">
        <w:rPr>
          <w:rStyle w:val="FootnoteReference"/>
        </w:rPr>
        <w:footnoteReference w:id="31"/>
      </w:r>
      <w:r w:rsidRPr="003731CD">
        <w:t xml:space="preserve">. </w:t>
      </w:r>
      <w:bookmarkStart w:id="7" w:name="_Toc37602430"/>
      <w:bookmarkStart w:id="8" w:name="_Toc37602820"/>
      <w:bookmarkStart w:id="9" w:name="_Toc37603503"/>
      <w:bookmarkStart w:id="10" w:name="_Toc38821600"/>
      <w:bookmarkStart w:id="11" w:name="_Toc39092782"/>
      <w:bookmarkStart w:id="12" w:name="_Toc39137009"/>
      <w:bookmarkStart w:id="13" w:name="_Toc39137040"/>
      <w:bookmarkEnd w:id="7"/>
      <w:bookmarkEnd w:id="8"/>
      <w:bookmarkEnd w:id="9"/>
      <w:bookmarkEnd w:id="10"/>
      <w:bookmarkEnd w:id="11"/>
      <w:bookmarkEnd w:id="12"/>
      <w:bookmarkEnd w:id="13"/>
      <w:r w:rsidRPr="003731CD">
        <w:t>Do końca 2019</w:t>
      </w:r>
      <w:r w:rsidR="003731CD" w:rsidRPr="003731CD">
        <w:t> </w:t>
      </w:r>
      <w:r w:rsidRPr="003731CD">
        <w:t>r. EROD przyjął 67 dokumentów,</w:t>
      </w:r>
      <w:r w:rsidR="003731CD" w:rsidRPr="003731CD">
        <w:t xml:space="preserve"> w tym </w:t>
      </w:r>
      <w:r w:rsidRPr="003731CD">
        <w:t>10 nowych wytycznych</w:t>
      </w:r>
      <w:r w:rsidRPr="003731CD">
        <w:rPr>
          <w:rStyle w:val="FootnoteReference"/>
        </w:rPr>
        <w:footnoteReference w:id="32"/>
      </w:r>
      <w:r w:rsidRPr="003731CD">
        <w:t xml:space="preserve"> oraz 43 opinii</w:t>
      </w:r>
      <w:r w:rsidRPr="003731CD">
        <w:rPr>
          <w:rStyle w:val="FootnoteReference"/>
        </w:rPr>
        <w:footnoteReference w:id="33"/>
      </w:r>
      <w:r w:rsidRPr="003731CD">
        <w:t>. Zainteresowane strony zasadniczo</w:t>
      </w:r>
      <w:r w:rsidR="003731CD" w:rsidRPr="003731CD">
        <w:t xml:space="preserve"> z zad</w:t>
      </w:r>
      <w:r w:rsidRPr="003731CD">
        <w:t>owoleniem przyjmują wytyczne EROD</w:t>
      </w:r>
      <w:r w:rsidR="003731CD" w:rsidRPr="003731CD">
        <w:t xml:space="preserve"> i zwr</w:t>
      </w:r>
      <w:r w:rsidRPr="003731CD">
        <w:t>acają się</w:t>
      </w:r>
      <w:r w:rsidR="003731CD" w:rsidRPr="003731CD">
        <w:t xml:space="preserve"> o dod</w:t>
      </w:r>
      <w:r w:rsidRPr="003731CD">
        <w:t>atkowe wytyczne</w:t>
      </w:r>
      <w:r w:rsidR="003731CD" w:rsidRPr="003731CD">
        <w:t xml:space="preserve"> w odn</w:t>
      </w:r>
      <w:r w:rsidRPr="003731CD">
        <w:t>iesieniu do kluczowych pojęć zawartych</w:t>
      </w:r>
      <w:r w:rsidR="003731CD" w:rsidRPr="003731CD">
        <w:t xml:space="preserve"> w ogó</w:t>
      </w:r>
      <w:r w:rsidRPr="003731CD">
        <w:t>lnym rozporządzeniu</w:t>
      </w:r>
      <w:r w:rsidR="003731CD" w:rsidRPr="003731CD">
        <w:t xml:space="preserve"> o och</w:t>
      </w:r>
      <w:r w:rsidRPr="003731CD">
        <w:t>ronie danych, ale również wskazują na niespójność między wytycznymi krajowymi</w:t>
      </w:r>
      <w:r w:rsidR="003731CD" w:rsidRPr="003731CD">
        <w:t xml:space="preserve"> a wyt</w:t>
      </w:r>
      <w:r w:rsidRPr="003731CD">
        <w:t>ycznymi EROD. Podkreślają one potrzebę bardziej praktycznych porad,</w:t>
      </w:r>
      <w:r w:rsidR="003731CD" w:rsidRPr="003731CD">
        <w:t xml:space="preserve"> w szc</w:t>
      </w:r>
      <w:r w:rsidRPr="003731CD">
        <w:t>zególności bardziej konkretnych przykładów, oraz potrzebę wyposażenia organów ochrony danych</w:t>
      </w:r>
      <w:r w:rsidR="003731CD" w:rsidRPr="003731CD">
        <w:t xml:space="preserve"> w nie</w:t>
      </w:r>
      <w:r w:rsidRPr="003731CD">
        <w:t>zbędne zasoby ludzkie, techniczne</w:t>
      </w:r>
      <w:r w:rsidR="003731CD" w:rsidRPr="003731CD">
        <w:t xml:space="preserve"> i fin</w:t>
      </w:r>
      <w:r w:rsidRPr="003731CD">
        <w:t>ansowe</w:t>
      </w:r>
      <w:r w:rsidR="003731CD" w:rsidRPr="003731CD">
        <w:t xml:space="preserve"> w cel</w:t>
      </w:r>
      <w:r w:rsidRPr="003731CD">
        <w:t xml:space="preserve">u skutecznego wykonywania ich zadań. </w:t>
      </w:r>
    </w:p>
    <w:p w:rsidR="001079A3" w:rsidRPr="003731CD" w:rsidRDefault="00BB6FCD">
      <w:r w:rsidRPr="003731CD">
        <w:t>Komisja konsekwentnie podkreślała spoczywający na państwach członkowskich obowiązek przeznaczania wystarczających zasobów ludzkich, finansowych</w:t>
      </w:r>
      <w:r w:rsidR="003731CD" w:rsidRPr="003731CD">
        <w:t xml:space="preserve"> i tec</w:t>
      </w:r>
      <w:r w:rsidRPr="003731CD">
        <w:t>hnicznych na potrzeby krajowych organów ochrony danych</w:t>
      </w:r>
      <w:r w:rsidRPr="003731CD">
        <w:rPr>
          <w:rStyle w:val="FootnoteReference"/>
        </w:rPr>
        <w:footnoteReference w:id="34"/>
      </w:r>
      <w:r w:rsidRPr="003731CD">
        <w:t>. Większość organów zanotowała wzrost liczby personelu</w:t>
      </w:r>
      <w:r w:rsidR="003731CD" w:rsidRPr="003731CD">
        <w:t xml:space="preserve"> i zwi</w:t>
      </w:r>
      <w:r w:rsidRPr="003731CD">
        <w:t>ększenie budżetu</w:t>
      </w:r>
      <w:r w:rsidR="003731CD" w:rsidRPr="003731CD">
        <w:t xml:space="preserve"> w lat</w:t>
      </w:r>
      <w:r w:rsidRPr="003731CD">
        <w:t>ach 2016–2019</w:t>
      </w:r>
      <w:r w:rsidRPr="003731CD">
        <w:rPr>
          <w:rStyle w:val="FootnoteReference"/>
        </w:rPr>
        <w:footnoteReference w:id="35"/>
      </w:r>
      <w:r w:rsidRPr="003731CD">
        <w:t>, przy czym władze Irlandii, Niderlandów, Islandii, Luksemburga</w:t>
      </w:r>
      <w:r w:rsidR="003731CD" w:rsidRPr="003731CD">
        <w:t xml:space="preserve"> i Fin</w:t>
      </w:r>
      <w:r w:rsidRPr="003731CD">
        <w:t>landii zanotowały największy względny wzrost liczby personelu. Ponieważ największe międzynarodowe korporacje technologiczne mają siedzibę</w:t>
      </w:r>
      <w:r w:rsidR="003731CD" w:rsidRPr="003731CD">
        <w:t xml:space="preserve"> w Irl</w:t>
      </w:r>
      <w:r w:rsidRPr="003731CD">
        <w:t>andii</w:t>
      </w:r>
      <w:r w:rsidR="003731CD" w:rsidRPr="003731CD">
        <w:t xml:space="preserve"> i Luk</w:t>
      </w:r>
      <w:r w:rsidRPr="003731CD">
        <w:t>semburgu, organy ochrony danych</w:t>
      </w:r>
      <w:r w:rsidR="003731CD" w:rsidRPr="003731CD">
        <w:t xml:space="preserve"> z tyc</w:t>
      </w:r>
      <w:r w:rsidRPr="003731CD">
        <w:t>h państw działają jako organy wiodące</w:t>
      </w:r>
      <w:r w:rsidR="003731CD" w:rsidRPr="003731CD">
        <w:t xml:space="preserve"> w wie</w:t>
      </w:r>
      <w:r w:rsidRPr="003731CD">
        <w:t>lu ważnych sprawach transgranicznych</w:t>
      </w:r>
      <w:r w:rsidR="003731CD" w:rsidRPr="003731CD">
        <w:t xml:space="preserve"> i mog</w:t>
      </w:r>
      <w:r w:rsidRPr="003731CD">
        <w:t>ą potrzebować większych zasobów niż wynikałoby to</w:t>
      </w:r>
      <w:r w:rsidR="003731CD" w:rsidRPr="003731CD">
        <w:t xml:space="preserve"> z lic</w:t>
      </w:r>
      <w:r w:rsidRPr="003731CD">
        <w:t>zby ludności. Sytuacja jest jednak nadal nierówna między państwami członkowskimi</w:t>
      </w:r>
      <w:r w:rsidR="003731CD" w:rsidRPr="003731CD">
        <w:t xml:space="preserve"> i w uję</w:t>
      </w:r>
      <w:r w:rsidRPr="003731CD">
        <w:t>ciu ogólnym nie można tego stanu uznać za zadowalający. Organy ochrony danych odgrywają zasadniczą rolę</w:t>
      </w:r>
      <w:r w:rsidR="003731CD" w:rsidRPr="003731CD">
        <w:t xml:space="preserve"> w zap</w:t>
      </w:r>
      <w:r w:rsidRPr="003731CD">
        <w:t>ewnieniu egzekwowania RODO na szczeblu krajowym oraz skutecznego funkcjonowania mechanizmów współpracy</w:t>
      </w:r>
      <w:r w:rsidR="003731CD" w:rsidRPr="003731CD">
        <w:t xml:space="preserve"> i spó</w:t>
      </w:r>
      <w:r w:rsidRPr="003731CD">
        <w:t>jności</w:t>
      </w:r>
      <w:r w:rsidR="003731CD" w:rsidRPr="003731CD">
        <w:t xml:space="preserve"> w ram</w:t>
      </w:r>
      <w:r w:rsidRPr="003731CD">
        <w:t>ach EROD,</w:t>
      </w:r>
      <w:r w:rsidR="003731CD" w:rsidRPr="003731CD">
        <w:t xml:space="preserve"> w tym w szc</w:t>
      </w:r>
      <w:r w:rsidRPr="003731CD">
        <w:t>zególności mechanizmu kompleksowej obsługi</w:t>
      </w:r>
      <w:r w:rsidR="003731CD" w:rsidRPr="003731CD">
        <w:t xml:space="preserve"> w spr</w:t>
      </w:r>
      <w:r w:rsidRPr="003731CD">
        <w:t>awach transgranicznych</w:t>
      </w:r>
      <w:r w:rsidR="003731CD" w:rsidRPr="003731CD">
        <w:t>. W zwi</w:t>
      </w:r>
      <w:r w:rsidRPr="003731CD">
        <w:t>ązku</w:t>
      </w:r>
      <w:r w:rsidR="003731CD" w:rsidRPr="003731CD">
        <w:t xml:space="preserve"> z tym</w:t>
      </w:r>
      <w:r w:rsidRPr="003731CD">
        <w:t xml:space="preserve"> wzywa się państwa członkowskie do zapewnienia im odpowiednich zasobów zgodnie</w:t>
      </w:r>
      <w:r w:rsidR="003731CD" w:rsidRPr="003731CD">
        <w:t xml:space="preserve"> z wym</w:t>
      </w:r>
      <w:r w:rsidRPr="003731CD">
        <w:t>ogami RODO</w:t>
      </w:r>
      <w:r w:rsidRPr="003731CD">
        <w:rPr>
          <w:rStyle w:val="FootnoteReference"/>
        </w:rPr>
        <w:footnoteReference w:id="36"/>
      </w:r>
      <w:r w:rsidRPr="003731CD">
        <w:t xml:space="preserve">. </w:t>
      </w:r>
    </w:p>
    <w:p w:rsidR="001079A3" w:rsidRPr="003731CD" w:rsidRDefault="00BB6FCD">
      <w:pPr>
        <w:pStyle w:val="Heading3"/>
      </w:pPr>
      <w:bookmarkStart w:id="14" w:name="_Toc40124210"/>
      <w:r w:rsidRPr="003731CD">
        <w:t>Zharmonizowane przepisy przy istniejącym wciąż pewnym stopniu rozdrobnieniu</w:t>
      </w:r>
      <w:r w:rsidR="003731CD" w:rsidRPr="003731CD">
        <w:t xml:space="preserve"> i roz</w:t>
      </w:r>
      <w:r w:rsidRPr="003731CD">
        <w:t>bieżnych podejściach</w:t>
      </w:r>
      <w:bookmarkEnd w:id="14"/>
    </w:p>
    <w:p w:rsidR="001079A3" w:rsidRPr="003731CD" w:rsidRDefault="00BB6FCD">
      <w:r w:rsidRPr="003731CD">
        <w:t>Komisja monitoruje wdrażanie RODO</w:t>
      </w:r>
      <w:r w:rsidR="003731CD" w:rsidRPr="003731CD">
        <w:t xml:space="preserve"> w prz</w:t>
      </w:r>
      <w:r w:rsidRPr="003731CD">
        <w:t>episach krajowych</w:t>
      </w:r>
      <w:r w:rsidR="003731CD" w:rsidRPr="003731CD">
        <w:t>. W mom</w:t>
      </w:r>
      <w:r w:rsidRPr="003731CD">
        <w:t>encie sporządzania niniejszego sprawozdania wszystkie państwa członkowskie,</w:t>
      </w:r>
      <w:r w:rsidR="003731CD" w:rsidRPr="003731CD">
        <w:t xml:space="preserve"> z wyj</w:t>
      </w:r>
      <w:r w:rsidRPr="003731CD">
        <w:t>ątkiem Słowenii, przyjęły nowe przepisy lub dostosowały własne krajowe przepisy</w:t>
      </w:r>
      <w:r w:rsidR="003731CD" w:rsidRPr="003731CD">
        <w:t xml:space="preserve"> o och</w:t>
      </w:r>
      <w:r w:rsidRPr="003731CD">
        <w:t>ronie danych. Słowenia</w:t>
      </w:r>
      <w:r w:rsidRPr="003731CD">
        <w:rPr>
          <w:rStyle w:val="FootnoteReference"/>
        </w:rPr>
        <w:footnoteReference w:id="37"/>
      </w:r>
      <w:r w:rsidRPr="003731CD">
        <w:t xml:space="preserve"> została poproszona</w:t>
      </w:r>
      <w:r w:rsidR="003731CD" w:rsidRPr="003731CD">
        <w:t xml:space="preserve"> o prz</w:t>
      </w:r>
      <w:r w:rsidRPr="003731CD">
        <w:t>edstawienie Komisji wyjaśnień dotyczących zakończenia tego procesu</w:t>
      </w:r>
      <w:r w:rsidRPr="003731CD">
        <w:rPr>
          <w:rStyle w:val="FootnoteReference"/>
        </w:rPr>
        <w:footnoteReference w:id="38"/>
      </w:r>
      <w:r w:rsidRPr="003731CD">
        <w:t>.</w:t>
      </w:r>
    </w:p>
    <w:p w:rsidR="001079A3" w:rsidRPr="003731CD" w:rsidRDefault="00BB6FCD">
      <w:r w:rsidRPr="003731CD">
        <w:t>W ramach RODO przewidziano spójne podejście do przepisów</w:t>
      </w:r>
      <w:r w:rsidR="003731CD" w:rsidRPr="003731CD">
        <w:t xml:space="preserve"> o och</w:t>
      </w:r>
      <w:r w:rsidRPr="003731CD">
        <w:t>ronie danych</w:t>
      </w:r>
      <w:r w:rsidR="003731CD" w:rsidRPr="003731CD">
        <w:t xml:space="preserve"> w cał</w:t>
      </w:r>
      <w:r w:rsidRPr="003731CD">
        <w:t>ej UE. Rozporządzenie nakłada jednak na państwa członkowskie obowiązek stanowienia prawa</w:t>
      </w:r>
      <w:r w:rsidR="003731CD" w:rsidRPr="003731CD">
        <w:t xml:space="preserve"> w nie</w:t>
      </w:r>
      <w:r w:rsidRPr="003731CD">
        <w:t>których obszarach</w:t>
      </w:r>
      <w:r w:rsidRPr="003731CD">
        <w:rPr>
          <w:rStyle w:val="FootnoteReference"/>
        </w:rPr>
        <w:footnoteReference w:id="39"/>
      </w:r>
      <w:r w:rsidR="003731CD" w:rsidRPr="003731CD">
        <w:t xml:space="preserve"> i daj</w:t>
      </w:r>
      <w:r w:rsidRPr="003731CD">
        <w:t>e im możliwość dalszego doprecyzowania RODO</w:t>
      </w:r>
      <w:r w:rsidRPr="003731CD">
        <w:rPr>
          <w:rStyle w:val="FootnoteReference"/>
        </w:rPr>
        <w:footnoteReference w:id="40"/>
      </w:r>
      <w:r w:rsidR="003731CD" w:rsidRPr="003731CD">
        <w:t>. W zwi</w:t>
      </w:r>
      <w:r w:rsidRPr="003731CD">
        <w:t>ązku</w:t>
      </w:r>
      <w:r w:rsidR="003731CD" w:rsidRPr="003731CD">
        <w:t xml:space="preserve"> z tym</w:t>
      </w:r>
      <w:r w:rsidRPr="003731CD">
        <w:t xml:space="preserve"> nadal istnieje pewien stopień fragmentacji, który wynika</w:t>
      </w:r>
      <w:r w:rsidR="003731CD" w:rsidRPr="003731CD">
        <w:t xml:space="preserve"> w szc</w:t>
      </w:r>
      <w:r w:rsidRPr="003731CD">
        <w:t>zególności</w:t>
      </w:r>
      <w:r w:rsidR="003731CD" w:rsidRPr="003731CD">
        <w:t xml:space="preserve"> z sze</w:t>
      </w:r>
      <w:r w:rsidRPr="003731CD">
        <w:t>rokiego zastosowania opcjonalnych klauzul precyzujących. Na przykład różnice między państwami członkowskimi</w:t>
      </w:r>
      <w:r w:rsidR="003731CD" w:rsidRPr="003731CD">
        <w:t xml:space="preserve"> w zak</w:t>
      </w:r>
      <w:r w:rsidRPr="003731CD">
        <w:t>resie wieku wyrażenia zgody przez dzieci</w:t>
      </w:r>
      <w:r w:rsidR="003731CD" w:rsidRPr="003731CD">
        <w:t xml:space="preserve"> w odn</w:t>
      </w:r>
      <w:r w:rsidRPr="003731CD">
        <w:t>iesieniu do usług społeczeństwa informacyjnego powodują niepewność wśród dzieci</w:t>
      </w:r>
      <w:r w:rsidR="003731CD" w:rsidRPr="003731CD">
        <w:t xml:space="preserve"> i ich</w:t>
      </w:r>
      <w:r w:rsidRPr="003731CD">
        <w:t xml:space="preserve"> rodziców</w:t>
      </w:r>
      <w:r w:rsidR="003731CD" w:rsidRPr="003731CD">
        <w:t xml:space="preserve"> w kon</w:t>
      </w:r>
      <w:r w:rsidRPr="003731CD">
        <w:t>tekście stosowania ich praw</w:t>
      </w:r>
      <w:r w:rsidR="003731CD" w:rsidRPr="003731CD">
        <w:t xml:space="preserve"> w zak</w:t>
      </w:r>
      <w:r w:rsidRPr="003731CD">
        <w:t>resie ochrony danych na jednolitym rynku. Ta fragmentacja stwarza również wyzwania dla prowadzenia działalności transgranicznej oraz innowacji,</w:t>
      </w:r>
      <w:r w:rsidR="003731CD" w:rsidRPr="003731CD">
        <w:t xml:space="preserve"> w szc</w:t>
      </w:r>
      <w:r w:rsidRPr="003731CD">
        <w:t>zególności</w:t>
      </w:r>
      <w:r w:rsidR="003731CD" w:rsidRPr="003731CD">
        <w:t xml:space="preserve"> w odn</w:t>
      </w:r>
      <w:r w:rsidRPr="003731CD">
        <w:t>iesieniu do nowych rozwiązań technologicznych</w:t>
      </w:r>
      <w:r w:rsidR="003731CD" w:rsidRPr="003731CD">
        <w:t xml:space="preserve"> i roz</w:t>
      </w:r>
      <w:r w:rsidRPr="003731CD">
        <w:t>wiązań</w:t>
      </w:r>
      <w:r w:rsidR="003731CD" w:rsidRPr="003731CD">
        <w:t xml:space="preserve"> z zak</w:t>
      </w:r>
      <w:r w:rsidRPr="003731CD">
        <w:t>resu cyberbezpieczeństwa. Aby zapewnić skuteczne funkcjonowanie rynku wewnętrznego</w:t>
      </w:r>
      <w:r w:rsidR="003731CD" w:rsidRPr="003731CD">
        <w:t xml:space="preserve"> i uni</w:t>
      </w:r>
      <w:r w:rsidRPr="003731CD">
        <w:t>knąć niepotrzebnych obciążeń dla przedsiębiorstw, istotne jest również, aby przepisy krajowe nie wykraczały poza marginesy określone w RODO ani nie wprowadzały dodatkowych wymogów</w:t>
      </w:r>
      <w:r w:rsidR="003731CD" w:rsidRPr="003731CD">
        <w:t xml:space="preserve"> w prz</w:t>
      </w:r>
      <w:r w:rsidRPr="003731CD">
        <w:t>ypadku braku marginesu.</w:t>
      </w:r>
    </w:p>
    <w:p w:rsidR="001079A3" w:rsidRPr="003731CD" w:rsidRDefault="00BB6FCD">
      <w:bookmarkStart w:id="15" w:name="_Toc40081087"/>
      <w:bookmarkStart w:id="16" w:name="_Toc35683423"/>
      <w:bookmarkStart w:id="17" w:name="_Toc37602436"/>
      <w:bookmarkStart w:id="18" w:name="_Toc37602827"/>
      <w:bookmarkStart w:id="19" w:name="_Toc37603510"/>
      <w:bookmarkStart w:id="20" w:name="_Toc35683424"/>
      <w:bookmarkStart w:id="21" w:name="_Toc36383156"/>
      <w:bookmarkStart w:id="22" w:name="_Toc36461808"/>
      <w:bookmarkStart w:id="23" w:name="_Toc37602437"/>
      <w:bookmarkStart w:id="24" w:name="_Toc37602828"/>
      <w:bookmarkStart w:id="25" w:name="_Toc37603511"/>
      <w:bookmarkStart w:id="26" w:name="_Toc35683425"/>
      <w:bookmarkStart w:id="27" w:name="_Toc36383157"/>
      <w:bookmarkStart w:id="28" w:name="_Toc36461809"/>
      <w:bookmarkStart w:id="29" w:name="_Toc37602438"/>
      <w:bookmarkStart w:id="30" w:name="_Toc37602829"/>
      <w:bookmarkStart w:id="31" w:name="_Toc37603512"/>
      <w:bookmarkStart w:id="32" w:name="_Toc35683426"/>
      <w:bookmarkStart w:id="33" w:name="_Toc36383158"/>
      <w:bookmarkStart w:id="34" w:name="_Toc36461810"/>
      <w:bookmarkStart w:id="35" w:name="_Toc37602439"/>
      <w:bookmarkStart w:id="36" w:name="_Toc37602830"/>
      <w:bookmarkStart w:id="37" w:name="_Toc37603513"/>
      <w:bookmarkStart w:id="38" w:name="_Toc36383160"/>
      <w:bookmarkStart w:id="39" w:name="_Toc36461812"/>
      <w:bookmarkStart w:id="40" w:name="_Toc37602441"/>
      <w:bookmarkStart w:id="41" w:name="_Toc37602834"/>
      <w:bookmarkStart w:id="42" w:name="_Toc37603517"/>
      <w:bookmarkStart w:id="43" w:name="_Toc36383161"/>
      <w:bookmarkStart w:id="44" w:name="_Toc36461813"/>
      <w:bookmarkStart w:id="45" w:name="_Toc37602442"/>
      <w:bookmarkStart w:id="46" w:name="_Toc37602835"/>
      <w:bookmarkStart w:id="47" w:name="_Toc37603518"/>
      <w:bookmarkStart w:id="48" w:name="_Toc36383162"/>
      <w:bookmarkStart w:id="49" w:name="_Toc36461814"/>
      <w:bookmarkStart w:id="50" w:name="_Toc37602443"/>
      <w:bookmarkStart w:id="51" w:name="_Toc37602836"/>
      <w:bookmarkStart w:id="52" w:name="_Toc37603519"/>
      <w:bookmarkStart w:id="53" w:name="_Toc36383163"/>
      <w:bookmarkStart w:id="54" w:name="_Toc36461815"/>
      <w:bookmarkStart w:id="55" w:name="_Toc37602444"/>
      <w:bookmarkStart w:id="56" w:name="_Toc37602837"/>
      <w:bookmarkStart w:id="57" w:name="_Toc37603520"/>
      <w:bookmarkStart w:id="58" w:name="_Toc37603521"/>
      <w:bookmarkStart w:id="59" w:name="_Toc37603522"/>
      <w:bookmarkStart w:id="60" w:name="_Toc37603523"/>
      <w:bookmarkStart w:id="61" w:name="_Toc37603524"/>
      <w:bookmarkStart w:id="62" w:name="_Toc37603525"/>
      <w:bookmarkStart w:id="63" w:name="_Toc40124217"/>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3731CD">
        <w:t>Szczególnym wyzwaniem</w:t>
      </w:r>
      <w:r w:rsidR="003731CD" w:rsidRPr="003731CD">
        <w:t xml:space="preserve"> w odn</w:t>
      </w:r>
      <w:r w:rsidRPr="003731CD">
        <w:t>iesieniu do przepisów krajowych jest uzgodnienie prawa do ochrony danych osobowych</w:t>
      </w:r>
      <w:r w:rsidR="003731CD" w:rsidRPr="003731CD">
        <w:t xml:space="preserve"> z wol</w:t>
      </w:r>
      <w:r w:rsidRPr="003731CD">
        <w:t>nością wypowiedzi</w:t>
      </w:r>
      <w:r w:rsidR="003731CD" w:rsidRPr="003731CD">
        <w:t xml:space="preserve"> i inf</w:t>
      </w:r>
      <w:r w:rsidRPr="003731CD">
        <w:t>ormacji oraz właściwe wyważenie tych praw</w:t>
      </w:r>
      <w:r w:rsidR="003731CD" w:rsidRPr="003731CD">
        <w:t>. W nie</w:t>
      </w:r>
      <w:r w:rsidRPr="003731CD">
        <w:t>których przepisach krajowych ustanowiono zasadę pierwszeństwa wolności wypowiedzi, podczas gdy</w:t>
      </w:r>
      <w:r w:rsidR="003731CD" w:rsidRPr="003731CD">
        <w:t xml:space="preserve"> w inn</w:t>
      </w:r>
      <w:r w:rsidRPr="003731CD">
        <w:t>ych pierwszeństwo ma ochrona danych osobowych,</w:t>
      </w:r>
      <w:r w:rsidR="003731CD" w:rsidRPr="003731CD">
        <w:t xml:space="preserve"> a prz</w:t>
      </w:r>
      <w:r w:rsidRPr="003731CD">
        <w:t>episy</w:t>
      </w:r>
      <w:r w:rsidR="003731CD" w:rsidRPr="003731CD">
        <w:t xml:space="preserve"> o och</w:t>
      </w:r>
      <w:r w:rsidRPr="003731CD">
        <w:t>ronie danych osobowych nie są stosowane wyłącznie</w:t>
      </w:r>
      <w:r w:rsidR="003731CD" w:rsidRPr="003731CD">
        <w:t xml:space="preserve"> w okr</w:t>
      </w:r>
      <w:r w:rsidRPr="003731CD">
        <w:t>eślonych sytuacjach, na przykład gdy chodzi</w:t>
      </w:r>
      <w:r w:rsidR="003731CD" w:rsidRPr="003731CD">
        <w:t xml:space="preserve"> o oso</w:t>
      </w:r>
      <w:r w:rsidRPr="003731CD">
        <w:t>bę</w:t>
      </w:r>
      <w:r w:rsidR="003731CD" w:rsidRPr="003731CD">
        <w:t xml:space="preserve"> o sta</w:t>
      </w:r>
      <w:r w:rsidRPr="003731CD">
        <w:t>tusie osoby publicznej. Ponadto</w:t>
      </w:r>
      <w:r w:rsidR="003731CD" w:rsidRPr="003731CD">
        <w:t xml:space="preserve"> w inn</w:t>
      </w:r>
      <w:r w:rsidRPr="003731CD">
        <w:t>ych państwach członkowskich prawodawca przewiduje pewne równoważenie praw lub ocenę poszczególnych przypadków</w:t>
      </w:r>
      <w:r w:rsidR="003731CD" w:rsidRPr="003731CD">
        <w:t xml:space="preserve"> w odn</w:t>
      </w:r>
      <w:r w:rsidRPr="003731CD">
        <w:t xml:space="preserve">iesieniu do odstępstw od niektórych przepisów RODO. </w:t>
      </w:r>
    </w:p>
    <w:p w:rsidR="001079A3" w:rsidRPr="003731CD" w:rsidRDefault="00BB6FCD">
      <w:r w:rsidRPr="003731CD">
        <w:t>Komisja będzie nadal dokonywać oceny przepisów krajowych. Godzenie praw musi być przewidziane ustawą, szanować istotę praw podstawowych oraz być proporcjonalne</w:t>
      </w:r>
      <w:r w:rsidR="003731CD" w:rsidRPr="003731CD">
        <w:t xml:space="preserve"> i kon</w:t>
      </w:r>
      <w:r w:rsidRPr="003731CD">
        <w:t>ieczne</w:t>
      </w:r>
      <w:r w:rsidRPr="003731CD">
        <w:rPr>
          <w:rStyle w:val="FootnoteReference"/>
        </w:rPr>
        <w:footnoteReference w:id="41"/>
      </w:r>
      <w:r w:rsidRPr="003731CD">
        <w:t>. Przepisy dotyczące ochrony danych (jak również ich wykładnia</w:t>
      </w:r>
      <w:r w:rsidR="003731CD" w:rsidRPr="003731CD">
        <w:t xml:space="preserve"> i sto</w:t>
      </w:r>
      <w:r w:rsidRPr="003731CD">
        <w:t>sowanie) nie powinny mieć wpływu na korzystanie</w:t>
      </w:r>
      <w:r w:rsidR="003731CD" w:rsidRPr="003731CD">
        <w:t xml:space="preserve"> z pra</w:t>
      </w:r>
      <w:r w:rsidRPr="003731CD">
        <w:t>wa do wolności wypowiedzi</w:t>
      </w:r>
      <w:r w:rsidR="003731CD" w:rsidRPr="003731CD">
        <w:t xml:space="preserve"> i inf</w:t>
      </w:r>
      <w:r w:rsidRPr="003731CD">
        <w:t>ormacji, na przykład przez tworzenie efektu zniechęcającego lub wywieranie presji na dziennikarzy</w:t>
      </w:r>
      <w:r w:rsidR="003731CD" w:rsidRPr="003731CD">
        <w:t xml:space="preserve"> w cel</w:t>
      </w:r>
      <w:r w:rsidRPr="003731CD">
        <w:t>u ujawnienia ich źródeł. Wyważenie tych dwóch praw na mocy prawa krajowego powinno opierać się na orzecznictwie Trybunału Sprawiedliwości</w:t>
      </w:r>
      <w:r w:rsidR="003731CD" w:rsidRPr="003731CD">
        <w:t xml:space="preserve"> i Eur</w:t>
      </w:r>
      <w:r w:rsidRPr="003731CD">
        <w:t>opejskiego Trybunału Praw Człowieka</w:t>
      </w:r>
      <w:r w:rsidRPr="003731CD">
        <w:rPr>
          <w:rStyle w:val="FootnoteReference"/>
        </w:rPr>
        <w:footnoteReference w:id="42"/>
      </w:r>
      <w:r w:rsidRPr="003731CD">
        <w:t>.</w:t>
      </w:r>
    </w:p>
    <w:p w:rsidR="001079A3" w:rsidRPr="003731CD" w:rsidRDefault="00BB6FCD">
      <w:r w:rsidRPr="003731CD">
        <w:t>W przepisach państw członkowskich istnieją różne podejścia do wprowadzania odstępstw od ogólnego zakazu przetwarzania określonych kategorii danych osobowych,</w:t>
      </w:r>
      <w:r w:rsidR="003731CD" w:rsidRPr="003731CD">
        <w:t xml:space="preserve"> w odn</w:t>
      </w:r>
      <w:r w:rsidRPr="003731CD">
        <w:t>iesieniu do poziomu specyfikacji</w:t>
      </w:r>
      <w:r w:rsidR="003731CD" w:rsidRPr="003731CD">
        <w:t xml:space="preserve"> i zab</w:t>
      </w:r>
      <w:r w:rsidRPr="003731CD">
        <w:t>ezpieczeń,</w:t>
      </w:r>
      <w:r w:rsidR="003731CD" w:rsidRPr="003731CD">
        <w:t xml:space="preserve"> w tym</w:t>
      </w:r>
      <w:r w:rsidRPr="003731CD">
        <w:t xml:space="preserve"> do celów zdrowotnych</w:t>
      </w:r>
      <w:r w:rsidR="003731CD" w:rsidRPr="003731CD">
        <w:t xml:space="preserve"> i bad</w:t>
      </w:r>
      <w:r w:rsidRPr="003731CD">
        <w:t>awczych</w:t>
      </w:r>
      <w:r w:rsidR="003731CD" w:rsidRPr="003731CD">
        <w:t>. W cel</w:t>
      </w:r>
      <w:r w:rsidRPr="003731CD">
        <w:t>u rozwiązania tej kwestii Komisja</w:t>
      </w:r>
      <w:r w:rsidR="003731CD" w:rsidRPr="003731CD">
        <w:t xml:space="preserve"> w pie</w:t>
      </w:r>
      <w:r w:rsidRPr="003731CD">
        <w:t>rwszej kolejności zidentyfikowała różne podejścia państw członkowskich</w:t>
      </w:r>
      <w:r w:rsidRPr="003731CD">
        <w:rPr>
          <w:rStyle w:val="FootnoteReference"/>
        </w:rPr>
        <w:footnoteReference w:id="43"/>
      </w:r>
      <w:r w:rsidR="003731CD" w:rsidRPr="003731CD">
        <w:t xml:space="preserve"> i w kol</w:t>
      </w:r>
      <w:r w:rsidRPr="003731CD">
        <w:t>ejnych krokach poprze ustanowienie kodeksów postępowania, które przyczyniłyby się do bardziej spójnego podejścia</w:t>
      </w:r>
      <w:r w:rsidR="003731CD" w:rsidRPr="003731CD">
        <w:t xml:space="preserve"> w tym</w:t>
      </w:r>
      <w:r w:rsidRPr="003731CD">
        <w:t xml:space="preserve"> obszarze oraz ułatwiły transgraniczne przetwarzanie danych osobowych.</w:t>
      </w:r>
      <w:r w:rsidRPr="003731CD">
        <w:rPr>
          <w:rStyle w:val="FootnoteReference"/>
        </w:rPr>
        <w:footnoteReference w:id="44"/>
      </w:r>
      <w:r w:rsidRPr="003731CD">
        <w:t xml:space="preserve"> Ponadto przyszłe wytyczne EROD</w:t>
      </w:r>
      <w:r w:rsidR="003731CD" w:rsidRPr="003731CD">
        <w:t xml:space="preserve"> w spr</w:t>
      </w:r>
      <w:r w:rsidRPr="003731CD">
        <w:t>awie wykorzystywania danych osobowych</w:t>
      </w:r>
      <w:r w:rsidR="003731CD" w:rsidRPr="003731CD">
        <w:t xml:space="preserve"> w dzi</w:t>
      </w:r>
      <w:r w:rsidRPr="003731CD">
        <w:t>edzinie badań naukowych przyczynią się do zharmonizowanego podejścia. Komisja wniesie wkład do ustaleń EROD,</w:t>
      </w:r>
      <w:r w:rsidR="003731CD" w:rsidRPr="003731CD">
        <w:t xml:space="preserve"> w szc</w:t>
      </w:r>
      <w:r w:rsidRPr="003731CD">
        <w:t>zególności</w:t>
      </w:r>
      <w:r w:rsidR="003731CD" w:rsidRPr="003731CD">
        <w:t xml:space="preserve"> w odn</w:t>
      </w:r>
      <w:r w:rsidRPr="003731CD">
        <w:t>iesieniu do badań naukowych</w:t>
      </w:r>
      <w:r w:rsidR="003731CD" w:rsidRPr="003731CD">
        <w:t xml:space="preserve"> w dzi</w:t>
      </w:r>
      <w:r w:rsidRPr="003731CD">
        <w:t>edzinie zdrowia,</w:t>
      </w:r>
      <w:r w:rsidR="003731CD" w:rsidRPr="003731CD">
        <w:t xml:space="preserve"> w tym w for</w:t>
      </w:r>
      <w:r w:rsidRPr="003731CD">
        <w:t>mie konkretnych pytań</w:t>
      </w:r>
      <w:r w:rsidR="003731CD" w:rsidRPr="003731CD">
        <w:t xml:space="preserve"> i ana</w:t>
      </w:r>
      <w:r w:rsidRPr="003731CD">
        <w:t>lizy scenariuszy, które otrzymała od środowiska naukowego.</w:t>
      </w:r>
    </w:p>
    <w:p w:rsidR="001079A3" w:rsidRPr="003731CD" w:rsidRDefault="00BB6FCD">
      <w:pPr>
        <w:spacing w:after="0"/>
        <w:jc w:val="left"/>
        <w:rPr>
          <w:i/>
          <w:iCs/>
        </w:rPr>
      </w:pPr>
      <w:r w:rsidRPr="003731CD">
        <w:br w:type="page"/>
      </w:r>
    </w:p>
    <w:p w:rsidR="001079A3" w:rsidRPr="003731CD" w:rsidRDefault="00BB6FCD">
      <w:pPr>
        <w:pStyle w:val="Heading3"/>
      </w:pPr>
      <w:r w:rsidRPr="003731CD">
        <w:t>Wzmocnienie pozycji osób fizycznych</w:t>
      </w:r>
      <w:r w:rsidR="003731CD" w:rsidRPr="003731CD">
        <w:t xml:space="preserve"> w zak</w:t>
      </w:r>
      <w:r w:rsidRPr="003731CD">
        <w:t>resie kontrolowania ich danych</w:t>
      </w:r>
      <w:bookmarkEnd w:id="63"/>
    </w:p>
    <w:p w:rsidR="001079A3" w:rsidRPr="003731CD" w:rsidRDefault="00BB6FCD">
      <w:r w:rsidRPr="003731CD">
        <w:t>Według badania dotyczącego praw podstawowych</w:t>
      </w:r>
      <w:r w:rsidRPr="003731CD">
        <w:rPr>
          <w:rStyle w:val="FootnoteReference"/>
        </w:rPr>
        <w:footnoteReference w:id="45"/>
      </w:r>
      <w:r w:rsidRPr="003731CD">
        <w:t xml:space="preserve"> 69 % ludności UE</w:t>
      </w:r>
      <w:r w:rsidR="003731CD" w:rsidRPr="003731CD">
        <w:t xml:space="preserve"> w wie</w:t>
      </w:r>
      <w:r w:rsidRPr="003731CD">
        <w:t>ku powyżej 16 lat słyszało o RODO,</w:t>
      </w:r>
      <w:r w:rsidR="003731CD" w:rsidRPr="003731CD">
        <w:t xml:space="preserve"> a 7</w:t>
      </w:r>
      <w:r w:rsidRPr="003731CD">
        <w:t>1 % osób w UE wie</w:t>
      </w:r>
      <w:r w:rsidR="003731CD" w:rsidRPr="003731CD">
        <w:t xml:space="preserve"> o ist</w:t>
      </w:r>
      <w:r w:rsidRPr="003731CD">
        <w:t>nieniu krajowego organu ochrony danych.</w:t>
      </w:r>
    </w:p>
    <w:p w:rsidR="001079A3" w:rsidRPr="003731CD" w:rsidRDefault="00BB6FCD">
      <w:r w:rsidRPr="003731CD">
        <w:t>Osoby fizyczne są coraz bardziej świadome swoich praw: prawa</w:t>
      </w:r>
      <w:r w:rsidR="003731CD" w:rsidRPr="003731CD">
        <w:t xml:space="preserve"> w zak</w:t>
      </w:r>
      <w:r w:rsidRPr="003731CD">
        <w:t>resie dostępu do swoich danych osobowych, ich poprawiania, usuwania</w:t>
      </w:r>
      <w:r w:rsidR="003731CD" w:rsidRPr="003731CD">
        <w:t xml:space="preserve"> i prz</w:t>
      </w:r>
      <w:r w:rsidRPr="003731CD">
        <w:t>enoszenia, prawo do sprzeciwu wobec ich przetwarzania, jak również do większej przejrzystości</w:t>
      </w:r>
      <w:r w:rsidR="003731CD" w:rsidRPr="003731CD">
        <w:t>. W ram</w:t>
      </w:r>
      <w:r w:rsidRPr="003731CD">
        <w:t>ach RODO wzmocniono prawa procesowe obejmujące prawo do złożenia skargi do organu ochrony danych,</w:t>
      </w:r>
      <w:r w:rsidR="003731CD" w:rsidRPr="003731CD">
        <w:t xml:space="preserve"> w tym</w:t>
      </w:r>
      <w:r w:rsidRPr="003731CD">
        <w:t xml:space="preserve"> poprzez powództwa przedstawicielskie, oraz prawo do dochodzenia roszczeń na drodze sądowej. Osoby fizyczne coraz częściej korzystają</w:t>
      </w:r>
      <w:r w:rsidR="003731CD" w:rsidRPr="003731CD">
        <w:t xml:space="preserve"> z tyc</w:t>
      </w:r>
      <w:r w:rsidRPr="003731CD">
        <w:t>h praw, ale istnieje również potrzeba ułatwienia ich wykonywania</w:t>
      </w:r>
      <w:r w:rsidR="003731CD" w:rsidRPr="003731CD">
        <w:t xml:space="preserve"> i peł</w:t>
      </w:r>
      <w:r w:rsidRPr="003731CD">
        <w:t>nego egzekwowania. Dyskusje prowadzone przez EROD pozwolą na wyjaśnienie</w:t>
      </w:r>
      <w:r w:rsidR="003731CD" w:rsidRPr="003731CD">
        <w:t xml:space="preserve"> i dal</w:t>
      </w:r>
      <w:r w:rsidRPr="003731CD">
        <w:t>sze ułatwienie korzystania</w:t>
      </w:r>
      <w:r w:rsidR="003731CD" w:rsidRPr="003731CD">
        <w:t xml:space="preserve"> z pra</w:t>
      </w:r>
      <w:r w:rsidRPr="003731CD">
        <w:t>w indywidualnych, podczas gdy proponowana dyrektywa</w:t>
      </w:r>
      <w:r w:rsidR="003731CD" w:rsidRPr="003731CD">
        <w:t xml:space="preserve"> w spr</w:t>
      </w:r>
      <w:r w:rsidRPr="003731CD">
        <w:t>awie powództw przedstawicielskich</w:t>
      </w:r>
      <w:r w:rsidRPr="003731CD">
        <w:rPr>
          <w:rStyle w:val="FootnoteReference"/>
        </w:rPr>
        <w:footnoteReference w:id="46"/>
      </w:r>
      <w:r w:rsidRPr="003731CD">
        <w:t>, po jej przyjęciu, ma umożliwić poszczególnym osobom wnoszenie powództw zbiorowych we wszystkich państwach członkowskich</w:t>
      </w:r>
      <w:r w:rsidR="003731CD" w:rsidRPr="003731CD">
        <w:t xml:space="preserve"> i obn</w:t>
      </w:r>
      <w:r w:rsidRPr="003731CD">
        <w:t xml:space="preserve">iżyć koszty działań transgranicznych. </w:t>
      </w:r>
    </w:p>
    <w:p w:rsidR="001079A3" w:rsidRPr="003731CD" w:rsidRDefault="00BB6FCD">
      <w:r w:rsidRPr="003731CD">
        <w:t>Prawo do przenoszenia danych ma wyraźny potencjał, wciąż nie</w:t>
      </w:r>
      <w:r w:rsidR="003731CD" w:rsidRPr="003731CD">
        <w:t xml:space="preserve"> w peł</w:t>
      </w:r>
      <w:r w:rsidRPr="003731CD">
        <w:t>ni wykorzystywany, do umiejscowienia osób fizycznych</w:t>
      </w:r>
      <w:r w:rsidR="003731CD" w:rsidRPr="003731CD">
        <w:t xml:space="preserve"> w cen</w:t>
      </w:r>
      <w:r w:rsidRPr="003731CD">
        <w:t>trum gospodarki opartej na danych, umożliwiając im zmianę usługodawców, łączenie różnych usług, korzystanie</w:t>
      </w:r>
      <w:r w:rsidR="003731CD" w:rsidRPr="003731CD">
        <w:t xml:space="preserve"> z inn</w:t>
      </w:r>
      <w:r w:rsidRPr="003731CD">
        <w:t>ych innowacyjnych usług oraz wybór usług najbardziej przyjaznych</w:t>
      </w:r>
      <w:r w:rsidR="003731CD" w:rsidRPr="003731CD">
        <w:t xml:space="preserve"> w kon</w:t>
      </w:r>
      <w:r w:rsidRPr="003731CD">
        <w:t>tekście ochrony danych. Będzie to pośrednio sprzyjać konkurencji</w:t>
      </w:r>
      <w:r w:rsidR="003731CD" w:rsidRPr="003731CD">
        <w:t xml:space="preserve"> i wsp</w:t>
      </w:r>
      <w:r w:rsidRPr="003731CD">
        <w:t>ierać innowacje. Uwolnienie tego potencjału jest jednym</w:t>
      </w:r>
      <w:r w:rsidR="003731CD" w:rsidRPr="003731CD">
        <w:t xml:space="preserve"> z pri</w:t>
      </w:r>
      <w:r w:rsidRPr="003731CD">
        <w:t>orytetów Komisji,</w:t>
      </w:r>
      <w:r w:rsidR="003731CD" w:rsidRPr="003731CD">
        <w:t xml:space="preserve"> w szc</w:t>
      </w:r>
      <w:r w:rsidRPr="003731CD">
        <w:t>zególności dlatego, że coraz częściej korzysta się</w:t>
      </w:r>
      <w:r w:rsidR="003731CD" w:rsidRPr="003731CD">
        <w:t xml:space="preserve"> z urz</w:t>
      </w:r>
      <w:r w:rsidRPr="003731CD">
        <w:t>ądzeń związanych</w:t>
      </w:r>
      <w:r w:rsidR="003731CD" w:rsidRPr="003731CD">
        <w:t xml:space="preserve"> z int</w:t>
      </w:r>
      <w:r w:rsidRPr="003731CD">
        <w:t>ernetem rzeczy,</w:t>
      </w:r>
      <w:r w:rsidR="003731CD" w:rsidRPr="003731CD">
        <w:t xml:space="preserve"> a kon</w:t>
      </w:r>
      <w:r w:rsidRPr="003731CD">
        <w:t>sumenci generują coraz więcej danych, przy czym mogą oni zetknąć się ze stosowaniem nieuczciwych praktyk</w:t>
      </w:r>
      <w:r w:rsidR="003731CD" w:rsidRPr="003731CD">
        <w:t xml:space="preserve"> i efe</w:t>
      </w:r>
      <w:r w:rsidRPr="003731CD">
        <w:t>ktem uzależnienia od dostawcy. Możliwość przenoszenia może przynieść istotne korzyści</w:t>
      </w:r>
      <w:r w:rsidR="003731CD" w:rsidRPr="003731CD">
        <w:t xml:space="preserve"> w odn</w:t>
      </w:r>
      <w:r w:rsidRPr="003731CD">
        <w:t>iesieniu do zdrowia</w:t>
      </w:r>
      <w:r w:rsidR="003731CD" w:rsidRPr="003731CD">
        <w:t xml:space="preserve"> i dob</w:t>
      </w:r>
      <w:r w:rsidRPr="003731CD">
        <w:t>robytu, zmniejszyć ślad środowiskowy</w:t>
      </w:r>
      <w:r w:rsidR="003731CD" w:rsidRPr="003731CD">
        <w:t xml:space="preserve"> i dos</w:t>
      </w:r>
      <w:r w:rsidRPr="003731CD">
        <w:t>tęp do usług publicznych</w:t>
      </w:r>
      <w:r w:rsidR="003731CD" w:rsidRPr="003731CD">
        <w:t xml:space="preserve"> i pry</w:t>
      </w:r>
      <w:r w:rsidRPr="003731CD">
        <w:t>watnych, zwiększyć wydajność produkcji oraz podnieść jakość</w:t>
      </w:r>
      <w:r w:rsidR="003731CD" w:rsidRPr="003731CD">
        <w:t xml:space="preserve"> i bez</w:t>
      </w:r>
      <w:r w:rsidRPr="003731CD">
        <w:t xml:space="preserve">pieczeństwo produktów. </w:t>
      </w:r>
    </w:p>
    <w:p w:rsidR="001079A3" w:rsidRPr="003731CD" w:rsidRDefault="00BB6FCD">
      <w:pPr>
        <w:rPr>
          <w:color w:val="000000" w:themeColor="text1"/>
        </w:rPr>
      </w:pPr>
      <w:r w:rsidRPr="003731CD">
        <w:t>W ramach strategii</w:t>
      </w:r>
      <w:r w:rsidR="003731CD" w:rsidRPr="003731CD">
        <w:t xml:space="preserve"> w zak</w:t>
      </w:r>
      <w:r w:rsidRPr="003731CD">
        <w:t>resie danych podkreślono potrzebę rozwiązania problemów takich jak brak norm umożliwiających udostępnianie danych</w:t>
      </w:r>
      <w:r w:rsidR="003731CD" w:rsidRPr="003731CD">
        <w:t xml:space="preserve"> w for</w:t>
      </w:r>
      <w:r w:rsidRPr="003731CD">
        <w:t>macie nadającym się do odczytu maszynowego</w:t>
      </w:r>
      <w:r w:rsidR="003731CD" w:rsidRPr="003731CD">
        <w:t xml:space="preserve"> w cel</w:t>
      </w:r>
      <w:r w:rsidRPr="003731CD">
        <w:t>u zwiększenia możliwości rzeczywistego korzystania</w:t>
      </w:r>
      <w:r w:rsidR="003731CD" w:rsidRPr="003731CD">
        <w:t xml:space="preserve"> z pra</w:t>
      </w:r>
      <w:r w:rsidRPr="003731CD">
        <w:t>wa do przenoszenia danych, które jest obecnie ograniczone do kilku sektorów (np. bankowości</w:t>
      </w:r>
      <w:r w:rsidR="003731CD" w:rsidRPr="003731CD">
        <w:t xml:space="preserve"> i tel</w:t>
      </w:r>
      <w:r w:rsidRPr="003731CD">
        <w:t>ekomunikacji). Można to osiągnąć przede wszystkim przez opracowanie odpowiednich narzędzi, znormalizowanego formatu</w:t>
      </w:r>
      <w:r w:rsidR="003731CD" w:rsidRPr="003731CD">
        <w:t xml:space="preserve"> i int</w:t>
      </w:r>
      <w:r w:rsidRPr="003731CD">
        <w:t>erfejsów</w:t>
      </w:r>
      <w:r w:rsidRPr="003731CD">
        <w:rPr>
          <w:rStyle w:val="FootnoteReference"/>
        </w:rPr>
        <w:footnoteReference w:id="47"/>
      </w:r>
      <w:r w:rsidRPr="003731CD">
        <w:t>. Korzystanie</w:t>
      </w:r>
      <w:r w:rsidR="003731CD" w:rsidRPr="003731CD">
        <w:t xml:space="preserve"> w wię</w:t>
      </w:r>
      <w:r w:rsidRPr="003731CD">
        <w:t>kszym stopniu</w:t>
      </w:r>
      <w:r w:rsidR="003731CD" w:rsidRPr="003731CD">
        <w:t xml:space="preserve"> z teg</w:t>
      </w:r>
      <w:r w:rsidRPr="003731CD">
        <w:t>o prawa można by również osiągnąć dzięki wprowadzeniu interfejsów technicznych</w:t>
      </w:r>
      <w:r w:rsidR="003731CD" w:rsidRPr="003731CD">
        <w:t xml:space="preserve"> i for</w:t>
      </w:r>
      <w:r w:rsidRPr="003731CD">
        <w:t>matów nadających się do odczytu maszynowego umożliwiających przenoszenie danych</w:t>
      </w:r>
      <w:r w:rsidR="003731CD" w:rsidRPr="003731CD">
        <w:t xml:space="preserve"> w cza</w:t>
      </w:r>
      <w:r w:rsidRPr="003731CD">
        <w:t>sie rzeczywistym. Zwiększone korzystanie</w:t>
      </w:r>
      <w:r w:rsidR="003731CD" w:rsidRPr="003731CD">
        <w:t xml:space="preserve"> z pra</w:t>
      </w:r>
      <w:r w:rsidRPr="003731CD">
        <w:t>wa do przenoszenia danych może między innymi ułatwić osobom fizycznym udostępnianie ich danych dla dobra publicznego (na przykład</w:t>
      </w:r>
      <w:r w:rsidR="003731CD" w:rsidRPr="003731CD">
        <w:t xml:space="preserve"> w cel</w:t>
      </w:r>
      <w:r w:rsidRPr="003731CD">
        <w:t>u wspierania badań</w:t>
      </w:r>
      <w:r w:rsidR="003731CD" w:rsidRPr="003731CD">
        <w:t xml:space="preserve"> w sek</w:t>
      </w:r>
      <w:r w:rsidRPr="003731CD">
        <w:t>torze zdrowia), jeśli sobie tego życzą („altruistyczne podejście do danych”)</w:t>
      </w:r>
      <w:r w:rsidR="003731CD" w:rsidRPr="003731CD">
        <w:t xml:space="preserve">. </w:t>
      </w:r>
      <w:r w:rsidR="003731CD" w:rsidRPr="003731CD">
        <w:rPr>
          <w:color w:val="000000" w:themeColor="text1"/>
        </w:rPr>
        <w:t>W</w:t>
      </w:r>
      <w:r w:rsidR="003731CD" w:rsidRPr="003731CD">
        <w:t> </w:t>
      </w:r>
      <w:r w:rsidR="003731CD" w:rsidRPr="003731CD">
        <w:rPr>
          <w:color w:val="000000" w:themeColor="text1"/>
        </w:rPr>
        <w:t>ram</w:t>
      </w:r>
      <w:r w:rsidRPr="003731CD">
        <w:rPr>
          <w:color w:val="000000" w:themeColor="text1"/>
        </w:rPr>
        <w:t>ach przygotowywania pakietu dotyczącego usług cyfrowych</w:t>
      </w:r>
      <w:r w:rsidRPr="003731CD">
        <w:rPr>
          <w:rStyle w:val="FootnoteReference"/>
          <w:color w:val="000000" w:themeColor="text1"/>
        </w:rPr>
        <w:footnoteReference w:id="48"/>
      </w:r>
      <w:r w:rsidRPr="003731CD">
        <w:rPr>
          <w:color w:val="000000" w:themeColor="text1"/>
        </w:rPr>
        <w:t xml:space="preserve"> Komisja zbada szerzej rolę danych</w:t>
      </w:r>
      <w:r w:rsidR="003731CD" w:rsidRPr="003731CD">
        <w:rPr>
          <w:color w:val="000000" w:themeColor="text1"/>
        </w:rPr>
        <w:t xml:space="preserve"> i pra</w:t>
      </w:r>
      <w:r w:rsidRPr="003731CD">
        <w:rPr>
          <w:color w:val="000000" w:themeColor="text1"/>
        </w:rPr>
        <w:t>ktyk związanych</w:t>
      </w:r>
      <w:r w:rsidR="003731CD" w:rsidRPr="003731CD">
        <w:rPr>
          <w:color w:val="000000" w:themeColor="text1"/>
        </w:rPr>
        <w:t xml:space="preserve"> z dan</w:t>
      </w:r>
      <w:r w:rsidRPr="003731CD">
        <w:rPr>
          <w:color w:val="000000" w:themeColor="text1"/>
        </w:rPr>
        <w:t>ymi</w:t>
      </w:r>
      <w:r w:rsidR="003731CD" w:rsidRPr="003731CD">
        <w:rPr>
          <w:color w:val="000000" w:themeColor="text1"/>
        </w:rPr>
        <w:t xml:space="preserve"> w eko</w:t>
      </w:r>
      <w:r w:rsidRPr="003731CD">
        <w:rPr>
          <w:color w:val="000000" w:themeColor="text1"/>
        </w:rPr>
        <w:t xml:space="preserve">systemie platform. </w:t>
      </w:r>
    </w:p>
    <w:p w:rsidR="001079A3" w:rsidRPr="003731CD" w:rsidRDefault="00BB6FCD">
      <w:pPr>
        <w:spacing w:after="0"/>
        <w:jc w:val="left"/>
        <w:rPr>
          <w:i/>
          <w:iCs/>
        </w:rPr>
      </w:pPr>
      <w:bookmarkStart w:id="66" w:name="_Toc40124218"/>
      <w:r w:rsidRPr="003731CD">
        <w:br w:type="page"/>
      </w:r>
    </w:p>
    <w:p w:rsidR="001079A3" w:rsidRPr="003731CD" w:rsidRDefault="00BB6FCD">
      <w:pPr>
        <w:pStyle w:val="Heading3"/>
      </w:pPr>
      <w:r w:rsidRPr="003731CD">
        <w:t>Możliwości</w:t>
      </w:r>
      <w:r w:rsidR="003731CD" w:rsidRPr="003731CD">
        <w:t xml:space="preserve"> i wyz</w:t>
      </w:r>
      <w:r w:rsidRPr="003731CD">
        <w:t>wania dla organizacji,</w:t>
      </w:r>
      <w:r w:rsidR="003731CD" w:rsidRPr="003731CD">
        <w:t xml:space="preserve"> w szc</w:t>
      </w:r>
      <w:r w:rsidRPr="003731CD">
        <w:t>zególności dla małych</w:t>
      </w:r>
      <w:r w:rsidR="003731CD" w:rsidRPr="003731CD">
        <w:t xml:space="preserve"> i śre</w:t>
      </w:r>
      <w:r w:rsidRPr="003731CD">
        <w:t>dnich przedsiębiorstw</w:t>
      </w:r>
      <w:bookmarkEnd w:id="66"/>
    </w:p>
    <w:p w:rsidR="001079A3" w:rsidRPr="003731CD" w:rsidRDefault="00BB6FCD">
      <w:r w:rsidRPr="003731CD">
        <w:t>RODO wraz</w:t>
      </w:r>
      <w:r w:rsidR="003731CD" w:rsidRPr="003731CD">
        <w:t xml:space="preserve"> z roz</w:t>
      </w:r>
      <w:r w:rsidRPr="003731CD">
        <w:t>porządzeniem</w:t>
      </w:r>
      <w:r w:rsidR="003731CD" w:rsidRPr="003731CD">
        <w:t xml:space="preserve"> w spr</w:t>
      </w:r>
      <w:r w:rsidRPr="003731CD">
        <w:t>awie ram swobodnego przepływu danych nieosobowych</w:t>
      </w:r>
      <w:r w:rsidRPr="003731CD">
        <w:rPr>
          <w:rStyle w:val="FootnoteReference"/>
        </w:rPr>
        <w:footnoteReference w:id="49"/>
      </w:r>
      <w:r w:rsidRPr="003731CD">
        <w:t xml:space="preserve"> oferuje przedsiębiorstwom możliwości</w:t>
      </w:r>
      <w:r w:rsidR="003731CD" w:rsidRPr="003731CD">
        <w:t xml:space="preserve"> w zak</w:t>
      </w:r>
      <w:r w:rsidRPr="003731CD">
        <w:t>resie wspierania konkurencji</w:t>
      </w:r>
      <w:r w:rsidR="003731CD" w:rsidRPr="003731CD">
        <w:t xml:space="preserve"> i inn</w:t>
      </w:r>
      <w:r w:rsidRPr="003731CD">
        <w:t>owacji, zapewnienia swobodnego przepływu danych w UE oraz stworzenia równych warunków działania dla przedsiębiorstw mających siedzibę poza UE</w:t>
      </w:r>
      <w:r w:rsidRPr="003731CD">
        <w:rPr>
          <w:rStyle w:val="FootnoteReference"/>
        </w:rPr>
        <w:footnoteReference w:id="50"/>
      </w:r>
      <w:r w:rsidRPr="003731CD">
        <w:t>. Prawo do przenoszenia danych,</w:t>
      </w:r>
      <w:r w:rsidR="003731CD" w:rsidRPr="003731CD">
        <w:t xml:space="preserve"> w poł</w:t>
      </w:r>
      <w:r w:rsidRPr="003731CD">
        <w:t>ączeniu</w:t>
      </w:r>
      <w:r w:rsidR="003731CD" w:rsidRPr="003731CD">
        <w:t xml:space="preserve"> z ros</w:t>
      </w:r>
      <w:r w:rsidRPr="003731CD">
        <w:t>nącą liczbą osób poszukujących rozwiązań bardziej sprzyjających ochronie prywatności, może zmniejszyć bariery wejścia na rynek dla przedsiębiorstw</w:t>
      </w:r>
      <w:r w:rsidR="003731CD" w:rsidRPr="003731CD">
        <w:t xml:space="preserve"> i otw</w:t>
      </w:r>
      <w:r w:rsidRPr="003731CD">
        <w:t>orzyć możliwości wzrostu</w:t>
      </w:r>
      <w:r w:rsidR="003731CD" w:rsidRPr="003731CD">
        <w:t xml:space="preserve"> w opa</w:t>
      </w:r>
      <w:r w:rsidRPr="003731CD">
        <w:t>rciu</w:t>
      </w:r>
      <w:r w:rsidR="003731CD" w:rsidRPr="003731CD">
        <w:t xml:space="preserve"> o zau</w:t>
      </w:r>
      <w:r w:rsidRPr="003731CD">
        <w:t>fanie</w:t>
      </w:r>
      <w:r w:rsidR="003731CD" w:rsidRPr="003731CD">
        <w:t xml:space="preserve"> i inn</w:t>
      </w:r>
      <w:r w:rsidRPr="003731CD">
        <w:t>owacje. Niektóre zainteresowane strony informują, że stosowanie RODO stanowi wyzwanie zwłaszcza dla małych</w:t>
      </w:r>
      <w:r w:rsidR="003731CD" w:rsidRPr="003731CD">
        <w:t xml:space="preserve"> i śre</w:t>
      </w:r>
      <w:r w:rsidRPr="003731CD">
        <w:t>dnich przedsiębiorstw (MŚP). Zgodnie</w:t>
      </w:r>
      <w:r w:rsidR="003731CD" w:rsidRPr="003731CD">
        <w:t xml:space="preserve"> z pod</w:t>
      </w:r>
      <w:r w:rsidRPr="003731CD">
        <w:t>ejściem opartym na analizie ryzyka przyznawanie odstępstw na podstawie wielkości operatorów nie byłoby podejściem właściwym, ponieważ ich rozmiar sam</w:t>
      </w:r>
      <w:r w:rsidR="003731CD" w:rsidRPr="003731CD">
        <w:t xml:space="preserve"> w sob</w:t>
      </w:r>
      <w:r w:rsidRPr="003731CD">
        <w:t>ie nie stanowi wskaźnika ryzyka, jakie przetwarzanie danych osobowych, którego to przedsiębiorstwo się podejmuje, może stworzyć dla osób fizycznych. Kilka organów ochrony danych dostarczyło praktyczne narzędzia ułatwiających wdrożenie RODO przez MŚP prowadzące działalność</w:t>
      </w:r>
      <w:r w:rsidR="003731CD" w:rsidRPr="003731CD">
        <w:t xml:space="preserve"> w zak</w:t>
      </w:r>
      <w:r w:rsidRPr="003731CD">
        <w:t>resie przetwarzania</w:t>
      </w:r>
      <w:r w:rsidR="003731CD" w:rsidRPr="003731CD">
        <w:t xml:space="preserve"> o nis</w:t>
      </w:r>
      <w:r w:rsidRPr="003731CD">
        <w:t>kim ryzyku. Wysiłki te powinny zostać zintensyfikowane</w:t>
      </w:r>
      <w:r w:rsidR="003731CD" w:rsidRPr="003731CD">
        <w:t xml:space="preserve"> i roz</w:t>
      </w:r>
      <w:r w:rsidRPr="003731CD">
        <w:t>powszechnione, najlepiej</w:t>
      </w:r>
      <w:r w:rsidR="003731CD" w:rsidRPr="003731CD">
        <w:t xml:space="preserve"> w ram</w:t>
      </w:r>
      <w:r w:rsidRPr="003731CD">
        <w:t>ach wspólnego europejskiego podejścia, aby nie tworzyć barier dla jednolitego rynku.</w:t>
      </w:r>
    </w:p>
    <w:p w:rsidR="001079A3" w:rsidRPr="003731CD" w:rsidRDefault="00BB6FCD">
      <w:r w:rsidRPr="003731CD">
        <w:t>Organy ochrony danych opracowały szereg działań mających pomóc MŚP</w:t>
      </w:r>
      <w:r w:rsidR="003731CD" w:rsidRPr="003731CD">
        <w:t xml:space="preserve"> w prz</w:t>
      </w:r>
      <w:r w:rsidRPr="003731CD">
        <w:t>estrzeganiu przepisów ogólnego rozporządzenia</w:t>
      </w:r>
      <w:r w:rsidR="003731CD" w:rsidRPr="003731CD">
        <w:t xml:space="preserve"> o och</w:t>
      </w:r>
      <w:r w:rsidRPr="003731CD">
        <w:t>ronie danych, na przykład przez udostępnienie szablonów</w:t>
      </w:r>
      <w:r w:rsidR="003731CD" w:rsidRPr="003731CD">
        <w:t xml:space="preserve"> i zap</w:t>
      </w:r>
      <w:r w:rsidRPr="003731CD">
        <w:t>isów dotyczących czynności przetwarzania,</w:t>
      </w:r>
      <w:r w:rsidR="003731CD" w:rsidRPr="003731CD">
        <w:t xml:space="preserve"> a tak</w:t>
      </w:r>
      <w:r w:rsidRPr="003731CD">
        <w:t>że seminariów</w:t>
      </w:r>
      <w:r w:rsidR="003731CD" w:rsidRPr="003731CD">
        <w:t xml:space="preserve"> i gor</w:t>
      </w:r>
      <w:r w:rsidRPr="003731CD">
        <w:t>ących linii przeznaczonych do konsultacji. Wiele</w:t>
      </w:r>
      <w:r w:rsidR="003731CD" w:rsidRPr="003731CD">
        <w:t xml:space="preserve"> z tyc</w:t>
      </w:r>
      <w:r w:rsidRPr="003731CD">
        <w:t>h inicjatyw skorzystało</w:t>
      </w:r>
      <w:r w:rsidR="003731CD" w:rsidRPr="003731CD">
        <w:t xml:space="preserve"> z fin</w:t>
      </w:r>
      <w:r w:rsidRPr="003731CD">
        <w:t>ansowania UE</w:t>
      </w:r>
      <w:r w:rsidRPr="003731CD">
        <w:rPr>
          <w:rStyle w:val="FootnoteReference"/>
        </w:rPr>
        <w:footnoteReference w:id="51"/>
      </w:r>
      <w:r w:rsidRPr="003731CD">
        <w:t>. Należy rozważyć dalsze działania mające na celu ułatwienie stosowania RODO</w:t>
      </w:r>
      <w:r w:rsidR="003731CD" w:rsidRPr="003731CD">
        <w:t xml:space="preserve"> w odn</w:t>
      </w:r>
      <w:r w:rsidRPr="003731CD">
        <w:t>iesieniu do MŚP.</w:t>
      </w:r>
    </w:p>
    <w:p w:rsidR="001079A3" w:rsidRPr="003731CD" w:rsidRDefault="00BB6FCD">
      <w:r w:rsidRPr="003731CD">
        <w:t>RODO udostępnia zestaw narzędzi wszystkim rodzajom przedsiębiorstw</w:t>
      </w:r>
      <w:r w:rsidR="003731CD" w:rsidRPr="003731CD">
        <w:t xml:space="preserve"> i org</w:t>
      </w:r>
      <w:r w:rsidRPr="003731CD">
        <w:t>anizacji, aby pomóc im</w:t>
      </w:r>
      <w:r w:rsidR="003731CD" w:rsidRPr="003731CD">
        <w:t xml:space="preserve"> w wyk</w:t>
      </w:r>
      <w:r w:rsidRPr="003731CD">
        <w:t>azaniu zgodności, takich jak kodeksy postępowania, mechanizmy certyfikacji</w:t>
      </w:r>
      <w:r w:rsidR="003731CD" w:rsidRPr="003731CD">
        <w:t xml:space="preserve"> i sta</w:t>
      </w:r>
      <w:r w:rsidRPr="003731CD">
        <w:t>ndardowe klauzule umowne. Należy</w:t>
      </w:r>
      <w:r w:rsidR="003731CD" w:rsidRPr="003731CD">
        <w:t xml:space="preserve"> w peł</w:t>
      </w:r>
      <w:r w:rsidRPr="003731CD">
        <w:t>ni wykorzystywać ten zestaw narzędzi. MŚP podkreślają</w:t>
      </w:r>
      <w:r w:rsidR="003731CD" w:rsidRPr="003731CD">
        <w:t xml:space="preserve"> w szc</w:t>
      </w:r>
      <w:r w:rsidRPr="003731CD">
        <w:t>zególności znaczenie</w:t>
      </w:r>
      <w:r w:rsidR="003731CD" w:rsidRPr="003731CD">
        <w:t xml:space="preserve"> i uży</w:t>
      </w:r>
      <w:r w:rsidRPr="003731CD">
        <w:t>teczność kodeksów postępowania dostosowanych do ich sytuacji</w:t>
      </w:r>
      <w:r w:rsidR="003731CD" w:rsidRPr="003731CD">
        <w:t xml:space="preserve"> i nie</w:t>
      </w:r>
      <w:r w:rsidRPr="003731CD">
        <w:t>powodujących niewspółmiernych kosztów</w:t>
      </w:r>
      <w:r w:rsidR="003731CD" w:rsidRPr="003731CD">
        <w:t>. W odn</w:t>
      </w:r>
      <w:r w:rsidRPr="003731CD">
        <w:t>iesieniu do systemów certyfikacji bezpieczeństwo (w tym cyberbezpieczeństwo)</w:t>
      </w:r>
      <w:r w:rsidR="003731CD" w:rsidRPr="003731CD">
        <w:t xml:space="preserve"> i och</w:t>
      </w:r>
      <w:r w:rsidRPr="003731CD">
        <w:t>rona danych</w:t>
      </w:r>
      <w:r w:rsidR="003731CD" w:rsidRPr="003731CD">
        <w:t xml:space="preserve"> w faz</w:t>
      </w:r>
      <w:r w:rsidRPr="003731CD">
        <w:t>ie projektowania są kluczowymi elementami, które należy uwzględnić w RODO</w:t>
      </w:r>
      <w:r w:rsidR="003731CD" w:rsidRPr="003731CD">
        <w:t xml:space="preserve"> i któ</w:t>
      </w:r>
      <w:r w:rsidRPr="003731CD">
        <w:t>re skorzystałyby na wspólnym</w:t>
      </w:r>
      <w:r w:rsidR="003731CD" w:rsidRPr="003731CD">
        <w:t xml:space="preserve"> i amb</w:t>
      </w:r>
      <w:r w:rsidRPr="003731CD">
        <w:t>itnym podejściu</w:t>
      </w:r>
      <w:r w:rsidR="003731CD" w:rsidRPr="003731CD">
        <w:t xml:space="preserve"> w cał</w:t>
      </w:r>
      <w:r w:rsidRPr="003731CD">
        <w:t>ej UE. Komisja pracuje obecnie nad standardowymi klauzulami umownymi między administratorami</w:t>
      </w:r>
      <w:r w:rsidR="003731CD" w:rsidRPr="003731CD">
        <w:t xml:space="preserve"> a pod</w:t>
      </w:r>
      <w:r w:rsidRPr="003731CD">
        <w:t>miotami przetwarzającymi</w:t>
      </w:r>
      <w:r w:rsidRPr="003731CD">
        <w:rPr>
          <w:rStyle w:val="FootnoteReference"/>
        </w:rPr>
        <w:footnoteReference w:id="52"/>
      </w:r>
      <w:r w:rsidRPr="003731CD">
        <w:t>, opierając się na trwających pracach nad modernizacją standardowych klauzul umownych dotyczących przekazywania za granicę</w:t>
      </w:r>
      <w:r w:rsidRPr="003731CD">
        <w:rPr>
          <w:rStyle w:val="FootnoteReference"/>
        </w:rPr>
        <w:footnoteReference w:id="53"/>
      </w:r>
      <w:r w:rsidRPr="003731CD">
        <w:t xml:space="preserve">. </w:t>
      </w:r>
    </w:p>
    <w:p w:rsidR="001079A3" w:rsidRPr="003731CD" w:rsidRDefault="00BB6FCD">
      <w:pPr>
        <w:pStyle w:val="Heading3"/>
      </w:pPr>
      <w:bookmarkStart w:id="67" w:name="_Toc40124220"/>
      <w:r w:rsidRPr="003731CD">
        <w:t>Stosowanie RODO</w:t>
      </w:r>
      <w:r w:rsidR="003731CD" w:rsidRPr="003731CD">
        <w:t xml:space="preserve"> w kon</w:t>
      </w:r>
      <w:r w:rsidRPr="003731CD">
        <w:t>tekście nowych technologii</w:t>
      </w:r>
      <w:bookmarkEnd w:id="67"/>
    </w:p>
    <w:p w:rsidR="001079A3" w:rsidRPr="003731CD" w:rsidRDefault="00BB6FCD">
      <w:r w:rsidRPr="003731CD">
        <w:t>Jako opracowane</w:t>
      </w:r>
      <w:r w:rsidR="003731CD" w:rsidRPr="003731CD">
        <w:t xml:space="preserve"> w spo</w:t>
      </w:r>
      <w:r w:rsidRPr="003731CD">
        <w:t>sób neutralny pod względem technicznym RODO opiera się na zasadach</w:t>
      </w:r>
      <w:r w:rsidR="003731CD" w:rsidRPr="003731CD">
        <w:t xml:space="preserve"> i w zwi</w:t>
      </w:r>
      <w:r w:rsidRPr="003731CD">
        <w:t>ązku</w:t>
      </w:r>
      <w:r w:rsidR="003731CD" w:rsidRPr="003731CD">
        <w:t xml:space="preserve"> z tym</w:t>
      </w:r>
      <w:r w:rsidRPr="003731CD">
        <w:t xml:space="preserve"> jest może uwzględniać nowe technologie</w:t>
      </w:r>
      <w:r w:rsidR="003731CD" w:rsidRPr="003731CD">
        <w:t xml:space="preserve"> w mia</w:t>
      </w:r>
      <w:r w:rsidRPr="003731CD">
        <w:t>rę ich rozwoju.</w:t>
      </w:r>
    </w:p>
    <w:p w:rsidR="001079A3" w:rsidRPr="003731CD" w:rsidRDefault="00BB6FCD">
      <w:r w:rsidRPr="003731CD">
        <w:t>Rozporządzenie jest postrzegane jako niezbędne</w:t>
      </w:r>
      <w:r w:rsidR="003731CD" w:rsidRPr="003731CD">
        <w:t xml:space="preserve"> i ela</w:t>
      </w:r>
      <w:r w:rsidRPr="003731CD">
        <w:t>styczne narzędzie gwarantujące, że rozwój nowych technologii jest zgodny</w:t>
      </w:r>
      <w:r w:rsidR="003731CD" w:rsidRPr="003731CD">
        <w:t xml:space="preserve"> z pra</w:t>
      </w:r>
      <w:r w:rsidRPr="003731CD">
        <w:t>wami podstawowymi. Ramy prawne dotyczące ochrony danych</w:t>
      </w:r>
      <w:r w:rsidR="003731CD" w:rsidRPr="003731CD">
        <w:t xml:space="preserve"> i pry</w:t>
      </w:r>
      <w:r w:rsidRPr="003731CD">
        <w:t>watności dowiodły swej wagi</w:t>
      </w:r>
      <w:r w:rsidR="003731CD" w:rsidRPr="003731CD">
        <w:t xml:space="preserve"> i ela</w:t>
      </w:r>
      <w:r w:rsidRPr="003731CD">
        <w:t>styczności podczas kryzysu związanego</w:t>
      </w:r>
      <w:r w:rsidR="003731CD" w:rsidRPr="003731CD">
        <w:t xml:space="preserve"> z emi</w:t>
      </w:r>
      <w:r w:rsidRPr="003731CD">
        <w:t>sją COVID-19,</w:t>
      </w:r>
      <w:r w:rsidR="003731CD" w:rsidRPr="003731CD">
        <w:t xml:space="preserve"> w szc</w:t>
      </w:r>
      <w:r w:rsidRPr="003731CD">
        <w:t>zególności</w:t>
      </w:r>
      <w:r w:rsidR="003731CD" w:rsidRPr="003731CD">
        <w:t xml:space="preserve"> w odn</w:t>
      </w:r>
      <w:r w:rsidRPr="003731CD">
        <w:t>iesieniu do projektowania aplikacji do śledzenia kontaktów</w:t>
      </w:r>
      <w:r w:rsidR="003731CD" w:rsidRPr="003731CD">
        <w:t xml:space="preserve"> i inn</w:t>
      </w:r>
      <w:r w:rsidRPr="003731CD">
        <w:t>ych rozwiązań technologicznych mających na celu zwalczanie pandemii. Przyszłe wyzwania wiążą się</w:t>
      </w:r>
      <w:r w:rsidR="003731CD" w:rsidRPr="003731CD">
        <w:t xml:space="preserve"> z pot</w:t>
      </w:r>
      <w:r w:rsidRPr="003731CD">
        <w:t>rzebą wyjaśnienia sposobu stosowania sprawdzonych zasad do konkretnych technologii, takich jak sztuczna inteligencja, łańcuch bloków, internet rzeczy lub rozpoznawanie twarzy, które wymagają ciągłego monitorowania. Na przykład biała księga Komisji</w:t>
      </w:r>
      <w:r w:rsidR="003731CD" w:rsidRPr="003731CD">
        <w:t xml:space="preserve"> w spr</w:t>
      </w:r>
      <w:r w:rsidRPr="003731CD">
        <w:t>awie sztucznej inteligencji</w:t>
      </w:r>
      <w:r w:rsidRPr="003731CD">
        <w:rPr>
          <w:rStyle w:val="FootnoteReference"/>
        </w:rPr>
        <w:footnoteReference w:id="54"/>
      </w:r>
      <w:r w:rsidRPr="003731CD">
        <w:t xml:space="preserve"> otworzyła debatę publiczną na temat konkretnych okoliczności, które mogłyby uzasadniać wykorzystanie sztucznej inteligencji do celów zdalnej identyfikacji biometrycznej (np. rozpoznawania twarzy)</w:t>
      </w:r>
      <w:r w:rsidR="003731CD" w:rsidRPr="003731CD">
        <w:t xml:space="preserve"> w mie</w:t>
      </w:r>
      <w:r w:rsidRPr="003731CD">
        <w:t>jscach publicznych, oraz na temat ogólnych zabezpieczeń</w:t>
      </w:r>
      <w:r w:rsidR="003731CD" w:rsidRPr="003731CD">
        <w:t>. W zwi</w:t>
      </w:r>
      <w:r w:rsidRPr="003731CD">
        <w:t>ązku</w:t>
      </w:r>
      <w:r w:rsidR="003731CD" w:rsidRPr="003731CD">
        <w:t xml:space="preserve"> z tym</w:t>
      </w:r>
      <w:r w:rsidRPr="003731CD">
        <w:t xml:space="preserve"> organy ochrony danych powinny być zawczasu gotowe do udziału</w:t>
      </w:r>
      <w:r w:rsidR="003731CD" w:rsidRPr="003731CD">
        <w:t xml:space="preserve"> w pro</w:t>
      </w:r>
      <w:r w:rsidRPr="003731CD">
        <w:t>jektowaniu technicznym.</w:t>
      </w:r>
    </w:p>
    <w:p w:rsidR="001079A3" w:rsidRPr="003731CD" w:rsidRDefault="00BB6FCD">
      <w:r w:rsidRPr="003731CD">
        <w:t>Ponadto zasadniczym elementem ochrony osób fizycznych jest zdecydowane</w:t>
      </w:r>
      <w:r w:rsidR="003731CD" w:rsidRPr="003731CD">
        <w:t xml:space="preserve"> i sku</w:t>
      </w:r>
      <w:r w:rsidRPr="003731CD">
        <w:t>teczne egzekwowanie RODO</w:t>
      </w:r>
      <w:r w:rsidR="003731CD" w:rsidRPr="003731CD">
        <w:t xml:space="preserve"> w odn</w:t>
      </w:r>
      <w:r w:rsidRPr="003731CD">
        <w:t>iesieniu do dużych platform cyfrowych</w:t>
      </w:r>
      <w:r w:rsidR="003731CD" w:rsidRPr="003731CD">
        <w:t xml:space="preserve"> i zin</w:t>
      </w:r>
      <w:r w:rsidRPr="003731CD">
        <w:t>tegrowanych przedsiębiorstw,</w:t>
      </w:r>
      <w:r w:rsidR="003731CD" w:rsidRPr="003731CD">
        <w:t xml:space="preserve"> w tym w tak</w:t>
      </w:r>
      <w:r w:rsidRPr="003731CD">
        <w:t>ich obszarach jak reklama internetowa</w:t>
      </w:r>
      <w:r w:rsidR="003731CD" w:rsidRPr="003731CD">
        <w:t xml:space="preserve"> i mik</w:t>
      </w:r>
      <w:r w:rsidRPr="003731CD">
        <w:t xml:space="preserve">rotargetowanie. </w:t>
      </w:r>
    </w:p>
    <w:p w:rsidR="001079A3" w:rsidRPr="003731CD" w:rsidRDefault="00BB6FCD">
      <w:pPr>
        <w:pStyle w:val="Heading3"/>
      </w:pPr>
      <w:r w:rsidRPr="003731CD">
        <w:t xml:space="preserve">Opracowanie nowoczesnego międzynarodowego zestawu narzędzi do przekazywania danych </w:t>
      </w:r>
    </w:p>
    <w:p w:rsidR="001079A3" w:rsidRPr="003731CD" w:rsidRDefault="00BB6FCD">
      <w:r w:rsidRPr="003731CD">
        <w:t>W ramach RODO przewidziano unowocześniony zestaw narzędzi ułatwiających przekazywanie danych osobowych z UE do państw trzecich lub organizacji międzynarodowych, przy jednoczesnym zapewnieniu dalszego korzystania</w:t>
      </w:r>
      <w:r w:rsidR="003731CD" w:rsidRPr="003731CD">
        <w:t xml:space="preserve"> z wys</w:t>
      </w:r>
      <w:r w:rsidRPr="003731CD">
        <w:t>okiego poziomu ochrony danych</w:t>
      </w:r>
      <w:r w:rsidR="003731CD" w:rsidRPr="003731CD">
        <w:t>. W cią</w:t>
      </w:r>
      <w:r w:rsidRPr="003731CD">
        <w:t>gu ostatnich dwóch lat Komisja zintensyfikowała prace mające na celu wykorzystanie pełnego potencjału narzędzi dostępnych</w:t>
      </w:r>
      <w:r w:rsidR="003731CD" w:rsidRPr="003731CD">
        <w:t xml:space="preserve"> w ram</w:t>
      </w:r>
      <w:r w:rsidRPr="003731CD">
        <w:t xml:space="preserve">ach RODO. </w:t>
      </w:r>
    </w:p>
    <w:p w:rsidR="001079A3" w:rsidRPr="003731CD" w:rsidRDefault="00BB6FCD">
      <w:r w:rsidRPr="003731CD">
        <w:t>Prace te polegały m.in. na aktywnej współpracy</w:t>
      </w:r>
      <w:r w:rsidR="003731CD" w:rsidRPr="003731CD">
        <w:t xml:space="preserve"> z klu</w:t>
      </w:r>
      <w:r w:rsidRPr="003731CD">
        <w:t>czowymi partnerami</w:t>
      </w:r>
      <w:r w:rsidR="003731CD" w:rsidRPr="003731CD">
        <w:t xml:space="preserve"> w cel</w:t>
      </w:r>
      <w:r w:rsidRPr="003731CD">
        <w:t>u wydania „decyzji stwierdzającej odpowiedni stopień ochrony. Wskutek takiej decyzji możliwy staje się bezpieczny swobodny przepływ danych osobowych do danego państwa trzeciego bez potrzeby przedstawiania dodatkowych gwarancji przez podmiot przekazujący dane lub uzyskania przez niego odpowiedniego upoważnienia</w:t>
      </w:r>
      <w:r w:rsidR="003731CD" w:rsidRPr="003731CD">
        <w:t>. W szc</w:t>
      </w:r>
      <w:r w:rsidRPr="003731CD">
        <w:t>zególności wzajemne decyzje stwierdzające odpowiedni stopień ochrony przyjęte przez UE</w:t>
      </w:r>
      <w:r w:rsidR="003731CD" w:rsidRPr="003731CD">
        <w:t xml:space="preserve"> i Jap</w:t>
      </w:r>
      <w:r w:rsidRPr="003731CD">
        <w:t>onię, które weszły</w:t>
      </w:r>
      <w:r w:rsidR="003731CD" w:rsidRPr="003731CD">
        <w:t xml:space="preserve"> w życ</w:t>
      </w:r>
      <w:r w:rsidRPr="003731CD">
        <w:t>ie</w:t>
      </w:r>
      <w:r w:rsidR="003731CD" w:rsidRPr="003731CD">
        <w:t xml:space="preserve"> w lut</w:t>
      </w:r>
      <w:r w:rsidRPr="003731CD">
        <w:t>ym 2019</w:t>
      </w:r>
      <w:r w:rsidR="003731CD" w:rsidRPr="003731CD">
        <w:t> </w:t>
      </w:r>
      <w:r w:rsidRPr="003731CD">
        <w:t>r., stworzyły największy na świecie obszar wolnych</w:t>
      </w:r>
      <w:r w:rsidR="003731CD" w:rsidRPr="003731CD">
        <w:t xml:space="preserve"> i bez</w:t>
      </w:r>
      <w:r w:rsidRPr="003731CD">
        <w:t>piecznych przepływów danych. Ponadto proces związany</w:t>
      </w:r>
      <w:r w:rsidR="003731CD" w:rsidRPr="003731CD">
        <w:t xml:space="preserve"> z dec</w:t>
      </w:r>
      <w:r w:rsidRPr="003731CD">
        <w:t>yzjami stwierdzającymi odpowiedni stopień ochrony</w:t>
      </w:r>
      <w:r w:rsidR="003731CD" w:rsidRPr="003731CD">
        <w:t xml:space="preserve"> w sto</w:t>
      </w:r>
      <w:r w:rsidRPr="003731CD">
        <w:t>sunku do Republiki Korei jest na zaawansowanym etapie</w:t>
      </w:r>
      <w:r w:rsidR="003731CD" w:rsidRPr="003731CD">
        <w:t xml:space="preserve"> i pro</w:t>
      </w:r>
      <w:r w:rsidRPr="003731CD">
        <w:t>wadzone są rozmowy wstępne</w:t>
      </w:r>
      <w:r w:rsidR="003731CD" w:rsidRPr="003731CD">
        <w:t xml:space="preserve"> z inn</w:t>
      </w:r>
      <w:r w:rsidRPr="003731CD">
        <w:t>ymi ważnymi partnerami</w:t>
      </w:r>
      <w:r w:rsidR="003731CD" w:rsidRPr="003731CD">
        <w:t xml:space="preserve"> w Azj</w:t>
      </w:r>
      <w:r w:rsidRPr="003731CD">
        <w:t>i</w:t>
      </w:r>
      <w:r w:rsidR="003731CD" w:rsidRPr="003731CD">
        <w:t xml:space="preserve"> i Ame</w:t>
      </w:r>
      <w:r w:rsidRPr="003731CD">
        <w:t xml:space="preserve">ryce Łacińskiej. </w:t>
      </w:r>
    </w:p>
    <w:p w:rsidR="001079A3" w:rsidRPr="003731CD" w:rsidRDefault="00BB6FCD">
      <w:r w:rsidRPr="003731CD">
        <w:t>Stwierdzenie odpowiedniego stopnia ochrony odgrywa również ważną rolę</w:t>
      </w:r>
      <w:r w:rsidR="003731CD" w:rsidRPr="003731CD">
        <w:t xml:space="preserve"> w kon</w:t>
      </w:r>
      <w:r w:rsidRPr="003731CD">
        <w:t>tekście przyszłych stosunków ze Zjednoczonym Królestwem, pod warunkiem że spełnione są odpowiednie warunki. Stanowi on czynnik wspomagający handel,</w:t>
      </w:r>
      <w:r w:rsidR="003731CD" w:rsidRPr="003731CD">
        <w:t xml:space="preserve"> w tym</w:t>
      </w:r>
      <w:r w:rsidRPr="003731CD">
        <w:t xml:space="preserve"> cyfrowy,</w:t>
      </w:r>
      <w:r w:rsidR="003731CD" w:rsidRPr="003731CD">
        <w:t xml:space="preserve"> i jes</w:t>
      </w:r>
      <w:r w:rsidRPr="003731CD">
        <w:t>t niezbędnym warunkiem ścisłej</w:t>
      </w:r>
      <w:r w:rsidR="003731CD" w:rsidRPr="003731CD">
        <w:t xml:space="preserve"> i amb</w:t>
      </w:r>
      <w:r w:rsidRPr="003731CD">
        <w:t>itnej współpracy</w:t>
      </w:r>
      <w:r w:rsidR="003731CD" w:rsidRPr="003731CD">
        <w:t xml:space="preserve"> w dzi</w:t>
      </w:r>
      <w:r w:rsidRPr="003731CD">
        <w:t>edzinie egzekwowania prawa</w:t>
      </w:r>
      <w:r w:rsidR="003731CD" w:rsidRPr="003731CD">
        <w:t xml:space="preserve"> i bez</w:t>
      </w:r>
      <w:r w:rsidRPr="003731CD">
        <w:t>pieczeństwa. Ponadto wysoki stopień konwergencji</w:t>
      </w:r>
      <w:r w:rsidR="003731CD" w:rsidRPr="003731CD">
        <w:t xml:space="preserve"> w zak</w:t>
      </w:r>
      <w:r w:rsidRPr="003731CD">
        <w:t>resie ochrony danych jest ważnym elementem zapewnienia równych warunków działania między dwiema tak ściśle zintegrowanymi gospodarkami. Zgodnie</w:t>
      </w:r>
      <w:r w:rsidR="003731CD" w:rsidRPr="003731CD">
        <w:t xml:space="preserve"> z dek</w:t>
      </w:r>
      <w:r w:rsidRPr="003731CD">
        <w:t>laracją polityczną</w:t>
      </w:r>
      <w:r w:rsidR="003731CD" w:rsidRPr="003731CD">
        <w:t xml:space="preserve"> w spr</w:t>
      </w:r>
      <w:r w:rsidRPr="003731CD">
        <w:t>awie przyszłych stosunków między UE</w:t>
      </w:r>
      <w:r w:rsidR="003731CD" w:rsidRPr="003731CD">
        <w:t xml:space="preserve"> a Zje</w:t>
      </w:r>
      <w:r w:rsidRPr="003731CD">
        <w:t>dnoczonym Królestwem Komisja prowadzi obecnie ocenę stopnia ochrony na podstawie zarówno RODO, jak</w:t>
      </w:r>
      <w:r w:rsidR="003731CD" w:rsidRPr="003731CD">
        <w:t xml:space="preserve"> i dyr</w:t>
      </w:r>
      <w:r w:rsidRPr="003731CD">
        <w:t>ektywy</w:t>
      </w:r>
      <w:r w:rsidR="003731CD" w:rsidRPr="003731CD">
        <w:t xml:space="preserve"> o och</w:t>
      </w:r>
      <w:r w:rsidRPr="003731CD">
        <w:t>ronie danych</w:t>
      </w:r>
      <w:r w:rsidR="003731CD" w:rsidRPr="003731CD">
        <w:t xml:space="preserve"> w spr</w:t>
      </w:r>
      <w:r w:rsidRPr="003731CD">
        <w:t>awach karnych</w:t>
      </w:r>
      <w:r w:rsidRPr="003731CD">
        <w:rPr>
          <w:rStyle w:val="FootnoteReference"/>
        </w:rPr>
        <w:footnoteReference w:id="55"/>
      </w:r>
      <w:r w:rsidRPr="003731CD">
        <w:t xml:space="preserve">. </w:t>
      </w:r>
    </w:p>
    <w:p w:rsidR="001079A3" w:rsidRPr="003731CD" w:rsidRDefault="00BB6FCD">
      <w:r w:rsidRPr="003731CD">
        <w:t>W ramach pierwszej oceny RODO Komisja jest również zobowiązana do dokonania przeglądu decyzji stwierdzających odpowiedni stopień ochrony, które zostały przyjęte na mocy poprzednich przepisów</w:t>
      </w:r>
      <w:r w:rsidRPr="003731CD">
        <w:rPr>
          <w:rStyle w:val="FootnoteReference"/>
        </w:rPr>
        <w:footnoteReference w:id="56"/>
      </w:r>
      <w:r w:rsidRPr="003731CD">
        <w:t>. Służby Komisji zaangażowały się</w:t>
      </w:r>
      <w:r w:rsidR="003731CD" w:rsidRPr="003731CD">
        <w:t xml:space="preserve"> w int</w:t>
      </w:r>
      <w:r w:rsidRPr="003731CD">
        <w:t>ensywny dialog</w:t>
      </w:r>
      <w:r w:rsidR="003731CD" w:rsidRPr="003731CD">
        <w:t xml:space="preserve"> z każ</w:t>
      </w:r>
      <w:r w:rsidRPr="003731CD">
        <w:t>dym</w:t>
      </w:r>
      <w:r w:rsidR="003731CD" w:rsidRPr="003731CD">
        <w:t xml:space="preserve"> z 1</w:t>
      </w:r>
      <w:r w:rsidRPr="003731CD">
        <w:t>1 zainteresowanych państw trzecich</w:t>
      </w:r>
      <w:r w:rsidR="003731CD" w:rsidRPr="003731CD">
        <w:t xml:space="preserve"> i ter</w:t>
      </w:r>
      <w:r w:rsidRPr="003731CD">
        <w:t>ytoriów</w:t>
      </w:r>
      <w:r w:rsidRPr="003731CD">
        <w:rPr>
          <w:rStyle w:val="FootnoteReference"/>
        </w:rPr>
        <w:footnoteReference w:id="57"/>
      </w:r>
      <w:r w:rsidR="003731CD" w:rsidRPr="003731CD">
        <w:t xml:space="preserve"> w cel</w:t>
      </w:r>
      <w:r w:rsidRPr="003731CD">
        <w:t>u dokonania oceny rozwoju ich systemów ochrony danych od czasu przyjęcia decyzji stwierdzającej odpowiedni stopień ochrony oraz tego, czy spełniają one standardy określone w RODO. Potrzeba zapewnienia ciągłości takich decyzji – kluczowego narzędzia handlu</w:t>
      </w:r>
      <w:r w:rsidR="003731CD" w:rsidRPr="003731CD">
        <w:t xml:space="preserve"> i wsp</w:t>
      </w:r>
      <w:r w:rsidRPr="003731CD">
        <w:t>ółpracy międzynarodowej – jest jednym</w:t>
      </w:r>
      <w:r w:rsidR="003731CD" w:rsidRPr="003731CD">
        <w:t xml:space="preserve"> z czy</w:t>
      </w:r>
      <w:r w:rsidRPr="003731CD">
        <w:t>nników, które skłoniły kilka</w:t>
      </w:r>
      <w:r w:rsidR="003731CD" w:rsidRPr="003731CD">
        <w:t xml:space="preserve"> z tyc</w:t>
      </w:r>
      <w:r w:rsidRPr="003731CD">
        <w:t>h państw</w:t>
      </w:r>
      <w:r w:rsidR="003731CD" w:rsidRPr="003731CD">
        <w:t xml:space="preserve"> i ter</w:t>
      </w:r>
      <w:r w:rsidRPr="003731CD">
        <w:t>ytoriów do modernizacji</w:t>
      </w:r>
      <w:r w:rsidR="003731CD" w:rsidRPr="003731CD">
        <w:t xml:space="preserve"> i wzm</w:t>
      </w:r>
      <w:r w:rsidRPr="003731CD">
        <w:t>ocnienia ich prawa</w:t>
      </w:r>
      <w:r w:rsidR="003731CD" w:rsidRPr="003731CD">
        <w:t xml:space="preserve"> w zak</w:t>
      </w:r>
      <w:r w:rsidRPr="003731CD">
        <w:t>resie ochrony prywatności</w:t>
      </w:r>
      <w:r w:rsidR="003731CD" w:rsidRPr="003731CD">
        <w:t>. Z nie</w:t>
      </w:r>
      <w:r w:rsidRPr="003731CD">
        <w:t>którymi</w:t>
      </w:r>
      <w:r w:rsidR="003731CD" w:rsidRPr="003731CD">
        <w:t xml:space="preserve"> z tyc</w:t>
      </w:r>
      <w:r w:rsidRPr="003731CD">
        <w:t>h państw</w:t>
      </w:r>
      <w:r w:rsidR="003731CD" w:rsidRPr="003731CD">
        <w:t xml:space="preserve"> i ter</w:t>
      </w:r>
      <w:r w:rsidRPr="003731CD">
        <w:t>ytoriów omawiane są dodatkowe zabezpieczenia</w:t>
      </w:r>
      <w:r w:rsidR="003731CD" w:rsidRPr="003731CD">
        <w:t xml:space="preserve"> w cel</w:t>
      </w:r>
      <w:r w:rsidRPr="003731CD">
        <w:t>u wyeliminowania istotnych różnic</w:t>
      </w:r>
      <w:r w:rsidR="003731CD" w:rsidRPr="003731CD">
        <w:t xml:space="preserve"> w zak</w:t>
      </w:r>
      <w:r w:rsidRPr="003731CD">
        <w:t>resie ochrony. Biorąc jednak pod uwagę fakt, że Trybunał Sprawiedliwości</w:t>
      </w:r>
      <w:r w:rsidR="003731CD" w:rsidRPr="003731CD">
        <w:t xml:space="preserve"> w wyr</w:t>
      </w:r>
      <w:r w:rsidRPr="003731CD">
        <w:t>oku, który ma zostać wydany</w:t>
      </w:r>
      <w:r w:rsidR="003731CD" w:rsidRPr="003731CD">
        <w:t xml:space="preserve"> w dni</w:t>
      </w:r>
      <w:r w:rsidRPr="003731CD">
        <w:t>u 16 lipca, może przedstawić wyjaśnienia, które mogą mieć znaczenie dla niektórych elementów normy dotyczącej odpowiedniego stopnia ochrony</w:t>
      </w:r>
      <w:r w:rsidRPr="003731CD">
        <w:rPr>
          <w:i/>
          <w:iCs/>
        </w:rPr>
        <w:t xml:space="preserve">, </w:t>
      </w:r>
      <w:r w:rsidRPr="003731CD">
        <w:t>Komisja przedstawi oddzielnie sprawozdanie na temat oceny istniejących orzeczeń</w:t>
      </w:r>
      <w:r w:rsidR="003731CD" w:rsidRPr="003731CD">
        <w:t xml:space="preserve"> w spr</w:t>
      </w:r>
      <w:r w:rsidRPr="003731CD">
        <w:t>awie odpowiedniej ochrony danych osobowych po wydaniu przez Trybunał Sprawiedliwości wyroku</w:t>
      </w:r>
      <w:r w:rsidR="003731CD" w:rsidRPr="003731CD">
        <w:t xml:space="preserve"> w tej</w:t>
      </w:r>
      <w:r w:rsidRPr="003731CD">
        <w:rPr>
          <w:i/>
        </w:rPr>
        <w:t xml:space="preserve"> </w:t>
      </w:r>
      <w:r w:rsidRPr="003731CD">
        <w:t>sprawie</w:t>
      </w:r>
      <w:r w:rsidRPr="003731CD">
        <w:rPr>
          <w:rStyle w:val="FootnoteReference"/>
        </w:rPr>
        <w:footnoteReference w:id="58"/>
      </w:r>
      <w:r w:rsidRPr="003731CD">
        <w:t xml:space="preserve">. </w:t>
      </w:r>
    </w:p>
    <w:p w:rsidR="001079A3" w:rsidRPr="003731CD" w:rsidRDefault="00BB6FCD">
      <w:r w:rsidRPr="003731CD">
        <w:t>Oprócz prac</w:t>
      </w:r>
      <w:r w:rsidR="003731CD" w:rsidRPr="003731CD">
        <w:t xml:space="preserve"> w zak</w:t>
      </w:r>
      <w:r w:rsidRPr="003731CD">
        <w:t>resie odpowiedniego stopnia ochrony Komisja pracuje nad kompleksową modernizacją standardowych klauzul umownych</w:t>
      </w:r>
      <w:r w:rsidR="003731CD" w:rsidRPr="003731CD">
        <w:t xml:space="preserve"> w cel</w:t>
      </w:r>
      <w:r w:rsidRPr="003731CD">
        <w:t>u ich zaktualizowania</w:t>
      </w:r>
      <w:r w:rsidR="003731CD" w:rsidRPr="003731CD">
        <w:t xml:space="preserve"> w świ</w:t>
      </w:r>
      <w:r w:rsidRPr="003731CD">
        <w:t>etle nowych wymogów wprowadzonych na mocy RODO. Celem tych prac jest lepsze odzwierciedlenie realiów operacji przetwarzania</w:t>
      </w:r>
      <w:r w:rsidR="003731CD" w:rsidRPr="003731CD">
        <w:t xml:space="preserve"> w now</w:t>
      </w:r>
      <w:r w:rsidRPr="003731CD">
        <w:t>oczesnej gospodarce cyfrowej</w:t>
      </w:r>
      <w:r w:rsidR="003731CD" w:rsidRPr="003731CD">
        <w:t xml:space="preserve"> i roz</w:t>
      </w:r>
      <w:r w:rsidRPr="003731CD">
        <w:t>ważenie ewentualnej potrzeby dalszego sprecyzowania pewnych zabezpieczeń,</w:t>
      </w:r>
      <w:r w:rsidR="003731CD" w:rsidRPr="003731CD">
        <w:t xml:space="preserve"> w tym z uwz</w:t>
      </w:r>
      <w:r w:rsidRPr="003731CD">
        <w:t>ględnieniem przyszłego orzecznictwa Trybunału Sprawiedliwości</w:t>
      </w:r>
      <w:r w:rsidRPr="003731CD">
        <w:rPr>
          <w:rStyle w:val="FootnoteReference"/>
        </w:rPr>
        <w:footnoteReference w:id="59"/>
      </w:r>
      <w:r w:rsidRPr="003731CD">
        <w:t>. Klauzule te stanowią zdecydowanie najbardziej rozpowszechnioną metodę przekazywania danych, co znajduje odzwierciedlenie</w:t>
      </w:r>
      <w:r w:rsidR="003731CD" w:rsidRPr="003731CD">
        <w:t xml:space="preserve"> w fak</w:t>
      </w:r>
      <w:r w:rsidRPr="003731CD">
        <w:t>cie, że tysiące przedsiębiorstw unijnych bazuje na nich</w:t>
      </w:r>
      <w:r w:rsidR="003731CD" w:rsidRPr="003731CD">
        <w:t xml:space="preserve"> w cel</w:t>
      </w:r>
      <w:r w:rsidRPr="003731CD">
        <w:t>u świadczenia szerokiego zakresu usług na rzecz swoich klientów, dostawców, partnerów</w:t>
      </w:r>
      <w:r w:rsidR="003731CD" w:rsidRPr="003731CD">
        <w:t xml:space="preserve"> i pra</w:t>
      </w:r>
      <w:r w:rsidRPr="003731CD">
        <w:t>cowników.</w:t>
      </w:r>
    </w:p>
    <w:p w:rsidR="001079A3" w:rsidRPr="003731CD" w:rsidRDefault="00BB6FCD">
      <w:r w:rsidRPr="003731CD">
        <w:t>EROD odegrał również aktywną rolę</w:t>
      </w:r>
      <w:r w:rsidR="003731CD" w:rsidRPr="003731CD">
        <w:t xml:space="preserve"> w opr</w:t>
      </w:r>
      <w:r w:rsidRPr="003731CD">
        <w:t>acowywaniu międzynarodowych aspektów RODO, która obejmowała m.in. aktualizację wytycznych dotyczących istniejących mechanizmów przekazywania danych, takich jak wiążące reguły korporacyjne</w:t>
      </w:r>
      <w:r w:rsidR="003731CD" w:rsidRPr="003731CD">
        <w:t xml:space="preserve"> i tzw</w:t>
      </w:r>
      <w:r w:rsidRPr="003731CD">
        <w:t>. „odstępstwa”,</w:t>
      </w:r>
      <w:r w:rsidR="003731CD" w:rsidRPr="003731CD">
        <w:t xml:space="preserve"> a tak</w:t>
      </w:r>
      <w:r w:rsidRPr="003731CD">
        <w:t>że rozwój infrastruktury prawnej na potrzeby stosowania nowych narzędzi wprowadzonych na mocy RODO, tj. kodeksów postępowania</w:t>
      </w:r>
      <w:r w:rsidR="003731CD" w:rsidRPr="003731CD">
        <w:t xml:space="preserve"> i cer</w:t>
      </w:r>
      <w:r w:rsidRPr="003731CD">
        <w:t xml:space="preserve">tyfikacji. </w:t>
      </w:r>
    </w:p>
    <w:p w:rsidR="001079A3" w:rsidRPr="003731CD" w:rsidRDefault="00BB6FCD">
      <w:r w:rsidRPr="003731CD">
        <w:t>Aby umożliwić zainteresowanym stronom pełne korzystanie</w:t>
      </w:r>
      <w:r w:rsidR="003731CD" w:rsidRPr="003731CD">
        <w:t xml:space="preserve"> z zes</w:t>
      </w:r>
      <w:r w:rsidRPr="003731CD">
        <w:t>tawu narzędzi RODO, ważne jest, aby EROD zintensyfikował prace nad różnymi mechanizmami przekazywania danych,</w:t>
      </w:r>
      <w:r w:rsidR="003731CD" w:rsidRPr="003731CD">
        <w:t xml:space="preserve"> w tym</w:t>
      </w:r>
      <w:r w:rsidRPr="003731CD">
        <w:t xml:space="preserve"> przez dalsze usprawnianie procesu zatwierdzania wiążących reguł korporacyjnych, sfinalizowanie wytycznych dotyczących kodeksów postępowania</w:t>
      </w:r>
      <w:r w:rsidR="003731CD" w:rsidRPr="003731CD">
        <w:t xml:space="preserve"> i cer</w:t>
      </w:r>
      <w:r w:rsidRPr="003731CD">
        <w:t>tyfikacji jako narzędzi przekazywania danych oraz wyjaśnienie powiązań między przepisami dotyczącymi przekazywania danych za granicę (rozdział V)</w:t>
      </w:r>
      <w:r w:rsidR="003731CD" w:rsidRPr="003731CD">
        <w:t xml:space="preserve"> a ter</w:t>
      </w:r>
      <w:r w:rsidRPr="003731CD">
        <w:t>ytorialnym zakresem stosowania RODO (art.</w:t>
      </w:r>
      <w:r w:rsidR="003731CD" w:rsidRPr="003731CD">
        <w:t> </w:t>
      </w:r>
      <w:r w:rsidRPr="003731CD">
        <w:t xml:space="preserve">3). </w:t>
      </w:r>
    </w:p>
    <w:p w:rsidR="001079A3" w:rsidRPr="003731CD" w:rsidRDefault="00BB6FCD">
      <w:pPr>
        <w:pStyle w:val="Heading3"/>
        <w:rPr>
          <w:i w:val="0"/>
          <w:iCs w:val="0"/>
        </w:rPr>
      </w:pPr>
      <w:r w:rsidRPr="003731CD">
        <w:rPr>
          <w:i w:val="0"/>
          <w:iCs w:val="0"/>
        </w:rPr>
        <w:t>Innym ważnym aspektem międzynarodowego wymiaru przepisów UE dotyczących ochrony danych jest rozszerzony zakres terytorialny ogólnego rozporządzenia</w:t>
      </w:r>
      <w:r w:rsidR="003731CD" w:rsidRPr="003731CD">
        <w:rPr>
          <w:i w:val="0"/>
          <w:iCs w:val="0"/>
        </w:rPr>
        <w:t xml:space="preserve"> o och</w:t>
      </w:r>
      <w:r w:rsidRPr="003731CD">
        <w:rPr>
          <w:i w:val="0"/>
          <w:iCs w:val="0"/>
        </w:rPr>
        <w:t>ronie danych, który obejmuje również działania podmiotów zagranicznych prowadzących działalność</w:t>
      </w:r>
      <w:r w:rsidR="003731CD" w:rsidRPr="003731CD">
        <w:rPr>
          <w:i w:val="0"/>
          <w:iCs w:val="0"/>
        </w:rPr>
        <w:t xml:space="preserve"> w zak</w:t>
      </w:r>
      <w:r w:rsidRPr="003731CD">
        <w:rPr>
          <w:i w:val="0"/>
          <w:iCs w:val="0"/>
        </w:rPr>
        <w:t>resie przetwarzania danych na rynku UE. Odpowiednie uwzględnienie tego rozszerzenia</w:t>
      </w:r>
      <w:r w:rsidR="003731CD" w:rsidRPr="003731CD">
        <w:rPr>
          <w:i w:val="0"/>
          <w:iCs w:val="0"/>
        </w:rPr>
        <w:t xml:space="preserve"> w dzi</w:t>
      </w:r>
      <w:r w:rsidRPr="003731CD">
        <w:rPr>
          <w:i w:val="0"/>
          <w:iCs w:val="0"/>
        </w:rPr>
        <w:t>ałaniach organów ochrony danych dotyczących egzekwowania prawa ma zasadnicze znaczenie dla zapewnienia faktycznego przestrzegania RODO</w:t>
      </w:r>
      <w:r w:rsidR="003731CD" w:rsidRPr="003731CD">
        <w:rPr>
          <w:i w:val="0"/>
          <w:iCs w:val="0"/>
        </w:rPr>
        <w:t xml:space="preserve"> i pra</w:t>
      </w:r>
      <w:r w:rsidRPr="003731CD">
        <w:rPr>
          <w:i w:val="0"/>
          <w:iCs w:val="0"/>
        </w:rPr>
        <w:t>wdziwie równych warunków działania. Organy te powinny</w:t>
      </w:r>
      <w:r w:rsidR="003731CD" w:rsidRPr="003731CD">
        <w:rPr>
          <w:i w:val="0"/>
          <w:iCs w:val="0"/>
        </w:rPr>
        <w:t xml:space="preserve"> w szc</w:t>
      </w:r>
      <w:r w:rsidRPr="003731CD">
        <w:rPr>
          <w:i w:val="0"/>
          <w:iCs w:val="0"/>
        </w:rPr>
        <w:t>zególności nawiązać współpracę,</w:t>
      </w:r>
      <w:r w:rsidR="003731CD" w:rsidRPr="003731CD">
        <w:rPr>
          <w:i w:val="0"/>
          <w:iCs w:val="0"/>
        </w:rPr>
        <w:t xml:space="preserve"> w raz</w:t>
      </w:r>
      <w:r w:rsidRPr="003731CD">
        <w:rPr>
          <w:i w:val="0"/>
          <w:iCs w:val="0"/>
        </w:rPr>
        <w:t>ie konieczności,</w:t>
      </w:r>
      <w:r w:rsidR="003731CD" w:rsidRPr="003731CD">
        <w:rPr>
          <w:i w:val="0"/>
          <w:iCs w:val="0"/>
        </w:rPr>
        <w:t xml:space="preserve"> z prz</w:t>
      </w:r>
      <w:r w:rsidRPr="003731CD">
        <w:rPr>
          <w:i w:val="0"/>
          <w:iCs w:val="0"/>
        </w:rPr>
        <w:t>edstawicielem administratora danych lub podmiotu przetwarzającego w UE, do którego można zwracać się</w:t>
      </w:r>
      <w:r w:rsidR="003731CD" w:rsidRPr="003731CD">
        <w:rPr>
          <w:i w:val="0"/>
          <w:iCs w:val="0"/>
        </w:rPr>
        <w:t xml:space="preserve"> w uzu</w:t>
      </w:r>
      <w:r w:rsidRPr="003731CD">
        <w:rPr>
          <w:i w:val="0"/>
          <w:iCs w:val="0"/>
        </w:rPr>
        <w:t>pełnieniu lub zamiast do przedsiębiorstwa mającego siedzibę poza UE. Podejście to powinno być energicznie realizowane</w:t>
      </w:r>
      <w:r w:rsidR="003731CD" w:rsidRPr="003731CD">
        <w:rPr>
          <w:i w:val="0"/>
          <w:iCs w:val="0"/>
        </w:rPr>
        <w:t xml:space="preserve"> w cel</w:t>
      </w:r>
      <w:r w:rsidRPr="003731CD">
        <w:rPr>
          <w:i w:val="0"/>
          <w:iCs w:val="0"/>
        </w:rPr>
        <w:t>u wysłania wyraźnej wiadomości, że brak siedziby w UE nie zwalnia zagranicznych podmiotów</w:t>
      </w:r>
      <w:r w:rsidR="003731CD" w:rsidRPr="003731CD">
        <w:rPr>
          <w:i w:val="0"/>
          <w:iCs w:val="0"/>
        </w:rPr>
        <w:t xml:space="preserve"> z obo</w:t>
      </w:r>
      <w:r w:rsidRPr="003731CD">
        <w:rPr>
          <w:i w:val="0"/>
          <w:iCs w:val="0"/>
        </w:rPr>
        <w:t xml:space="preserve">wiązków wynikających z RODO. </w:t>
      </w:r>
    </w:p>
    <w:p w:rsidR="001079A3" w:rsidRPr="003731CD" w:rsidRDefault="00BB6FCD">
      <w:pPr>
        <w:pStyle w:val="Heading3"/>
      </w:pPr>
      <w:r w:rsidRPr="003731CD">
        <w:t>Wspieranie konwergencji</w:t>
      </w:r>
      <w:r w:rsidR="003731CD" w:rsidRPr="003731CD">
        <w:t xml:space="preserve"> i mię</w:t>
      </w:r>
      <w:r w:rsidRPr="003731CD">
        <w:t>dzynarodowej współpracy</w:t>
      </w:r>
      <w:r w:rsidR="003731CD" w:rsidRPr="003731CD">
        <w:t xml:space="preserve"> w dzi</w:t>
      </w:r>
      <w:r w:rsidRPr="003731CD">
        <w:t>edzinie ochrony danych</w:t>
      </w:r>
    </w:p>
    <w:p w:rsidR="001079A3" w:rsidRPr="003731CD" w:rsidRDefault="00BB6FCD">
      <w:pPr>
        <w:pStyle w:val="Heading3"/>
        <w:rPr>
          <w:i w:val="0"/>
        </w:rPr>
      </w:pPr>
      <w:r w:rsidRPr="003731CD">
        <w:rPr>
          <w:i w:val="0"/>
        </w:rPr>
        <w:t>RODO stało się już kluczowym punktem odniesienia na szczeblu międzynarodowym</w:t>
      </w:r>
      <w:r w:rsidR="003731CD" w:rsidRPr="003731CD">
        <w:rPr>
          <w:i w:val="0"/>
        </w:rPr>
        <w:t xml:space="preserve"> i sta</w:t>
      </w:r>
      <w:r w:rsidRPr="003731CD">
        <w:rPr>
          <w:i w:val="0"/>
        </w:rPr>
        <w:t>nowiło katalizator dla wielu krajów na świecie, aby rozważyć wprowadzenie nowoczesnych przepisów dotyczących prywatności. Ta tendencja</w:t>
      </w:r>
      <w:r w:rsidR="003731CD" w:rsidRPr="003731CD">
        <w:rPr>
          <w:i w:val="0"/>
        </w:rPr>
        <w:t xml:space="preserve"> w kie</w:t>
      </w:r>
      <w:r w:rsidRPr="003731CD">
        <w:rPr>
          <w:i w:val="0"/>
        </w:rPr>
        <w:t>runku globalnej konwergencji jest bardzo pozytywnym zjawiskiem, które stwarza nowe możliwości lepszej ochrony osób fizycznych w UE, gdy ich dane są przekazywane za granicę,</w:t>
      </w:r>
      <w:r w:rsidR="003731CD" w:rsidRPr="003731CD">
        <w:rPr>
          <w:i w:val="0"/>
        </w:rPr>
        <w:t xml:space="preserve"> a jed</w:t>
      </w:r>
      <w:r w:rsidRPr="003731CD">
        <w:rPr>
          <w:i w:val="0"/>
        </w:rPr>
        <w:t>nocześnie ułatwia przepływ danych.</w:t>
      </w:r>
    </w:p>
    <w:p w:rsidR="001079A3" w:rsidRPr="003731CD" w:rsidRDefault="00BB6FCD">
      <w:pPr>
        <w:rPr>
          <w:iCs/>
        </w:rPr>
      </w:pPr>
      <w:r w:rsidRPr="003731CD">
        <w:t>W oparciu o tę tendencję Komisja zintensyfikowała dialog na wielu forach dwustronnych, regionalnych</w:t>
      </w:r>
      <w:r w:rsidR="003731CD" w:rsidRPr="003731CD">
        <w:t xml:space="preserve"> i wie</w:t>
      </w:r>
      <w:r w:rsidRPr="003731CD">
        <w:t>lostronnych, aby wspierać globalną kulturę poszanowania prywatności</w:t>
      </w:r>
      <w:r w:rsidR="003731CD" w:rsidRPr="003731CD">
        <w:t xml:space="preserve"> i opr</w:t>
      </w:r>
      <w:r w:rsidRPr="003731CD">
        <w:t>acować elementy konwergencji między różnymi systemami ochrony prywatności</w:t>
      </w:r>
      <w:r w:rsidR="003731CD" w:rsidRPr="003731CD">
        <w:t>. W swo</w:t>
      </w:r>
      <w:r w:rsidRPr="003731CD">
        <w:t>ich wysiłkach Komisja powołała się na aktywne wsparcie Europejskiej Służby Działań Zewnętrznych</w:t>
      </w:r>
      <w:r w:rsidR="003731CD" w:rsidRPr="003731CD">
        <w:t xml:space="preserve"> i sie</w:t>
      </w:r>
      <w:r w:rsidRPr="003731CD">
        <w:t>ci delegatur UE</w:t>
      </w:r>
      <w:r w:rsidR="003731CD" w:rsidRPr="003731CD">
        <w:t xml:space="preserve"> w pań</w:t>
      </w:r>
      <w:r w:rsidRPr="003731CD">
        <w:t>stwach trzecich oraz misji przy organizacjach międzynarodowych</w:t>
      </w:r>
      <w:r w:rsidR="003731CD" w:rsidRPr="003731CD">
        <w:t xml:space="preserve"> i zam</w:t>
      </w:r>
      <w:r w:rsidRPr="003731CD">
        <w:t>ierza również powoływać się na nie</w:t>
      </w:r>
      <w:r w:rsidR="003731CD" w:rsidRPr="003731CD">
        <w:t xml:space="preserve"> w prz</w:t>
      </w:r>
      <w:r w:rsidRPr="003731CD">
        <w:t>yszłości. Pozwoliło to również osiągnąć większą spójność</w:t>
      </w:r>
      <w:r w:rsidR="003731CD" w:rsidRPr="003731CD">
        <w:t xml:space="preserve"> i kom</w:t>
      </w:r>
      <w:r w:rsidRPr="003731CD">
        <w:t>plementarność różnych aspektów zewnętrznego wymiaru polityki UE – od handlu do nowego partnerstwa między UE</w:t>
      </w:r>
      <w:r w:rsidR="003731CD" w:rsidRPr="003731CD">
        <w:t xml:space="preserve"> a Afr</w:t>
      </w:r>
      <w:r w:rsidRPr="003731CD">
        <w:t>yką. Grupa G20</w:t>
      </w:r>
      <w:r w:rsidR="003731CD" w:rsidRPr="003731CD">
        <w:t xml:space="preserve"> i gru</w:t>
      </w:r>
      <w:r w:rsidRPr="003731CD">
        <w:t>pa G7 również doceniły niedawno wkład ochrony danych</w:t>
      </w:r>
      <w:r w:rsidR="003731CD" w:rsidRPr="003731CD">
        <w:t xml:space="preserve"> w zau</w:t>
      </w:r>
      <w:r w:rsidRPr="003731CD">
        <w:t>fanie do gospodarki cyfrowej</w:t>
      </w:r>
      <w:r w:rsidR="003731CD" w:rsidRPr="003731CD">
        <w:t xml:space="preserve"> i prz</w:t>
      </w:r>
      <w:r w:rsidRPr="003731CD">
        <w:t>epływów danych,</w:t>
      </w:r>
      <w:r w:rsidR="003731CD" w:rsidRPr="003731CD">
        <w:t xml:space="preserve"> w szc</w:t>
      </w:r>
      <w:r w:rsidRPr="003731CD">
        <w:t>zególności poprzez koncepcję „Data Free Flow with Trust” (ang. „swobodny przepływ danych oparty na zaufaniu”), którą pierwotnie zaproponowała japońska prezydencja G20.</w:t>
      </w:r>
      <w:r w:rsidRPr="003731CD">
        <w:rPr>
          <w:rStyle w:val="FootnoteReference"/>
          <w:iCs/>
        </w:rPr>
        <w:footnoteReference w:id="60"/>
      </w:r>
      <w:r w:rsidRPr="003731CD">
        <w:t xml:space="preserve"> Strategia</w:t>
      </w:r>
      <w:r w:rsidR="003731CD" w:rsidRPr="003731CD">
        <w:t xml:space="preserve"> w zak</w:t>
      </w:r>
      <w:r w:rsidRPr="003731CD">
        <w:t>resie danych podkreśla, że Komisja zamierza nadal promować wymianę danych</w:t>
      </w:r>
      <w:r w:rsidR="003731CD" w:rsidRPr="003731CD">
        <w:t xml:space="preserve"> z zau</w:t>
      </w:r>
      <w:r w:rsidRPr="003731CD">
        <w:t>fanymi partnerami,</w:t>
      </w:r>
      <w:r w:rsidR="003731CD" w:rsidRPr="003731CD">
        <w:t xml:space="preserve"> a jed</w:t>
      </w:r>
      <w:r w:rsidRPr="003731CD">
        <w:t>nocześnie zwalczać nadużycia, takie jak nieproporcjonalny dostęp (zagranicznych) organów publicznych do danych osobowych.</w:t>
      </w:r>
      <w:r w:rsidRPr="003731CD">
        <w:rPr>
          <w:rStyle w:val="FootnoteReference"/>
          <w:iCs/>
        </w:rPr>
        <w:t xml:space="preserve"> </w:t>
      </w:r>
    </w:p>
    <w:p w:rsidR="001079A3" w:rsidRPr="003731CD" w:rsidRDefault="00BB6FCD">
      <w:r w:rsidRPr="003731CD">
        <w:t>Propagując konwergencję standardów ochrony danych na szczeblu międzynarodowym, jako sposób na ułatwienie przepływu danych, a co za tym idzie, na wymianę handlową, Komisja jest również zdecydowana przeciwdziałać protekcjonizmowi cyfrowemu, co zostało niedawno podkreślone</w:t>
      </w:r>
      <w:r w:rsidR="003731CD" w:rsidRPr="003731CD">
        <w:t xml:space="preserve"> w ram</w:t>
      </w:r>
      <w:r w:rsidRPr="003731CD">
        <w:t>ach strategii</w:t>
      </w:r>
      <w:r w:rsidR="003731CD" w:rsidRPr="003731CD">
        <w:t xml:space="preserve"> w zak</w:t>
      </w:r>
      <w:r w:rsidRPr="003731CD">
        <w:t>resie danych.</w:t>
      </w:r>
      <w:r w:rsidRPr="003731CD">
        <w:rPr>
          <w:rStyle w:val="FootnoteReference"/>
        </w:rPr>
        <w:footnoteReference w:id="61"/>
      </w:r>
      <w:r w:rsidRPr="003731CD">
        <w:t xml:space="preserve"> W tym celu opracowała szczegółowe przepisy dotyczące przepływu danych</w:t>
      </w:r>
      <w:r w:rsidR="003731CD" w:rsidRPr="003731CD">
        <w:t xml:space="preserve"> i och</w:t>
      </w:r>
      <w:r w:rsidRPr="003731CD">
        <w:t>rony danych</w:t>
      </w:r>
      <w:r w:rsidR="003731CD" w:rsidRPr="003731CD">
        <w:t xml:space="preserve"> w umo</w:t>
      </w:r>
      <w:r w:rsidRPr="003731CD">
        <w:t>wach handlowych</w:t>
      </w:r>
      <w:r w:rsidRPr="003731CD">
        <w:rPr>
          <w:rStyle w:val="FootnoteReference"/>
        </w:rPr>
        <w:footnoteReference w:id="62"/>
      </w:r>
      <w:r w:rsidRPr="003731CD">
        <w:t>, które systematycznie uwzględnia</w:t>
      </w:r>
      <w:r w:rsidR="003731CD" w:rsidRPr="003731CD">
        <w:t xml:space="preserve"> w umo</w:t>
      </w:r>
      <w:r w:rsidRPr="003731CD">
        <w:t>wach dwustronnych – ostatnio</w:t>
      </w:r>
      <w:r w:rsidR="003731CD" w:rsidRPr="003731CD">
        <w:t xml:space="preserve"> z Aus</w:t>
      </w:r>
      <w:r w:rsidRPr="003731CD">
        <w:t>tralią, Nową Zelandią</w:t>
      </w:r>
      <w:r w:rsidR="003731CD" w:rsidRPr="003731CD">
        <w:t xml:space="preserve"> i Zje</w:t>
      </w:r>
      <w:r w:rsidRPr="003731CD">
        <w:t>dnoczonym Królestwem – oraz negocjacjach wielostronnych, takich jak obecne rozmowy</w:t>
      </w:r>
      <w:r w:rsidR="003731CD" w:rsidRPr="003731CD">
        <w:t xml:space="preserve"> w ram</w:t>
      </w:r>
      <w:r w:rsidRPr="003731CD">
        <w:t>ach WTO</w:t>
      </w:r>
      <w:r w:rsidR="003731CD" w:rsidRPr="003731CD">
        <w:t xml:space="preserve"> w spr</w:t>
      </w:r>
      <w:r w:rsidRPr="003731CD">
        <w:t>awie handlu elektronicznego</w:t>
      </w:r>
      <w:r w:rsidRPr="003731CD">
        <w:rPr>
          <w:rStyle w:val="FootnoteReference"/>
          <w:bCs/>
        </w:rPr>
        <w:footnoteReference w:id="63"/>
      </w:r>
      <w:r w:rsidRPr="003731CD">
        <w:t>. Te przepisy horyzontalne wykluczają nieuzasadnione ograniczenia, takie jak przymusowe wymogi dotyczące lokalizacji danych,</w:t>
      </w:r>
      <w:r w:rsidR="003731CD" w:rsidRPr="003731CD">
        <w:t xml:space="preserve"> a z dru</w:t>
      </w:r>
      <w:r w:rsidRPr="003731CD">
        <w:t>giej strony zachowują autonomię regulacyjną stron</w:t>
      </w:r>
      <w:r w:rsidR="003731CD" w:rsidRPr="003731CD">
        <w:t xml:space="preserve"> w zak</w:t>
      </w:r>
      <w:r w:rsidRPr="003731CD">
        <w:t xml:space="preserve">resie ochrony podstawowego prawa do ochrony danych. </w:t>
      </w:r>
    </w:p>
    <w:p w:rsidR="001079A3" w:rsidRPr="003731CD" w:rsidRDefault="00BB6FCD">
      <w:pPr>
        <w:rPr>
          <w:iCs/>
        </w:rPr>
      </w:pPr>
      <w:r w:rsidRPr="003731CD">
        <w:t>Należy zatem dalej badać możliwości synergii między instrumentami ochrony handlu</w:t>
      </w:r>
      <w:r w:rsidR="003731CD" w:rsidRPr="003731CD">
        <w:t xml:space="preserve"> i dan</w:t>
      </w:r>
      <w:r w:rsidRPr="003731CD">
        <w:t>ych</w:t>
      </w:r>
      <w:r w:rsidR="003731CD" w:rsidRPr="003731CD">
        <w:t xml:space="preserve"> w cel</w:t>
      </w:r>
      <w:r w:rsidRPr="003731CD">
        <w:t>u zapewnienia swobodnego</w:t>
      </w:r>
      <w:r w:rsidR="003731CD" w:rsidRPr="003731CD">
        <w:t xml:space="preserve"> i bez</w:t>
      </w:r>
      <w:r w:rsidRPr="003731CD">
        <w:t>piecznego międzynarodowego przepływu danych, który ma zasadnicze znaczenie dla działalności gospodarczej, konkurencyjności</w:t>
      </w:r>
      <w:r w:rsidR="003731CD" w:rsidRPr="003731CD">
        <w:t xml:space="preserve"> i roz</w:t>
      </w:r>
      <w:r w:rsidRPr="003731CD">
        <w:t>woju europejskich przedsiębiorstw,</w:t>
      </w:r>
      <w:r w:rsidR="003731CD" w:rsidRPr="003731CD">
        <w:t xml:space="preserve"> w tym</w:t>
      </w:r>
      <w:r w:rsidRPr="003731CD">
        <w:t xml:space="preserve"> MŚP,</w:t>
      </w:r>
      <w:r w:rsidR="003731CD" w:rsidRPr="003731CD">
        <w:t xml:space="preserve"> w cor</w:t>
      </w:r>
      <w:r w:rsidRPr="003731CD">
        <w:t>az bardziej cyfrowej gospodarce.</w:t>
      </w:r>
    </w:p>
    <w:p w:rsidR="001079A3" w:rsidRPr="003731CD" w:rsidRDefault="00BB6FCD">
      <w:r w:rsidRPr="003731CD">
        <w:t>Podobnie ważne jest zagwarantowanie, aby</w:t>
      </w:r>
      <w:r w:rsidR="003731CD" w:rsidRPr="003731CD">
        <w:t xml:space="preserve"> w prz</w:t>
      </w:r>
      <w:r w:rsidRPr="003731CD">
        <w:t>ypadku gdy przedsiębiorstwa działające na rynku europejskim zostaną wezwane na podstawie uzasadnionego wniosku</w:t>
      </w:r>
      <w:r w:rsidR="003731CD" w:rsidRPr="003731CD">
        <w:t xml:space="preserve"> o udo</w:t>
      </w:r>
      <w:r w:rsidRPr="003731CD">
        <w:t>stępnienie danych do celów egzekwowania prawa, mogły tego dokonać bez ryzyka kolizji przepisów</w:t>
      </w:r>
      <w:r w:rsidR="003731CD" w:rsidRPr="003731CD">
        <w:t xml:space="preserve"> i prz</w:t>
      </w:r>
      <w:r w:rsidRPr="003731CD">
        <w:t>y pełnym poszanowaniu praw podstawowych UE. Aby usprawnić takie przekazywanie danych, Komisja zobowiązuje się do opracowania odpowiednich ram prawnych</w:t>
      </w:r>
      <w:r w:rsidR="003731CD" w:rsidRPr="003731CD">
        <w:t xml:space="preserve"> z par</w:t>
      </w:r>
      <w:r w:rsidRPr="003731CD">
        <w:t>tnerami międzynarodowymi</w:t>
      </w:r>
      <w:r w:rsidR="003731CD" w:rsidRPr="003731CD">
        <w:t xml:space="preserve"> w cel</w:t>
      </w:r>
      <w:r w:rsidRPr="003731CD">
        <w:t>u unikania kolizji przepisów</w:t>
      </w:r>
      <w:r w:rsidR="003731CD" w:rsidRPr="003731CD">
        <w:t xml:space="preserve"> i wsp</w:t>
      </w:r>
      <w:r w:rsidRPr="003731CD">
        <w:t>ierania efektywnych form współpracy, zwłaszcza przez zapewnienie niezbędnych zabezpieczeń</w:t>
      </w:r>
      <w:r w:rsidR="003731CD" w:rsidRPr="003731CD">
        <w:t xml:space="preserve"> w zak</w:t>
      </w:r>
      <w:r w:rsidRPr="003731CD">
        <w:t>resie ochrony danych,</w:t>
      </w:r>
      <w:r w:rsidR="003731CD" w:rsidRPr="003731CD">
        <w:t xml:space="preserve"> a tym</w:t>
      </w:r>
      <w:r w:rsidRPr="003731CD">
        <w:t xml:space="preserve"> samym przyczynienia się do skuteczniejszej walki</w:t>
      </w:r>
      <w:r w:rsidR="003731CD" w:rsidRPr="003731CD">
        <w:t xml:space="preserve"> z prz</w:t>
      </w:r>
      <w:r w:rsidRPr="003731CD">
        <w:t>estępczością.</w:t>
      </w:r>
      <w:r w:rsidR="003731CD" w:rsidRPr="003731CD">
        <w:t xml:space="preserve"> </w:t>
      </w:r>
    </w:p>
    <w:p w:rsidR="001079A3" w:rsidRPr="003731CD" w:rsidRDefault="00BB6FCD">
      <w:r w:rsidRPr="003731CD">
        <w:t>Ponadto</w:t>
      </w:r>
      <w:r w:rsidR="003731CD" w:rsidRPr="003731CD">
        <w:t xml:space="preserve"> w syt</w:t>
      </w:r>
      <w:r w:rsidRPr="003731CD">
        <w:t>uacjach,</w:t>
      </w:r>
      <w:r w:rsidR="003731CD" w:rsidRPr="003731CD">
        <w:t xml:space="preserve"> w któ</w:t>
      </w:r>
      <w:r w:rsidRPr="003731CD">
        <w:t>rych kwestie związane</w:t>
      </w:r>
      <w:r w:rsidR="003731CD" w:rsidRPr="003731CD">
        <w:t xml:space="preserve"> z prz</w:t>
      </w:r>
      <w:r w:rsidRPr="003731CD">
        <w:t>estrzeganiem prawa do prywatności lub incydenty związane</w:t>
      </w:r>
      <w:r w:rsidR="003731CD" w:rsidRPr="003731CD">
        <w:t xml:space="preserve"> z bez</w:t>
      </w:r>
      <w:r w:rsidRPr="003731CD">
        <w:t>pieczeństwem danych mogą mieć wpływ na dużą liczbę osób</w:t>
      </w:r>
      <w:r w:rsidR="003731CD" w:rsidRPr="003731CD">
        <w:t xml:space="preserve"> w kil</w:t>
      </w:r>
      <w:r w:rsidRPr="003731CD">
        <w:t>ku jurysdykcjach jednocześnie, należy jeszcze bardziej zacieśnić współpracę</w:t>
      </w:r>
      <w:r w:rsidR="003731CD" w:rsidRPr="003731CD">
        <w:t xml:space="preserve"> w ter</w:t>
      </w:r>
      <w:r w:rsidRPr="003731CD">
        <w:t>enie między europejskimi</w:t>
      </w:r>
      <w:r w:rsidR="003731CD" w:rsidRPr="003731CD">
        <w:t xml:space="preserve"> i mię</w:t>
      </w:r>
      <w:r w:rsidRPr="003731CD">
        <w:t>dzynarodowymi organami regulacyjnymi. Wymaga to</w:t>
      </w:r>
      <w:r w:rsidR="003731CD" w:rsidRPr="003731CD">
        <w:t xml:space="preserve"> w szc</w:t>
      </w:r>
      <w:r w:rsidRPr="003731CD">
        <w:t>zególności opracowania odpowiednich instrumentów prawnych</w:t>
      </w:r>
      <w:r w:rsidR="003731CD" w:rsidRPr="003731CD">
        <w:t xml:space="preserve"> w cel</w:t>
      </w:r>
      <w:r w:rsidRPr="003731CD">
        <w:t>u zacieśnienia współpracy</w:t>
      </w:r>
      <w:r w:rsidR="003731CD" w:rsidRPr="003731CD">
        <w:t xml:space="preserve"> i wza</w:t>
      </w:r>
      <w:r w:rsidRPr="003731CD">
        <w:t>jemnej pomocy,</w:t>
      </w:r>
      <w:r w:rsidR="003731CD" w:rsidRPr="003731CD">
        <w:t xml:space="preserve"> w tym</w:t>
      </w:r>
      <w:r w:rsidRPr="003731CD">
        <w:t xml:space="preserve"> przez umożliwienie niezbędnej wymiany informacji</w:t>
      </w:r>
      <w:r w:rsidR="003731CD" w:rsidRPr="003731CD">
        <w:t xml:space="preserve"> w kon</w:t>
      </w:r>
      <w:r w:rsidRPr="003731CD">
        <w:t>tekście dochodzeń</w:t>
      </w:r>
      <w:r w:rsidR="003731CD" w:rsidRPr="003731CD">
        <w:t>. W tym</w:t>
      </w:r>
      <w:r w:rsidRPr="003731CD">
        <w:t xml:space="preserve"> właśnie duchu Komisja powołuje Akademię Ochrony Danych (Data Protection Academy), platformę,</w:t>
      </w:r>
      <w:r w:rsidR="003731CD" w:rsidRPr="003731CD">
        <w:t xml:space="preserve"> w ram</w:t>
      </w:r>
      <w:r w:rsidRPr="003731CD">
        <w:t>ach której unijne</w:t>
      </w:r>
      <w:r w:rsidR="003731CD" w:rsidRPr="003731CD">
        <w:t xml:space="preserve"> i zag</w:t>
      </w:r>
      <w:r w:rsidRPr="003731CD">
        <w:t>raniczne organy ochrony danych dzielą się wiedzą, doświadczeniem</w:t>
      </w:r>
      <w:r w:rsidR="003731CD" w:rsidRPr="003731CD">
        <w:t xml:space="preserve"> i naj</w:t>
      </w:r>
      <w:r w:rsidRPr="003731CD">
        <w:t>lepszymi praktykami</w:t>
      </w:r>
      <w:r w:rsidR="003731CD" w:rsidRPr="003731CD">
        <w:t xml:space="preserve"> w cel</w:t>
      </w:r>
      <w:r w:rsidRPr="003731CD">
        <w:t>u ułatwienia</w:t>
      </w:r>
      <w:r w:rsidR="003731CD" w:rsidRPr="003731CD">
        <w:t xml:space="preserve"> i wsp</w:t>
      </w:r>
      <w:r w:rsidRPr="003731CD">
        <w:t>ierania współpracy między organami odpowiedzialnymi za egzekwowanie prawa</w:t>
      </w:r>
      <w:r w:rsidR="003731CD" w:rsidRPr="003731CD">
        <w:t xml:space="preserve"> w zak</w:t>
      </w:r>
      <w:r w:rsidRPr="003731CD">
        <w:t xml:space="preserve">resie ochrony prywatności. </w:t>
      </w:r>
    </w:p>
    <w:p w:rsidR="001079A3" w:rsidRPr="003731CD" w:rsidRDefault="00BB6FCD">
      <w:pPr>
        <w:pStyle w:val="Heading1"/>
        <w:ind w:left="431" w:hanging="431"/>
      </w:pPr>
      <w:bookmarkStart w:id="68" w:name="_Toc40124231"/>
      <w:r w:rsidRPr="003731CD">
        <w:t>Dalsze działania</w:t>
      </w:r>
      <w:bookmarkEnd w:id="68"/>
    </w:p>
    <w:p w:rsidR="001079A3" w:rsidRPr="003731CD" w:rsidRDefault="00BB6FCD">
      <w:r w:rsidRPr="003731CD">
        <w:t>Aby</w:t>
      </w:r>
      <w:r w:rsidR="003731CD" w:rsidRPr="003731CD">
        <w:t xml:space="preserve"> w peł</w:t>
      </w:r>
      <w:r w:rsidRPr="003731CD">
        <w:t>ni zrealizować potencjał RODO, ważne jest stworzenie zharmonizowanego podejścia</w:t>
      </w:r>
      <w:r w:rsidR="003731CD" w:rsidRPr="003731CD">
        <w:t xml:space="preserve"> i wsp</w:t>
      </w:r>
      <w:r w:rsidRPr="003731CD">
        <w:t>ólnej europejskiej kultury ochrony danych oraz wspieranie bardziej skutecznego</w:t>
      </w:r>
      <w:r w:rsidR="003731CD" w:rsidRPr="003731CD">
        <w:t xml:space="preserve"> i zha</w:t>
      </w:r>
      <w:r w:rsidRPr="003731CD">
        <w:t>rmonizowanego postępowania</w:t>
      </w:r>
      <w:r w:rsidR="003731CD" w:rsidRPr="003731CD">
        <w:t xml:space="preserve"> w spr</w:t>
      </w:r>
      <w:r w:rsidRPr="003731CD">
        <w:t>awach transgranicznych. Jest to zgodne</w:t>
      </w:r>
      <w:r w:rsidR="003731CD" w:rsidRPr="003731CD">
        <w:t xml:space="preserve"> z ocz</w:t>
      </w:r>
      <w:r w:rsidRPr="003731CD">
        <w:t>ekiwaniami ludzi</w:t>
      </w:r>
      <w:r w:rsidR="003731CD" w:rsidRPr="003731CD">
        <w:t xml:space="preserve"> i prz</w:t>
      </w:r>
      <w:r w:rsidRPr="003731CD">
        <w:t>edsiębiorstw oraz stanowi zasadniczy cel reformy unijnych przepisów</w:t>
      </w:r>
      <w:r w:rsidR="003731CD" w:rsidRPr="003731CD">
        <w:t xml:space="preserve"> o och</w:t>
      </w:r>
      <w:r w:rsidRPr="003731CD">
        <w:t>ronie danych. Równie ważne jest zagwarantowanie, aby wszystkie narzędzia dostępne w RODO były</w:t>
      </w:r>
      <w:r w:rsidR="003731CD" w:rsidRPr="003731CD">
        <w:t xml:space="preserve"> w peł</w:t>
      </w:r>
      <w:r w:rsidRPr="003731CD">
        <w:t>ni wykorzystywane</w:t>
      </w:r>
      <w:r w:rsidR="003731CD" w:rsidRPr="003731CD">
        <w:t xml:space="preserve"> w cel</w:t>
      </w:r>
      <w:r w:rsidRPr="003731CD">
        <w:t>u zapewnienia skutecznego stosowania tego rozporządzenia</w:t>
      </w:r>
      <w:r w:rsidR="003731CD" w:rsidRPr="003731CD">
        <w:t xml:space="preserve"> w odn</w:t>
      </w:r>
      <w:r w:rsidRPr="003731CD">
        <w:t>iesieniu do osób fizycznych</w:t>
      </w:r>
      <w:r w:rsidR="003731CD" w:rsidRPr="003731CD">
        <w:t xml:space="preserve"> i prz</w:t>
      </w:r>
      <w:r w:rsidRPr="003731CD">
        <w:t xml:space="preserve">edsiębiorstw. </w:t>
      </w:r>
    </w:p>
    <w:p w:rsidR="001079A3" w:rsidRPr="003731CD" w:rsidRDefault="00BB6FCD">
      <w:r w:rsidRPr="003731CD">
        <w:t>Komisja będzie kontynuować dwustronną wymianę informacji</w:t>
      </w:r>
      <w:r w:rsidR="003731CD" w:rsidRPr="003731CD">
        <w:t xml:space="preserve"> z pań</w:t>
      </w:r>
      <w:r w:rsidRPr="003731CD">
        <w:t>stwami członkowskimi na temat wdrażania RODO i,</w:t>
      </w:r>
      <w:r w:rsidR="003731CD" w:rsidRPr="003731CD">
        <w:t xml:space="preserve"> w raz</w:t>
      </w:r>
      <w:r w:rsidRPr="003731CD">
        <w:t>ie potrzeby, będzie nadal wykorzystywać wszystkie dostępne narzędzia do zapewnienia przestrzegania przez państwa członkowskie zobowiązań wynikających z RODO.</w:t>
      </w:r>
    </w:p>
    <w:p w:rsidR="001079A3" w:rsidRPr="003731CD" w:rsidRDefault="00BB6FCD">
      <w:r w:rsidRPr="003731CD">
        <w:t>Biorąc pod uwagę ciągłą ocenę przepisów krajowych, krótki okres praktycznego stosowania przepisów RODO oraz fakt, że</w:t>
      </w:r>
      <w:r w:rsidR="003731CD" w:rsidRPr="003731CD">
        <w:t xml:space="preserve"> w wie</w:t>
      </w:r>
      <w:r w:rsidRPr="003731CD">
        <w:t>lu państwach członkowskich prawodawstwo sektorowe jest wciąż poddawane przeglądowi, wyciąganie ostatecznych wniosków na temat obecnego poziomu fragmentacji byłoby przedwczesne</w:t>
      </w:r>
      <w:r w:rsidR="003731CD" w:rsidRPr="003731CD">
        <w:t>. W kon</w:t>
      </w:r>
      <w:r w:rsidRPr="003731CD">
        <w:t>tekście ewentualnej kolizji przepisów</w:t>
      </w:r>
      <w:r w:rsidR="003731CD" w:rsidRPr="003731CD">
        <w:t xml:space="preserve"> w zwi</w:t>
      </w:r>
      <w:r w:rsidRPr="003731CD">
        <w:t>ązku</w:t>
      </w:r>
      <w:r w:rsidR="003731CD" w:rsidRPr="003731CD">
        <w:t xml:space="preserve"> z wdr</w:t>
      </w:r>
      <w:r w:rsidRPr="003731CD">
        <w:t>ożeniem przez państwa członkowskie klauzul precyzujących należy najpierw lepiej zrozumieć konsekwencje dla administratorów danych</w:t>
      </w:r>
      <w:r w:rsidR="003731CD" w:rsidRPr="003731CD">
        <w:t xml:space="preserve"> i pod</w:t>
      </w:r>
      <w:r w:rsidRPr="003731CD">
        <w:t>miotów przetwarzających</w:t>
      </w:r>
      <w:r w:rsidRPr="003731CD">
        <w:rPr>
          <w:rStyle w:val="FootnoteReference"/>
        </w:rPr>
        <w:footnoteReference w:id="64"/>
      </w:r>
      <w:r w:rsidRPr="003731CD">
        <w:t>.</w:t>
      </w:r>
    </w:p>
    <w:p w:rsidR="001079A3" w:rsidRPr="003731CD" w:rsidRDefault="00BB6FCD">
      <w:r w:rsidRPr="003731CD">
        <w:t>Podejmując działania następcze</w:t>
      </w:r>
      <w:r w:rsidR="003731CD" w:rsidRPr="003731CD">
        <w:t xml:space="preserve"> w zwi</w:t>
      </w:r>
      <w:r w:rsidRPr="003731CD">
        <w:t>ązku</w:t>
      </w:r>
      <w:r w:rsidR="003731CD" w:rsidRPr="003731CD">
        <w:t xml:space="preserve"> z tym</w:t>
      </w:r>
      <w:r w:rsidRPr="003731CD">
        <w:t>i kwestiami, można odwoływać się do stosownego orzecznictwa sądów krajowych</w:t>
      </w:r>
      <w:r w:rsidR="003731CD" w:rsidRPr="003731CD">
        <w:t xml:space="preserve"> i Try</w:t>
      </w:r>
      <w:r w:rsidRPr="003731CD">
        <w:t>bunału Sprawiedliwości, które przyczynia się do stworzenia spójnej wykładni przepisów</w:t>
      </w:r>
      <w:r w:rsidR="003731CD" w:rsidRPr="003731CD">
        <w:t xml:space="preserve"> o och</w:t>
      </w:r>
      <w:r w:rsidRPr="003731CD">
        <w:t>ronie danych. Sądy krajowe wydały ostatnio wyroki</w:t>
      </w:r>
      <w:r w:rsidR="003731CD" w:rsidRPr="003731CD">
        <w:t xml:space="preserve"> w spr</w:t>
      </w:r>
      <w:r w:rsidRPr="003731CD">
        <w:t>awie unieważnienia przepisów prawa krajowego, które odbiegają od przepisów RODO</w:t>
      </w:r>
      <w:r w:rsidRPr="003731CD">
        <w:rPr>
          <w:rStyle w:val="FootnoteReference"/>
        </w:rPr>
        <w:footnoteReference w:id="65"/>
      </w:r>
      <w:r w:rsidRPr="003731CD">
        <w:t xml:space="preserve">. </w:t>
      </w:r>
    </w:p>
    <w:p w:rsidR="001079A3" w:rsidRPr="003731CD" w:rsidRDefault="00BB6FCD">
      <w:r w:rsidRPr="003731CD">
        <w:t>W wymiarze międzynarodowym Komisja będzie nadal koncentrować się na wspieraniu konwergencji przepisów</w:t>
      </w:r>
      <w:r w:rsidR="003731CD" w:rsidRPr="003731CD">
        <w:t xml:space="preserve"> o och</w:t>
      </w:r>
      <w:r w:rsidRPr="003731CD">
        <w:t>ronie danych</w:t>
      </w:r>
      <w:r w:rsidR="003731CD" w:rsidRPr="003731CD">
        <w:t xml:space="preserve"> w cel</w:t>
      </w:r>
      <w:r w:rsidRPr="003731CD">
        <w:t>u zapewnienia bezpiecznego przepływu danych. Dotyczy to różnych form pracy proaktywnej, na przykład</w:t>
      </w:r>
      <w:r w:rsidR="003731CD" w:rsidRPr="003731CD">
        <w:t xml:space="preserve"> w kon</w:t>
      </w:r>
      <w:r w:rsidRPr="003731CD">
        <w:t>tekście trwających reform</w:t>
      </w:r>
      <w:r w:rsidR="003731CD" w:rsidRPr="003731CD">
        <w:t xml:space="preserve"> w zak</w:t>
      </w:r>
      <w:r w:rsidRPr="003731CD">
        <w:t>resie nowych lub zaktualizowanych przepisów</w:t>
      </w:r>
      <w:r w:rsidR="003731CD" w:rsidRPr="003731CD">
        <w:t xml:space="preserve"> o och</w:t>
      </w:r>
      <w:r w:rsidRPr="003731CD">
        <w:t>ronie danych lub dążenia do koncepcji „swobodnego przepływu danych opartego na zaufaniu” na forach wielostronnych. Powyższe działania obejmują również różne dialogi dotyczące odpowiedniego stopnia ochrony oraz modernizację</w:t>
      </w:r>
      <w:r w:rsidR="003731CD" w:rsidRPr="003731CD">
        <w:t xml:space="preserve"> i roz</w:t>
      </w:r>
      <w:r w:rsidRPr="003731CD">
        <w:t>budowę naszego zestawu narzędzi do przekazywania danych przez aktualizację standardowych klauzul umownych</w:t>
      </w:r>
      <w:r w:rsidR="003731CD" w:rsidRPr="003731CD">
        <w:t xml:space="preserve"> i stw</w:t>
      </w:r>
      <w:r w:rsidRPr="003731CD">
        <w:t>orzenie podstaw mechanizmów certyfikacji. Prace te obejmują również negocjacje międzynarodowe, np.</w:t>
      </w:r>
      <w:r w:rsidR="003731CD" w:rsidRPr="003731CD">
        <w:t xml:space="preserve"> w dzi</w:t>
      </w:r>
      <w:r w:rsidRPr="003731CD">
        <w:t>edzinie transgranicznego dostępu do dowodów elektronicznych,</w:t>
      </w:r>
      <w:r w:rsidR="003731CD" w:rsidRPr="003731CD">
        <w:t xml:space="preserve"> w cel</w:t>
      </w:r>
      <w:r w:rsidRPr="003731CD">
        <w:t>u zagwarantowania, by przekazywanie danych odbywało się przy zastosowaniu odpowiednich zabezpieczeń</w:t>
      </w:r>
      <w:r w:rsidR="003731CD" w:rsidRPr="003731CD">
        <w:t xml:space="preserve"> w zak</w:t>
      </w:r>
      <w:r w:rsidRPr="003731CD">
        <w:t>resie ochrony danych. Wreszcie, angażując się</w:t>
      </w:r>
      <w:r w:rsidR="003731CD" w:rsidRPr="003731CD">
        <w:t xml:space="preserve"> w neg</w:t>
      </w:r>
      <w:r w:rsidRPr="003731CD">
        <w:t>ocjacje</w:t>
      </w:r>
      <w:r w:rsidR="003731CD" w:rsidRPr="003731CD">
        <w:t xml:space="preserve"> w spr</w:t>
      </w:r>
      <w:r w:rsidRPr="003731CD">
        <w:t>awie współpracy międzynarodowej</w:t>
      </w:r>
      <w:r w:rsidR="003731CD" w:rsidRPr="003731CD">
        <w:t xml:space="preserve"> i wza</w:t>
      </w:r>
      <w:r w:rsidRPr="003731CD">
        <w:t>jemnej pomocy między organami odpowiedzialnymi za egzekwowanie przepisów</w:t>
      </w:r>
      <w:r w:rsidR="003731CD" w:rsidRPr="003731CD">
        <w:t xml:space="preserve"> w zak</w:t>
      </w:r>
      <w:r w:rsidRPr="003731CD">
        <w:t>resie ochrony danych, Komisja będzie dążyć do konwergencji przepisów</w:t>
      </w:r>
      <w:r w:rsidR="003731CD" w:rsidRPr="003731CD">
        <w:t xml:space="preserve"> w tym</w:t>
      </w:r>
      <w:r w:rsidRPr="003731CD">
        <w:t xml:space="preserve"> obszarze. </w:t>
      </w:r>
    </w:p>
    <w:p w:rsidR="001079A3" w:rsidRPr="003731CD" w:rsidRDefault="00BB6FCD">
      <w:r w:rsidRPr="003731CD">
        <w:t>Na podstawie tej oceny stosowania RODO od maja 2018</w:t>
      </w:r>
      <w:r w:rsidR="003731CD" w:rsidRPr="003731CD">
        <w:t> </w:t>
      </w:r>
      <w:r w:rsidRPr="003731CD">
        <w:t>r. wymienione poniżej działania zostały uznane za konieczne do wspierania jego stosowania. Komisja będzie monitorować ich wdrażanie również</w:t>
      </w:r>
      <w:r w:rsidR="003731CD" w:rsidRPr="003731CD">
        <w:t xml:space="preserve"> w kon</w:t>
      </w:r>
      <w:r w:rsidRPr="003731CD">
        <w:t>tekście zbliżającego się sprawozdania</w:t>
      </w:r>
      <w:r w:rsidR="003731CD" w:rsidRPr="003731CD">
        <w:t xml:space="preserve"> z oce</w:t>
      </w:r>
      <w:r w:rsidRPr="003731CD">
        <w:t>ny</w:t>
      </w:r>
      <w:r w:rsidR="003731CD" w:rsidRPr="003731CD">
        <w:t xml:space="preserve"> w 2</w:t>
      </w:r>
      <w:r w:rsidRPr="003731CD">
        <w:t>024</w:t>
      </w:r>
      <w:r w:rsidR="003731CD" w:rsidRPr="003731CD">
        <w:t> </w:t>
      </w:r>
      <w:r w:rsidRPr="003731CD">
        <w:t>r.</w:t>
      </w:r>
    </w:p>
    <w:p w:rsidR="001079A3" w:rsidRPr="003731CD" w:rsidRDefault="001079A3"/>
    <w:p w:rsidR="001079A3" w:rsidRPr="003731CD" w:rsidRDefault="00BB6FCD">
      <w:pPr>
        <w:rPr>
          <w:i/>
        </w:rPr>
      </w:pPr>
      <w:r w:rsidRPr="003731CD">
        <w:rPr>
          <w:i/>
        </w:rPr>
        <w:t>Wdrażanie</w:t>
      </w:r>
      <w:r w:rsidR="003731CD" w:rsidRPr="003731CD">
        <w:rPr>
          <w:i/>
        </w:rPr>
        <w:t xml:space="preserve"> i uzu</w:t>
      </w:r>
      <w:r w:rsidRPr="003731CD">
        <w:rPr>
          <w:i/>
        </w:rPr>
        <w:t>pełnianie ram prawnych</w:t>
      </w:r>
    </w:p>
    <w:p w:rsidR="001079A3" w:rsidRPr="003731CD" w:rsidRDefault="00BB6FCD">
      <w:r w:rsidRPr="003731CD">
        <w:t>Państwa członkowskie powinny:</w:t>
      </w:r>
    </w:p>
    <w:p w:rsidR="001079A3" w:rsidRPr="003731CD" w:rsidRDefault="00BB6FCD">
      <w:pPr>
        <w:pStyle w:val="ListParagraph"/>
        <w:numPr>
          <w:ilvl w:val="0"/>
          <w:numId w:val="11"/>
        </w:numPr>
        <w:ind w:left="714" w:hanging="357"/>
        <w:contextualSpacing w:val="0"/>
      </w:pPr>
      <w:r w:rsidRPr="003731CD">
        <w:t>zakończyć proces dostosowywania własnych przepisów sektorowych do przepisów RODO;</w:t>
      </w:r>
    </w:p>
    <w:p w:rsidR="001079A3" w:rsidRPr="003731CD" w:rsidRDefault="00BB6FCD">
      <w:pPr>
        <w:pStyle w:val="ListParagraph"/>
        <w:numPr>
          <w:ilvl w:val="0"/>
          <w:numId w:val="11"/>
        </w:numPr>
        <w:ind w:left="714" w:hanging="357"/>
        <w:contextualSpacing w:val="0"/>
      </w:pPr>
      <w:r w:rsidRPr="003731CD">
        <w:t>rozważyć ograniczenie stosowania klauzul precyzujących, które mogłyby prowadzić do fragmentacji</w:t>
      </w:r>
      <w:r w:rsidR="003731CD" w:rsidRPr="003731CD">
        <w:t xml:space="preserve"> i zag</w:t>
      </w:r>
      <w:r w:rsidRPr="003731CD">
        <w:t xml:space="preserve">rozić swobodnemu przepływowi danych w UE; </w:t>
      </w:r>
    </w:p>
    <w:p w:rsidR="001079A3" w:rsidRPr="003731CD" w:rsidRDefault="00BB6FCD">
      <w:pPr>
        <w:pStyle w:val="ListParagraph"/>
        <w:numPr>
          <w:ilvl w:val="0"/>
          <w:numId w:val="11"/>
        </w:numPr>
        <w:ind w:left="714" w:hanging="357"/>
        <w:contextualSpacing w:val="0"/>
      </w:pPr>
      <w:r w:rsidRPr="003731CD">
        <w:t>ocenić, czy krajowe przepisy wdrażające RODO przewidują wszystkie okoliczności</w:t>
      </w:r>
      <w:r w:rsidR="003731CD" w:rsidRPr="003731CD">
        <w:t xml:space="preserve"> w ram</w:t>
      </w:r>
      <w:r w:rsidRPr="003731CD">
        <w:t>ach marginesu przewidzianego dla przepisów państwa członkowskiego.</w:t>
      </w:r>
    </w:p>
    <w:p w:rsidR="001079A3" w:rsidRPr="003731CD" w:rsidRDefault="00BB6FCD">
      <w:r w:rsidRPr="003731CD">
        <w:t>Komisja będzie:</w:t>
      </w:r>
    </w:p>
    <w:p w:rsidR="001079A3" w:rsidRPr="003731CD" w:rsidRDefault="00BB6FCD">
      <w:pPr>
        <w:pStyle w:val="ListParagraph"/>
        <w:numPr>
          <w:ilvl w:val="0"/>
          <w:numId w:val="11"/>
        </w:numPr>
        <w:contextualSpacing w:val="0"/>
      </w:pPr>
      <w:r w:rsidRPr="003731CD">
        <w:t>prowadzić dwustronną wymianę</w:t>
      </w:r>
      <w:r w:rsidR="003731CD" w:rsidRPr="003731CD">
        <w:t xml:space="preserve"> z pań</w:t>
      </w:r>
      <w:r w:rsidRPr="003731CD">
        <w:t>stwami członkowskimi na temat zgodności przepisów krajowych z RODO,</w:t>
      </w:r>
      <w:r w:rsidR="003731CD" w:rsidRPr="003731CD">
        <w:t xml:space="preserve"> w tym</w:t>
      </w:r>
      <w:r w:rsidRPr="003731CD">
        <w:t xml:space="preserve"> na temat niezależności</w:t>
      </w:r>
      <w:r w:rsidR="003731CD" w:rsidRPr="003731CD">
        <w:t xml:space="preserve"> i zas</w:t>
      </w:r>
      <w:r w:rsidRPr="003731CD">
        <w:t>obów krajowych organów ochrony danych; wykorzystywać wszystkie dostępne narzędzia,</w:t>
      </w:r>
      <w:r w:rsidR="003731CD" w:rsidRPr="003731CD">
        <w:t xml:space="preserve"> w tym</w:t>
      </w:r>
      <w:r w:rsidRPr="003731CD">
        <w:t xml:space="preserve"> postępowania</w:t>
      </w:r>
      <w:r w:rsidR="003731CD" w:rsidRPr="003731CD">
        <w:t xml:space="preserve"> w spr</w:t>
      </w:r>
      <w:r w:rsidRPr="003731CD">
        <w:t>awie uchybienia zobowiązaniom państwa członkowskiego,</w:t>
      </w:r>
      <w:r w:rsidR="003731CD" w:rsidRPr="003731CD">
        <w:t xml:space="preserve"> w cel</w:t>
      </w:r>
      <w:r w:rsidRPr="003731CD">
        <w:t>u zagwarantowania, by państwa członkowskie przestrzegały RODO;</w:t>
      </w:r>
    </w:p>
    <w:p w:rsidR="001079A3" w:rsidRPr="003731CD" w:rsidRDefault="00BB6FCD">
      <w:pPr>
        <w:pStyle w:val="ListParagraph"/>
        <w:numPr>
          <w:ilvl w:val="0"/>
          <w:numId w:val="11"/>
        </w:numPr>
        <w:contextualSpacing w:val="0"/>
      </w:pPr>
      <w:r w:rsidRPr="003731CD">
        <w:t>wspierać dalszą wymianę poglądów</w:t>
      </w:r>
      <w:r w:rsidR="003731CD" w:rsidRPr="003731CD">
        <w:t xml:space="preserve"> i pra</w:t>
      </w:r>
      <w:r w:rsidRPr="003731CD">
        <w:t>ktyk krajowych między państwami członkowskimi na tematy, które podlegają dalszemu doprecyzowaniu na szczeblu krajowym,</w:t>
      </w:r>
      <w:r w:rsidR="003731CD" w:rsidRPr="003731CD">
        <w:t xml:space="preserve"> w cel</w:t>
      </w:r>
      <w:r w:rsidRPr="003731CD">
        <w:t>u zredukowania stopnia fragmentacji jednolitego rynku, takie jak przetwarzanie danych osobowych związane ze zdrowiem</w:t>
      </w:r>
      <w:r w:rsidR="003731CD" w:rsidRPr="003731CD">
        <w:t xml:space="preserve"> i bad</w:t>
      </w:r>
      <w:r w:rsidRPr="003731CD">
        <w:t>aniami, lub które należy równoważyć</w:t>
      </w:r>
      <w:r w:rsidR="003731CD" w:rsidRPr="003731CD">
        <w:t xml:space="preserve"> z inn</w:t>
      </w:r>
      <w:r w:rsidRPr="003731CD">
        <w:t>ymi prawami, takimi jak wolność wypowiedzi;</w:t>
      </w:r>
    </w:p>
    <w:p w:rsidR="001079A3" w:rsidRPr="003731CD" w:rsidRDefault="00BB6FCD">
      <w:pPr>
        <w:pStyle w:val="ListParagraph"/>
        <w:numPr>
          <w:ilvl w:val="0"/>
          <w:numId w:val="11"/>
        </w:numPr>
        <w:contextualSpacing w:val="0"/>
      </w:pPr>
      <w:r w:rsidRPr="003731CD">
        <w:t>zapewniać spójne stosowanie ram ochrony danych</w:t>
      </w:r>
      <w:r w:rsidR="003731CD" w:rsidRPr="003731CD">
        <w:t xml:space="preserve"> w odn</w:t>
      </w:r>
      <w:r w:rsidRPr="003731CD">
        <w:t>iesieniu do nowych technologii</w:t>
      </w:r>
      <w:r w:rsidR="003731CD" w:rsidRPr="003731CD">
        <w:t xml:space="preserve"> w cel</w:t>
      </w:r>
      <w:r w:rsidRPr="003731CD">
        <w:t>u wspierania innowacji</w:t>
      </w:r>
      <w:r w:rsidR="003731CD" w:rsidRPr="003731CD">
        <w:t xml:space="preserve"> i roz</w:t>
      </w:r>
      <w:r w:rsidRPr="003731CD">
        <w:t>woju technologicznego;</w:t>
      </w:r>
    </w:p>
    <w:p w:rsidR="001079A3" w:rsidRPr="003731CD" w:rsidRDefault="00BB6FCD">
      <w:pPr>
        <w:pStyle w:val="ListParagraph"/>
        <w:numPr>
          <w:ilvl w:val="0"/>
          <w:numId w:val="11"/>
        </w:numPr>
        <w:contextualSpacing w:val="0"/>
      </w:pPr>
      <w:r w:rsidRPr="003731CD">
        <w:t>wykorzystywać wysiłki grupy ekspertów ds. RODO</w:t>
      </w:r>
      <w:r w:rsidR="003731CD" w:rsidRPr="003731CD">
        <w:t xml:space="preserve"> z pań</w:t>
      </w:r>
      <w:r w:rsidRPr="003731CD">
        <w:t>stw członkowskich (ustanowionej na etapie przejściowym przed wejściem rozporządzenia</w:t>
      </w:r>
      <w:r w:rsidR="003731CD" w:rsidRPr="003731CD">
        <w:t xml:space="preserve"> w życ</w:t>
      </w:r>
      <w:r w:rsidRPr="003731CD">
        <w:t>ie)</w:t>
      </w:r>
      <w:r w:rsidR="003731CD" w:rsidRPr="003731CD">
        <w:t xml:space="preserve"> w cel</w:t>
      </w:r>
      <w:r w:rsidRPr="003731CD">
        <w:t>u ułatwienia dyskusji</w:t>
      </w:r>
      <w:r w:rsidR="003731CD" w:rsidRPr="003731CD">
        <w:t xml:space="preserve"> i wym</w:t>
      </w:r>
      <w:r w:rsidRPr="003731CD">
        <w:t>iany doświadczeń między państwami członkowskimi</w:t>
      </w:r>
      <w:r w:rsidR="003731CD" w:rsidRPr="003731CD">
        <w:t xml:space="preserve"> i z Kom</w:t>
      </w:r>
      <w:r w:rsidRPr="003731CD">
        <w:t>isją;</w:t>
      </w:r>
    </w:p>
    <w:p w:rsidR="001079A3" w:rsidRPr="003731CD" w:rsidRDefault="00BB6FCD">
      <w:pPr>
        <w:pStyle w:val="ListParagraph"/>
        <w:numPr>
          <w:ilvl w:val="0"/>
          <w:numId w:val="34"/>
        </w:numPr>
        <w:contextualSpacing w:val="0"/>
      </w:pPr>
      <w:r w:rsidRPr="003731CD">
        <w:t>badać, czy –</w:t>
      </w:r>
      <w:r w:rsidR="003731CD" w:rsidRPr="003731CD">
        <w:t xml:space="preserve"> w świ</w:t>
      </w:r>
      <w:r w:rsidRPr="003731CD">
        <w:t>etle dalszych doświadczeń</w:t>
      </w:r>
      <w:r w:rsidR="003731CD" w:rsidRPr="003731CD">
        <w:t xml:space="preserve"> i sto</w:t>
      </w:r>
      <w:r w:rsidRPr="003731CD">
        <w:t>sownego orzecznictwa – zaproponowanie ewentualnych przyszłych ukierunkowanych zmian</w:t>
      </w:r>
      <w:r w:rsidR="003731CD" w:rsidRPr="003731CD">
        <w:t xml:space="preserve"> w nie</w:t>
      </w:r>
      <w:r w:rsidRPr="003731CD">
        <w:t>których przepisach RODO może być właściwe,</w:t>
      </w:r>
      <w:r w:rsidR="003731CD" w:rsidRPr="003731CD">
        <w:t xml:space="preserve"> w szc</w:t>
      </w:r>
      <w:r w:rsidRPr="003731CD">
        <w:t>zególności</w:t>
      </w:r>
      <w:r w:rsidR="003731CD" w:rsidRPr="003731CD">
        <w:t xml:space="preserve"> w odn</w:t>
      </w:r>
      <w:r w:rsidRPr="003731CD">
        <w:t>iesieniu do dokumentacji dotyczącej przetwarzania danych przez MŚP, które nie przetwarzają danych osobowych</w:t>
      </w:r>
      <w:r w:rsidR="003731CD" w:rsidRPr="003731CD">
        <w:t xml:space="preserve"> w ram</w:t>
      </w:r>
      <w:r w:rsidRPr="003731CD">
        <w:t>ach podstawowej działalności (niskie ryzyko)</w:t>
      </w:r>
      <w:r w:rsidRPr="003731CD">
        <w:rPr>
          <w:rStyle w:val="FootnoteReference"/>
        </w:rPr>
        <w:footnoteReference w:id="66"/>
      </w:r>
      <w:r w:rsidRPr="003731CD">
        <w:t>, oraz ewentualnej harmonizacji wieku wyrażenia zgody przez dzieci</w:t>
      </w:r>
      <w:r w:rsidR="003731CD" w:rsidRPr="003731CD">
        <w:t xml:space="preserve"> w zak</w:t>
      </w:r>
      <w:r w:rsidRPr="003731CD">
        <w:t>resie świadczenia usług społeczeństwa informacyjnego.</w:t>
      </w:r>
    </w:p>
    <w:p w:rsidR="001079A3" w:rsidRPr="003731CD" w:rsidRDefault="001079A3"/>
    <w:p w:rsidR="001079A3" w:rsidRPr="003731CD" w:rsidRDefault="00BB6FCD">
      <w:pPr>
        <w:rPr>
          <w:i/>
        </w:rPr>
      </w:pPr>
      <w:r w:rsidRPr="003731CD">
        <w:rPr>
          <w:i/>
        </w:rPr>
        <w:t>Pełne wykorzystanie potencjału nowego systemu zarządzania</w:t>
      </w:r>
    </w:p>
    <w:p w:rsidR="001079A3" w:rsidRPr="003731CD" w:rsidRDefault="00BB6FCD">
      <w:r w:rsidRPr="003731CD">
        <w:t>EROD oraz organy ochrony danych wzywa się do:</w:t>
      </w:r>
    </w:p>
    <w:p w:rsidR="001079A3" w:rsidRPr="003731CD" w:rsidRDefault="00BB6FCD">
      <w:pPr>
        <w:pStyle w:val="ListParagraph"/>
        <w:numPr>
          <w:ilvl w:val="0"/>
          <w:numId w:val="42"/>
        </w:numPr>
        <w:ind w:left="714" w:hanging="357"/>
        <w:contextualSpacing w:val="0"/>
      </w:pPr>
      <w:r w:rsidRPr="003731CD">
        <w:t>opracowania skutecznych rozwiązań między organami ochrony danych dotyczących funkcjonowania mechanizmu współpracy</w:t>
      </w:r>
      <w:r w:rsidR="003731CD" w:rsidRPr="003731CD">
        <w:t xml:space="preserve"> i spó</w:t>
      </w:r>
      <w:r w:rsidRPr="003731CD">
        <w:t>jności,</w:t>
      </w:r>
      <w:r w:rsidR="003731CD" w:rsidRPr="003731CD">
        <w:t xml:space="preserve"> w tym</w:t>
      </w:r>
      <w:r w:rsidRPr="003731CD">
        <w:t xml:space="preserve"> aspektów proceduralnych,</w:t>
      </w:r>
      <w:r w:rsidR="003731CD" w:rsidRPr="003731CD">
        <w:t xml:space="preserve"> w opa</w:t>
      </w:r>
      <w:r w:rsidRPr="003731CD">
        <w:t>rciu</w:t>
      </w:r>
      <w:r w:rsidR="003731CD" w:rsidRPr="003731CD">
        <w:t xml:space="preserve"> o wie</w:t>
      </w:r>
      <w:r w:rsidRPr="003731CD">
        <w:t>dzę fachową ich członków oraz przez zwiększenie zaangażowania sekretariatu;</w:t>
      </w:r>
    </w:p>
    <w:p w:rsidR="001079A3" w:rsidRPr="003731CD" w:rsidRDefault="00BB6FCD">
      <w:pPr>
        <w:pStyle w:val="ListParagraph"/>
        <w:numPr>
          <w:ilvl w:val="0"/>
          <w:numId w:val="11"/>
        </w:numPr>
        <w:ind w:left="714" w:hanging="357"/>
        <w:contextualSpacing w:val="0"/>
      </w:pPr>
      <w:r w:rsidRPr="003731CD">
        <w:t>wspierania harmonizacji stosowania</w:t>
      </w:r>
      <w:r w:rsidR="003731CD" w:rsidRPr="003731CD">
        <w:t xml:space="preserve"> i egz</w:t>
      </w:r>
      <w:r w:rsidRPr="003731CD">
        <w:t>ekwowania przepisów RODO przy użyciu wszelkich dostępnych środków,</w:t>
      </w:r>
      <w:r w:rsidR="003731CD" w:rsidRPr="003731CD">
        <w:t xml:space="preserve"> w tym</w:t>
      </w:r>
      <w:r w:rsidRPr="003731CD">
        <w:t xml:space="preserve"> przez dalsze doprecyzowanie kluczowych pojęć RODO, oraz zagwarantowanie, by krajowe wytyczne były</w:t>
      </w:r>
      <w:r w:rsidR="003731CD" w:rsidRPr="003731CD">
        <w:t xml:space="preserve"> w peł</w:t>
      </w:r>
      <w:r w:rsidRPr="003731CD">
        <w:t>ni zgodne</w:t>
      </w:r>
      <w:r w:rsidR="003731CD" w:rsidRPr="003731CD">
        <w:t xml:space="preserve"> z wyt</w:t>
      </w:r>
      <w:r w:rsidRPr="003731CD">
        <w:t>ycznymi przyjętymi przez EROD;</w:t>
      </w:r>
    </w:p>
    <w:p w:rsidR="001079A3" w:rsidRPr="003731CD" w:rsidRDefault="00BB6FCD">
      <w:pPr>
        <w:pStyle w:val="ListParagraph"/>
        <w:numPr>
          <w:ilvl w:val="0"/>
          <w:numId w:val="11"/>
        </w:numPr>
        <w:ind w:left="714" w:hanging="357"/>
        <w:contextualSpacing w:val="0"/>
      </w:pPr>
      <w:r w:rsidRPr="003731CD">
        <w:t>zachęcania do stosowania wszystkich narzędzi przewidzianych</w:t>
      </w:r>
      <w:r w:rsidR="003731CD" w:rsidRPr="003731CD">
        <w:t xml:space="preserve"> w prz</w:t>
      </w:r>
      <w:r w:rsidRPr="003731CD">
        <w:t>episach RODO</w:t>
      </w:r>
      <w:r w:rsidR="003731CD" w:rsidRPr="003731CD">
        <w:t xml:space="preserve"> w cel</w:t>
      </w:r>
      <w:r w:rsidRPr="003731CD">
        <w:t>u zapewnienia ich spójnego stosowania;</w:t>
      </w:r>
    </w:p>
    <w:p w:rsidR="001079A3" w:rsidRPr="003731CD" w:rsidRDefault="00BB6FCD">
      <w:pPr>
        <w:pStyle w:val="ListParagraph"/>
        <w:numPr>
          <w:ilvl w:val="0"/>
          <w:numId w:val="11"/>
        </w:numPr>
        <w:ind w:left="714" w:hanging="357"/>
        <w:contextualSpacing w:val="0"/>
      </w:pPr>
      <w:r w:rsidRPr="003731CD">
        <w:t>zacieśniania współpracy między organami ochrony danych, na przykład przez prowadzenie wspólnych dochodzeń.</w:t>
      </w:r>
    </w:p>
    <w:p w:rsidR="001079A3" w:rsidRPr="003731CD" w:rsidRDefault="00BB6FCD">
      <w:r w:rsidRPr="003731CD">
        <w:t>Komisja będzie:</w:t>
      </w:r>
    </w:p>
    <w:p w:rsidR="001079A3" w:rsidRPr="003731CD" w:rsidRDefault="00BB6FCD">
      <w:pPr>
        <w:pStyle w:val="ListParagraph"/>
        <w:numPr>
          <w:ilvl w:val="0"/>
          <w:numId w:val="11"/>
        </w:numPr>
        <w:ind w:left="714" w:hanging="357"/>
        <w:contextualSpacing w:val="0"/>
      </w:pPr>
      <w:r w:rsidRPr="003731CD">
        <w:t>nadal ściśle monitorować efektywną</w:t>
      </w:r>
      <w:r w:rsidR="003731CD" w:rsidRPr="003731CD">
        <w:t xml:space="preserve"> i peł</w:t>
      </w:r>
      <w:r w:rsidRPr="003731CD">
        <w:t>ną niezależność krajowych organów ochrony danych;</w:t>
      </w:r>
    </w:p>
    <w:p w:rsidR="001079A3" w:rsidRPr="003731CD" w:rsidRDefault="00BB6FCD">
      <w:pPr>
        <w:pStyle w:val="ListParagraph"/>
        <w:numPr>
          <w:ilvl w:val="0"/>
          <w:numId w:val="11"/>
        </w:numPr>
        <w:ind w:left="714" w:hanging="357"/>
        <w:contextualSpacing w:val="0"/>
      </w:pPr>
      <w:r w:rsidRPr="003731CD">
        <w:t>zachęcać do współpracy między organami regulacyjnymi (w szczególności</w:t>
      </w:r>
      <w:r w:rsidR="003731CD" w:rsidRPr="003731CD">
        <w:t xml:space="preserve"> w tak</w:t>
      </w:r>
      <w:r w:rsidRPr="003731CD">
        <w:t>ich obszarach jak konkurencja, łączność elektroniczna, bezpieczeństwo sieci</w:t>
      </w:r>
      <w:r w:rsidR="003731CD" w:rsidRPr="003731CD">
        <w:t xml:space="preserve"> i sys</w:t>
      </w:r>
      <w:r w:rsidRPr="003731CD">
        <w:t>temów informatycznych oraz polityka konsumencka);</w:t>
      </w:r>
    </w:p>
    <w:p w:rsidR="001079A3" w:rsidRPr="003731CD" w:rsidRDefault="00BB6FCD">
      <w:pPr>
        <w:pStyle w:val="ListParagraph"/>
        <w:numPr>
          <w:ilvl w:val="0"/>
          <w:numId w:val="11"/>
        </w:numPr>
      </w:pPr>
      <w:r w:rsidRPr="003731CD">
        <w:t>sprzyjać podejmowaniu odpowiednich działań przez EROD</w:t>
      </w:r>
      <w:r w:rsidR="003731CD" w:rsidRPr="003731CD">
        <w:t xml:space="preserve"> w kon</w:t>
      </w:r>
      <w:r w:rsidRPr="003731CD">
        <w:t>tekście procedur stosowanych przez krajowe organy ochrony danych</w:t>
      </w:r>
      <w:r w:rsidR="003731CD" w:rsidRPr="003731CD">
        <w:t xml:space="preserve"> w cel</w:t>
      </w:r>
      <w:r w:rsidRPr="003731CD">
        <w:t>u poprawy współpracy</w:t>
      </w:r>
      <w:r w:rsidR="003731CD" w:rsidRPr="003731CD">
        <w:t xml:space="preserve"> w spr</w:t>
      </w:r>
      <w:r w:rsidRPr="003731CD">
        <w:t>awach transgranicznych.</w:t>
      </w:r>
    </w:p>
    <w:p w:rsidR="001079A3" w:rsidRPr="003731CD" w:rsidRDefault="00BB6FCD">
      <w:r w:rsidRPr="003731CD">
        <w:t>Państwa członkowskie powinny</w:t>
      </w:r>
    </w:p>
    <w:p w:rsidR="001079A3" w:rsidRPr="003731CD" w:rsidRDefault="00BB6FCD">
      <w:pPr>
        <w:pStyle w:val="ListParagraph"/>
        <w:numPr>
          <w:ilvl w:val="0"/>
          <w:numId w:val="11"/>
        </w:numPr>
        <w:ind w:left="714" w:hanging="357"/>
        <w:contextualSpacing w:val="0"/>
      </w:pPr>
      <w:r w:rsidRPr="003731CD">
        <w:t>przydzielać zasoby organom ochrony danych wystarczające do wykonywania ich zadań.</w:t>
      </w:r>
    </w:p>
    <w:p w:rsidR="001079A3" w:rsidRPr="003731CD" w:rsidRDefault="001079A3"/>
    <w:p w:rsidR="001079A3" w:rsidRPr="003731CD" w:rsidRDefault="00BB6FCD">
      <w:pPr>
        <w:rPr>
          <w:i/>
        </w:rPr>
      </w:pPr>
      <w:r w:rsidRPr="003731CD">
        <w:rPr>
          <w:i/>
        </w:rPr>
        <w:t>Wspieranie zainteresowanych stron</w:t>
      </w:r>
    </w:p>
    <w:p w:rsidR="001079A3" w:rsidRPr="003731CD" w:rsidRDefault="00BB6FCD">
      <w:r w:rsidRPr="003731CD">
        <w:t>EROD oraz organy ochrony danych wzywa się do:</w:t>
      </w:r>
    </w:p>
    <w:p w:rsidR="001079A3" w:rsidRPr="003731CD" w:rsidRDefault="00BB6FCD">
      <w:pPr>
        <w:pStyle w:val="ListParagraph"/>
        <w:numPr>
          <w:ilvl w:val="0"/>
          <w:numId w:val="11"/>
        </w:numPr>
        <w:ind w:left="714" w:hanging="357"/>
        <w:contextualSpacing w:val="0"/>
      </w:pPr>
      <w:r w:rsidRPr="003731CD">
        <w:t>przyjmowania dalszych praktycznych, łatwych do zrozumienia wytycznych, które dostarczają jasnych odpowiedzi</w:t>
      </w:r>
      <w:r w:rsidR="003731CD" w:rsidRPr="003731CD">
        <w:t xml:space="preserve"> i poz</w:t>
      </w:r>
      <w:r w:rsidRPr="003731CD">
        <w:t>walają uniknąć niejednoznaczności</w:t>
      </w:r>
      <w:r w:rsidR="003731CD" w:rsidRPr="003731CD">
        <w:t xml:space="preserve"> w kwe</w:t>
      </w:r>
      <w:r w:rsidRPr="003731CD">
        <w:t>stiach związanych ze stosowaniem RODO, na przykład</w:t>
      </w:r>
      <w:r w:rsidR="003731CD" w:rsidRPr="003731CD">
        <w:t xml:space="preserve"> w odn</w:t>
      </w:r>
      <w:r w:rsidRPr="003731CD">
        <w:t>iesieniu do przetwarzania danych dzieci</w:t>
      </w:r>
      <w:r w:rsidR="003731CD" w:rsidRPr="003731CD">
        <w:t xml:space="preserve"> i osó</w:t>
      </w:r>
      <w:r w:rsidRPr="003731CD">
        <w:t>b, których dane dotyczą,</w:t>
      </w:r>
      <w:r w:rsidR="003731CD" w:rsidRPr="003731CD">
        <w:t xml:space="preserve"> w tym</w:t>
      </w:r>
      <w:r w:rsidRPr="003731CD">
        <w:t xml:space="preserve"> do korzystania</w:t>
      </w:r>
      <w:r w:rsidR="003731CD" w:rsidRPr="003731CD">
        <w:t xml:space="preserve"> z pra</w:t>
      </w:r>
      <w:r w:rsidRPr="003731CD">
        <w:t>wa do dostępu</w:t>
      </w:r>
      <w:r w:rsidR="003731CD" w:rsidRPr="003731CD">
        <w:t xml:space="preserve"> i pra</w:t>
      </w:r>
      <w:r w:rsidRPr="003731CD">
        <w:t>wa do usunięcia danych,</w:t>
      </w:r>
      <w:r w:rsidR="003731CD" w:rsidRPr="003731CD">
        <w:t xml:space="preserve"> z zai</w:t>
      </w:r>
      <w:r w:rsidRPr="003731CD">
        <w:t>nteresowanymi stronami uczestniczącymi</w:t>
      </w:r>
      <w:r w:rsidR="003731CD" w:rsidRPr="003731CD">
        <w:t xml:space="preserve"> w tym</w:t>
      </w:r>
      <w:r w:rsidRPr="003731CD">
        <w:t xml:space="preserve"> procesie;</w:t>
      </w:r>
    </w:p>
    <w:p w:rsidR="001079A3" w:rsidRPr="003731CD" w:rsidRDefault="00BB6FCD">
      <w:pPr>
        <w:pStyle w:val="ListParagraph"/>
        <w:numPr>
          <w:ilvl w:val="0"/>
          <w:numId w:val="11"/>
        </w:numPr>
        <w:ind w:left="714" w:hanging="357"/>
        <w:contextualSpacing w:val="0"/>
      </w:pPr>
      <w:r w:rsidRPr="003731CD">
        <w:t>dokonywania przeglądu wytycznych</w:t>
      </w:r>
      <w:r w:rsidR="003731CD" w:rsidRPr="003731CD">
        <w:t xml:space="preserve"> w prz</w:t>
      </w:r>
      <w:r w:rsidRPr="003731CD">
        <w:t>ypadku, gdy konieczne są dalsze wyjaśnienia</w:t>
      </w:r>
      <w:r w:rsidR="003731CD" w:rsidRPr="003731CD">
        <w:t xml:space="preserve"> w świ</w:t>
      </w:r>
      <w:r w:rsidRPr="003731CD">
        <w:t>etle doświadczeń</w:t>
      </w:r>
      <w:r w:rsidR="003731CD" w:rsidRPr="003731CD">
        <w:t xml:space="preserve"> i zmi</w:t>
      </w:r>
      <w:r w:rsidRPr="003731CD">
        <w:t>an,</w:t>
      </w:r>
      <w:r w:rsidR="003731CD" w:rsidRPr="003731CD">
        <w:t xml:space="preserve"> w tym w orz</w:t>
      </w:r>
      <w:r w:rsidRPr="003731CD">
        <w:t>ecznictwie Trybunału Sprawiedliwości;</w:t>
      </w:r>
    </w:p>
    <w:p w:rsidR="001079A3" w:rsidRPr="003731CD" w:rsidRDefault="00BB6FCD">
      <w:pPr>
        <w:pStyle w:val="ListParagraph"/>
        <w:numPr>
          <w:ilvl w:val="0"/>
          <w:numId w:val="11"/>
        </w:numPr>
        <w:ind w:left="714" w:hanging="357"/>
        <w:contextualSpacing w:val="0"/>
      </w:pPr>
      <w:r w:rsidRPr="003731CD">
        <w:t>opracowania praktycznych narzędzi, takich jak zharmonizowane formularze na potrzeby naruszeń ochrony danych oraz uproszczone rejestry działań związanych</w:t>
      </w:r>
      <w:r w:rsidR="003731CD" w:rsidRPr="003731CD">
        <w:t xml:space="preserve"> z prz</w:t>
      </w:r>
      <w:r w:rsidRPr="003731CD">
        <w:t>etwarzaniem, aby pomóc małym</w:t>
      </w:r>
      <w:r w:rsidR="003731CD" w:rsidRPr="003731CD">
        <w:t xml:space="preserve"> i śre</w:t>
      </w:r>
      <w:r w:rsidRPr="003731CD">
        <w:t>dnim przedsiębiorstwom</w:t>
      </w:r>
      <w:r w:rsidR="003731CD" w:rsidRPr="003731CD">
        <w:t xml:space="preserve"> o nis</w:t>
      </w:r>
      <w:r w:rsidRPr="003731CD">
        <w:t>kim poziomie ryzyka</w:t>
      </w:r>
      <w:r w:rsidR="003731CD" w:rsidRPr="003731CD">
        <w:t xml:space="preserve"> w wyp</w:t>
      </w:r>
      <w:r w:rsidRPr="003731CD">
        <w:t>ełnianiu ich obowiązków.</w:t>
      </w:r>
    </w:p>
    <w:p w:rsidR="001079A3" w:rsidRPr="003731CD" w:rsidRDefault="00BB6FCD">
      <w:r w:rsidRPr="003731CD">
        <w:t>Komisja będzie:</w:t>
      </w:r>
    </w:p>
    <w:p w:rsidR="001079A3" w:rsidRPr="003731CD" w:rsidRDefault="00BB6FCD">
      <w:pPr>
        <w:pStyle w:val="ListParagraph"/>
        <w:numPr>
          <w:ilvl w:val="0"/>
          <w:numId w:val="11"/>
        </w:numPr>
        <w:ind w:left="714" w:hanging="357"/>
        <w:contextualSpacing w:val="0"/>
      </w:pPr>
      <w:r w:rsidRPr="003731CD">
        <w:t>zapewniać standardowe klauzule umowne zarówno</w:t>
      </w:r>
      <w:r w:rsidR="003731CD" w:rsidRPr="003731CD">
        <w:t xml:space="preserve"> w odn</w:t>
      </w:r>
      <w:r w:rsidRPr="003731CD">
        <w:t>iesieniu do przekazywania danych za granicę, jak</w:t>
      </w:r>
      <w:r w:rsidR="003731CD" w:rsidRPr="003731CD">
        <w:t xml:space="preserve"> i rel</w:t>
      </w:r>
      <w:r w:rsidRPr="003731CD">
        <w:t>acji między administratorem danych</w:t>
      </w:r>
      <w:r w:rsidR="003731CD" w:rsidRPr="003731CD">
        <w:t xml:space="preserve"> a pod</w:t>
      </w:r>
      <w:r w:rsidRPr="003731CD">
        <w:t>miotem przetwarzającym;</w:t>
      </w:r>
    </w:p>
    <w:p w:rsidR="001079A3" w:rsidRPr="003731CD" w:rsidRDefault="00BB6FCD">
      <w:pPr>
        <w:pStyle w:val="ListParagraph"/>
        <w:numPr>
          <w:ilvl w:val="0"/>
          <w:numId w:val="11"/>
        </w:numPr>
        <w:ind w:left="714" w:hanging="357"/>
        <w:contextualSpacing w:val="0"/>
      </w:pPr>
      <w:r w:rsidRPr="003731CD">
        <w:t>zapewniać narzędzia wyjaśniające/wspierające stosowanie przepisów</w:t>
      </w:r>
      <w:r w:rsidR="003731CD" w:rsidRPr="003731CD">
        <w:t xml:space="preserve"> o och</w:t>
      </w:r>
      <w:r w:rsidRPr="003731CD">
        <w:t>ronie danych</w:t>
      </w:r>
      <w:r w:rsidR="003731CD" w:rsidRPr="003731CD">
        <w:t xml:space="preserve"> w odn</w:t>
      </w:r>
      <w:r w:rsidRPr="003731CD">
        <w:t>iesieniu do dzieci</w:t>
      </w:r>
      <w:r w:rsidRPr="003731CD">
        <w:rPr>
          <w:vertAlign w:val="superscript"/>
        </w:rPr>
        <w:footnoteReference w:id="67"/>
      </w:r>
      <w:r w:rsidRPr="003731CD">
        <w:t>;</w:t>
      </w:r>
    </w:p>
    <w:p w:rsidR="001079A3" w:rsidRPr="003731CD" w:rsidRDefault="00BB6FCD">
      <w:pPr>
        <w:pStyle w:val="ListParagraph"/>
        <w:numPr>
          <w:ilvl w:val="0"/>
          <w:numId w:val="11"/>
        </w:numPr>
        <w:contextualSpacing w:val="0"/>
      </w:pPr>
      <w:r w:rsidRPr="003731CD">
        <w:t>zgodnie ze strategią</w:t>
      </w:r>
      <w:r w:rsidR="003731CD" w:rsidRPr="003731CD">
        <w:t xml:space="preserve"> w zak</w:t>
      </w:r>
      <w:r w:rsidRPr="003731CD">
        <w:t>resie danych, badać praktyczne środki ułatwiające szerszy zakres korzystania</w:t>
      </w:r>
      <w:r w:rsidR="003731CD" w:rsidRPr="003731CD">
        <w:t xml:space="preserve"> z pra</w:t>
      </w:r>
      <w:r w:rsidRPr="003731CD">
        <w:t>wa do przenoszenia danych przez osoby fizyczne, takie jak zapewnienie im większej kontroli nad tym, kto może uzyskać dostęp do maszynowo generowanych danych i je wykorzystywać;</w:t>
      </w:r>
    </w:p>
    <w:p w:rsidR="001079A3" w:rsidRPr="003731CD" w:rsidRDefault="00BB6FCD">
      <w:pPr>
        <w:pStyle w:val="ListParagraph"/>
        <w:numPr>
          <w:ilvl w:val="0"/>
          <w:numId w:val="11"/>
        </w:numPr>
        <w:ind w:left="714" w:hanging="357"/>
        <w:contextualSpacing w:val="0"/>
      </w:pPr>
      <w:r w:rsidRPr="003731CD">
        <w:t>wspierać standaryzację/certyfikację,</w:t>
      </w:r>
      <w:r w:rsidR="003731CD" w:rsidRPr="003731CD">
        <w:t xml:space="preserve"> w szc</w:t>
      </w:r>
      <w:r w:rsidRPr="003731CD">
        <w:t>zególności</w:t>
      </w:r>
      <w:r w:rsidR="003731CD" w:rsidRPr="003731CD">
        <w:t xml:space="preserve"> w odn</w:t>
      </w:r>
      <w:r w:rsidRPr="003731CD">
        <w:t>iesieniu do aspektów cyberbezpieczeństwa, poprzez współpracę między Agencją Unii Europejskiej ds. Cyberbezpieczeństwa (ENISA), organami ochrony danych i EROD;</w:t>
      </w:r>
    </w:p>
    <w:p w:rsidR="001079A3" w:rsidRPr="003731CD" w:rsidRDefault="00BB6FCD">
      <w:pPr>
        <w:pStyle w:val="ListParagraph"/>
        <w:numPr>
          <w:ilvl w:val="0"/>
          <w:numId w:val="11"/>
        </w:numPr>
        <w:contextualSpacing w:val="0"/>
      </w:pPr>
      <w:r w:rsidRPr="003731CD">
        <w:t>w stosownych przypadkach, korzystać</w:t>
      </w:r>
      <w:r w:rsidR="003731CD" w:rsidRPr="003731CD">
        <w:t xml:space="preserve"> z pra</w:t>
      </w:r>
      <w:r w:rsidRPr="003731CD">
        <w:t>wa do zwrócenia się do EROD</w:t>
      </w:r>
      <w:r w:rsidR="003731CD" w:rsidRPr="003731CD">
        <w:t xml:space="preserve"> o prz</w:t>
      </w:r>
      <w:r w:rsidRPr="003731CD">
        <w:t>ygotowanie wytycznych</w:t>
      </w:r>
      <w:r w:rsidR="003731CD" w:rsidRPr="003731CD">
        <w:t xml:space="preserve"> i opi</w:t>
      </w:r>
      <w:r w:rsidRPr="003731CD">
        <w:t>nii na temat konkretnych kwestii istotnych dla zainteresowanych stron;</w:t>
      </w:r>
    </w:p>
    <w:p w:rsidR="001079A3" w:rsidRPr="003731CD" w:rsidRDefault="00BB6FCD">
      <w:pPr>
        <w:pStyle w:val="ListParagraph"/>
        <w:numPr>
          <w:ilvl w:val="0"/>
          <w:numId w:val="11"/>
        </w:numPr>
        <w:contextualSpacing w:val="0"/>
      </w:pPr>
      <w:r w:rsidRPr="003731CD">
        <w:t>w razie potrzeby, określać wytyczne, przy pełnym poszanowaniu roli EROD;</w:t>
      </w:r>
    </w:p>
    <w:p w:rsidR="001079A3" w:rsidRPr="003731CD" w:rsidRDefault="00BB6FCD">
      <w:pPr>
        <w:pStyle w:val="ListParagraph"/>
        <w:numPr>
          <w:ilvl w:val="0"/>
          <w:numId w:val="11"/>
        </w:numPr>
        <w:contextualSpacing w:val="0"/>
      </w:pPr>
      <w:r w:rsidRPr="003731CD">
        <w:t>wspierać działania organów ochrony danych, które ułatwiają MŚP wypełnianie obowiązków wynikających z RODO, poprzez wsparcie finansowe,</w:t>
      </w:r>
      <w:r w:rsidR="003731CD" w:rsidRPr="003731CD">
        <w:t xml:space="preserve"> w szc</w:t>
      </w:r>
      <w:r w:rsidRPr="003731CD">
        <w:t>zególności</w:t>
      </w:r>
      <w:r w:rsidR="003731CD" w:rsidRPr="003731CD">
        <w:t xml:space="preserve"> w zak</w:t>
      </w:r>
      <w:r w:rsidRPr="003731CD">
        <w:t>resie praktycznych wytycznych</w:t>
      </w:r>
      <w:r w:rsidR="003731CD" w:rsidRPr="003731CD">
        <w:t xml:space="preserve"> i nar</w:t>
      </w:r>
      <w:r w:rsidRPr="003731CD">
        <w:t>zędzi cyfrowych, które mogą być powielane</w:t>
      </w:r>
      <w:r w:rsidR="003731CD" w:rsidRPr="003731CD">
        <w:t xml:space="preserve"> w inn</w:t>
      </w:r>
      <w:r w:rsidRPr="003731CD">
        <w:t>ych państwach członkowskich.</w:t>
      </w:r>
    </w:p>
    <w:p w:rsidR="001079A3" w:rsidRPr="003731CD" w:rsidRDefault="001079A3"/>
    <w:p w:rsidR="001079A3" w:rsidRPr="003731CD" w:rsidRDefault="00BB6FCD">
      <w:pPr>
        <w:rPr>
          <w:i/>
        </w:rPr>
      </w:pPr>
      <w:r w:rsidRPr="003731CD">
        <w:rPr>
          <w:i/>
        </w:rPr>
        <w:t>Zachęcanie do nowatorstwa</w:t>
      </w:r>
    </w:p>
    <w:p w:rsidR="001079A3" w:rsidRPr="003731CD" w:rsidRDefault="00BB6FCD">
      <w:r w:rsidRPr="003731CD">
        <w:t>Komisja będzie:</w:t>
      </w:r>
    </w:p>
    <w:p w:rsidR="001079A3" w:rsidRPr="003731CD" w:rsidRDefault="00BB6FCD">
      <w:pPr>
        <w:pStyle w:val="ListParagraph"/>
        <w:numPr>
          <w:ilvl w:val="0"/>
          <w:numId w:val="11"/>
        </w:numPr>
        <w:ind w:left="714" w:hanging="357"/>
        <w:contextualSpacing w:val="0"/>
      </w:pPr>
      <w:r w:rsidRPr="003731CD">
        <w:t>monitorować stosowanie przepisów RODO</w:t>
      </w:r>
      <w:r w:rsidR="003731CD" w:rsidRPr="003731CD">
        <w:t xml:space="preserve"> w odn</w:t>
      </w:r>
      <w:r w:rsidRPr="003731CD">
        <w:t>iesieniu do nowych technologii, uwzględniając również ewentualne przyszłe inicjatywy</w:t>
      </w:r>
      <w:r w:rsidR="003731CD" w:rsidRPr="003731CD">
        <w:t xml:space="preserve"> w obs</w:t>
      </w:r>
      <w:r w:rsidRPr="003731CD">
        <w:t>zarze sztucznej inteligencji</w:t>
      </w:r>
      <w:r w:rsidR="003731CD" w:rsidRPr="003731CD">
        <w:t xml:space="preserve"> i w ram</w:t>
      </w:r>
      <w:r w:rsidRPr="003731CD">
        <w:t>ach strategii</w:t>
      </w:r>
      <w:r w:rsidR="003731CD" w:rsidRPr="003731CD">
        <w:t xml:space="preserve"> w zak</w:t>
      </w:r>
      <w:r w:rsidRPr="003731CD">
        <w:t>resie danych;</w:t>
      </w:r>
    </w:p>
    <w:p w:rsidR="001079A3" w:rsidRPr="003731CD" w:rsidRDefault="00BB6FCD">
      <w:pPr>
        <w:pStyle w:val="ListParagraph"/>
        <w:numPr>
          <w:ilvl w:val="0"/>
          <w:numId w:val="11"/>
        </w:numPr>
        <w:ind w:left="714" w:hanging="357"/>
        <w:contextualSpacing w:val="0"/>
      </w:pPr>
      <w:r w:rsidRPr="003731CD">
        <w:t>zachęcać,</w:t>
      </w:r>
      <w:r w:rsidR="003731CD" w:rsidRPr="003731CD">
        <w:t xml:space="preserve"> w tym</w:t>
      </w:r>
      <w:r w:rsidRPr="003731CD">
        <w:t xml:space="preserve"> poprzez wsparcie finansowe, do opracowywania unijnych kodeksów postępowania</w:t>
      </w:r>
      <w:r w:rsidR="003731CD" w:rsidRPr="003731CD">
        <w:t xml:space="preserve"> w dzi</w:t>
      </w:r>
      <w:r w:rsidRPr="003731CD">
        <w:t>edzinie zdrowia</w:t>
      </w:r>
      <w:r w:rsidR="003731CD" w:rsidRPr="003731CD">
        <w:t xml:space="preserve"> i bad</w:t>
      </w:r>
      <w:r w:rsidRPr="003731CD">
        <w:t>ań naukowych;</w:t>
      </w:r>
    </w:p>
    <w:p w:rsidR="001079A3" w:rsidRPr="003731CD" w:rsidRDefault="00BB6FCD">
      <w:pPr>
        <w:pStyle w:val="ListParagraph"/>
        <w:numPr>
          <w:ilvl w:val="0"/>
          <w:numId w:val="11"/>
        </w:numPr>
        <w:ind w:left="714" w:hanging="357"/>
        <w:contextualSpacing w:val="0"/>
      </w:pPr>
      <w:r w:rsidRPr="003731CD">
        <w:t>uważnie śledzić rozwój</w:t>
      </w:r>
      <w:r w:rsidR="003731CD" w:rsidRPr="003731CD">
        <w:t xml:space="preserve"> i sto</w:t>
      </w:r>
      <w:r w:rsidRPr="003731CD">
        <w:t>sowanie aplikacji</w:t>
      </w:r>
      <w:r w:rsidR="003731CD" w:rsidRPr="003731CD">
        <w:t xml:space="preserve"> w kon</w:t>
      </w:r>
      <w:r w:rsidRPr="003731CD">
        <w:t>tekście pandemii COVID-19.</w:t>
      </w:r>
    </w:p>
    <w:p w:rsidR="001079A3" w:rsidRPr="003731CD" w:rsidRDefault="00BB6FCD">
      <w:r w:rsidRPr="003731CD">
        <w:t>EROD wzywa się do:</w:t>
      </w:r>
    </w:p>
    <w:p w:rsidR="001079A3" w:rsidRPr="003731CD" w:rsidRDefault="00BB6FCD">
      <w:pPr>
        <w:pStyle w:val="ListParagraph"/>
        <w:numPr>
          <w:ilvl w:val="0"/>
          <w:numId w:val="11"/>
        </w:numPr>
        <w:ind w:left="714" w:hanging="357"/>
        <w:contextualSpacing w:val="0"/>
      </w:pPr>
      <w:r w:rsidRPr="003731CD">
        <w:t>wydawania wytycznych</w:t>
      </w:r>
      <w:r w:rsidR="003731CD" w:rsidRPr="003731CD">
        <w:t xml:space="preserve"> w spr</w:t>
      </w:r>
      <w:r w:rsidRPr="003731CD">
        <w:t>awie stosowania RODO</w:t>
      </w:r>
      <w:r w:rsidR="003731CD" w:rsidRPr="003731CD">
        <w:t xml:space="preserve"> w obs</w:t>
      </w:r>
      <w:r w:rsidRPr="003731CD">
        <w:t>zarze badań naukowych, sztucznej inteligencji, łańcucha bloków</w:t>
      </w:r>
      <w:r w:rsidR="003731CD" w:rsidRPr="003731CD">
        <w:t xml:space="preserve"> i ewe</w:t>
      </w:r>
      <w:r w:rsidRPr="003731CD">
        <w:t>ntualnych innych rozwiązań technologicznych;</w:t>
      </w:r>
    </w:p>
    <w:p w:rsidR="001079A3" w:rsidRPr="003731CD" w:rsidRDefault="00BB6FCD">
      <w:pPr>
        <w:pStyle w:val="ListParagraph"/>
        <w:numPr>
          <w:ilvl w:val="0"/>
          <w:numId w:val="11"/>
        </w:numPr>
      </w:pPr>
      <w:r w:rsidRPr="003731CD">
        <w:t>dokonywania przeglądu wytycznych,</w:t>
      </w:r>
      <w:r w:rsidR="003731CD" w:rsidRPr="003731CD">
        <w:t xml:space="preserve"> w prz</w:t>
      </w:r>
      <w:r w:rsidRPr="003731CD">
        <w:t>ypadku gdy konieczne są dalsze wyjaśnienia</w:t>
      </w:r>
      <w:r w:rsidR="003731CD" w:rsidRPr="003731CD">
        <w:t xml:space="preserve"> w kon</w:t>
      </w:r>
      <w:r w:rsidRPr="003731CD">
        <w:t>tekście rozwoju technologicznego.</w:t>
      </w:r>
    </w:p>
    <w:p w:rsidR="001079A3" w:rsidRPr="003731CD" w:rsidRDefault="001079A3"/>
    <w:p w:rsidR="001079A3" w:rsidRPr="003731CD" w:rsidRDefault="00BB6FCD">
      <w:pPr>
        <w:rPr>
          <w:i/>
        </w:rPr>
      </w:pPr>
      <w:r w:rsidRPr="003731CD">
        <w:rPr>
          <w:i/>
        </w:rPr>
        <w:t>Dalszy rozwój zestawu narzędzi służących do przekazywania danych</w:t>
      </w:r>
    </w:p>
    <w:p w:rsidR="001079A3" w:rsidRPr="003731CD" w:rsidRDefault="00BB6FCD">
      <w:r w:rsidRPr="003731CD">
        <w:t>Komisja będzie:</w:t>
      </w:r>
    </w:p>
    <w:p w:rsidR="001079A3" w:rsidRPr="003731CD" w:rsidRDefault="00BB6FCD">
      <w:pPr>
        <w:pStyle w:val="ListParagraph"/>
        <w:numPr>
          <w:ilvl w:val="0"/>
          <w:numId w:val="11"/>
        </w:numPr>
        <w:ind w:left="714" w:hanging="357"/>
        <w:contextualSpacing w:val="0"/>
      </w:pPr>
      <w:r w:rsidRPr="003731CD">
        <w:t>prowadzić dialog na temat odpowiedniej ochrony danych osobowych</w:t>
      </w:r>
      <w:r w:rsidR="003731CD" w:rsidRPr="003731CD">
        <w:t xml:space="preserve"> z zai</w:t>
      </w:r>
      <w:r w:rsidRPr="003731CD">
        <w:t>nteresowanymi państwami trzecimi, zgodnie ze strategią określoną</w:t>
      </w:r>
      <w:r w:rsidR="003731CD" w:rsidRPr="003731CD">
        <w:t xml:space="preserve"> w kom</w:t>
      </w:r>
      <w:r w:rsidRPr="003731CD">
        <w:t>unikacie</w:t>
      </w:r>
      <w:r w:rsidR="003731CD" w:rsidRPr="003731CD">
        <w:t xml:space="preserve"> z 2</w:t>
      </w:r>
      <w:r w:rsidRPr="003731CD">
        <w:t>017</w:t>
      </w:r>
      <w:r w:rsidR="003731CD" w:rsidRPr="003731CD">
        <w:t> </w:t>
      </w:r>
      <w:r w:rsidRPr="003731CD">
        <w:t>r. pt. „Wymiana</w:t>
      </w:r>
      <w:r w:rsidR="003731CD" w:rsidRPr="003731CD">
        <w:t xml:space="preserve"> i och</w:t>
      </w:r>
      <w:r w:rsidRPr="003731CD">
        <w:t>rona danych osobowych</w:t>
      </w:r>
      <w:r w:rsidR="003731CD" w:rsidRPr="003731CD">
        <w:t xml:space="preserve"> w zgl</w:t>
      </w:r>
      <w:r w:rsidRPr="003731CD">
        <w:t>obalizowanym świecie”,</w:t>
      </w:r>
      <w:r w:rsidR="003731CD" w:rsidRPr="003731CD">
        <w:t xml:space="preserve"> w tym</w:t>
      </w:r>
      <w:r w:rsidRPr="003731CD">
        <w:t>,</w:t>
      </w:r>
      <w:r w:rsidR="003731CD" w:rsidRPr="003731CD">
        <w:t xml:space="preserve"> w mia</w:t>
      </w:r>
      <w:r w:rsidRPr="003731CD">
        <w:t>rę możliwości, uwzględniając przekazywanie danych organom ścigania (na mocy dyrektywy</w:t>
      </w:r>
      <w:r w:rsidR="003731CD" w:rsidRPr="003731CD">
        <w:t xml:space="preserve"> o och</w:t>
      </w:r>
      <w:r w:rsidRPr="003731CD">
        <w:t>ronie danych</w:t>
      </w:r>
      <w:r w:rsidR="003731CD" w:rsidRPr="003731CD">
        <w:t xml:space="preserve"> w spr</w:t>
      </w:r>
      <w:r w:rsidRPr="003731CD">
        <w:t>awach karnych)</w:t>
      </w:r>
      <w:r w:rsidR="003731CD" w:rsidRPr="003731CD">
        <w:t xml:space="preserve"> i inn</w:t>
      </w:r>
      <w:r w:rsidRPr="003731CD">
        <w:t>ym organom publicznym; obejmuje to również finalizację procesu stwierdzenie odpowiedniego stopnia ochrony</w:t>
      </w:r>
      <w:r w:rsidR="003731CD" w:rsidRPr="003731CD">
        <w:t xml:space="preserve"> w odn</w:t>
      </w:r>
      <w:r w:rsidRPr="003731CD">
        <w:t>iesieniu do Republiki Korei tak szybko, jak to możliwe;</w:t>
      </w:r>
    </w:p>
    <w:p w:rsidR="001079A3" w:rsidRPr="003731CD" w:rsidRDefault="00BB6FCD">
      <w:pPr>
        <w:pStyle w:val="ListParagraph"/>
        <w:numPr>
          <w:ilvl w:val="0"/>
          <w:numId w:val="11"/>
        </w:numPr>
        <w:ind w:left="714" w:hanging="357"/>
        <w:contextualSpacing w:val="0"/>
      </w:pPr>
      <w:r w:rsidRPr="003731CD">
        <w:t>odpowiedzialna za finalizację trwającej oceny istniejących decyzji stwierdzających odpowiedni stopień ochrony danych osobowych</w:t>
      </w:r>
      <w:r w:rsidR="003731CD" w:rsidRPr="003731CD">
        <w:t xml:space="preserve"> i zło</w:t>
      </w:r>
      <w:r w:rsidRPr="003731CD">
        <w:t>żenie sprawozdań Parlamentowi Europejskiemu</w:t>
      </w:r>
      <w:r w:rsidR="003731CD" w:rsidRPr="003731CD">
        <w:t xml:space="preserve"> i Rad</w:t>
      </w:r>
      <w:r w:rsidRPr="003731CD">
        <w:t>zie;</w:t>
      </w:r>
    </w:p>
    <w:p w:rsidR="001079A3" w:rsidRPr="003731CD" w:rsidRDefault="00BB6FCD">
      <w:pPr>
        <w:pStyle w:val="ListParagraph"/>
        <w:numPr>
          <w:ilvl w:val="0"/>
          <w:numId w:val="11"/>
        </w:numPr>
        <w:ind w:left="714" w:hanging="357"/>
        <w:contextualSpacing w:val="0"/>
      </w:pPr>
      <w:r w:rsidRPr="003731CD">
        <w:t>odpowiedzialna za finalizację prac nad modernizacją standardowych klauzul umownych –</w:t>
      </w:r>
      <w:r w:rsidR="003731CD" w:rsidRPr="003731CD">
        <w:t xml:space="preserve"> w cel</w:t>
      </w:r>
      <w:r w:rsidRPr="003731CD">
        <w:t>u ich aktualizacji</w:t>
      </w:r>
      <w:r w:rsidR="003731CD" w:rsidRPr="003731CD">
        <w:t xml:space="preserve"> w świ</w:t>
      </w:r>
      <w:r w:rsidRPr="003731CD">
        <w:t>etle ogólnego rozporządzenia</w:t>
      </w:r>
      <w:r w:rsidR="003731CD" w:rsidRPr="003731CD">
        <w:t xml:space="preserve"> o och</w:t>
      </w:r>
      <w:r w:rsidRPr="003731CD">
        <w:t>ronie danych – obejmujących wszystkie istotne scenariusze przekazywania</w:t>
      </w:r>
      <w:r w:rsidR="003731CD" w:rsidRPr="003731CD">
        <w:t xml:space="preserve"> i lep</w:t>
      </w:r>
      <w:r w:rsidRPr="003731CD">
        <w:t>iej odzwierciedlających nowoczesne praktyki biznesowe.</w:t>
      </w:r>
    </w:p>
    <w:p w:rsidR="001079A3" w:rsidRPr="003731CD" w:rsidRDefault="00BB6FCD">
      <w:r w:rsidRPr="003731CD">
        <w:t>EROD wzywa się do:</w:t>
      </w:r>
    </w:p>
    <w:p w:rsidR="001079A3" w:rsidRPr="003731CD" w:rsidRDefault="00BB6FCD">
      <w:pPr>
        <w:pStyle w:val="ListParagraph"/>
        <w:numPr>
          <w:ilvl w:val="0"/>
          <w:numId w:val="11"/>
        </w:numPr>
        <w:ind w:left="714" w:hanging="357"/>
        <w:contextualSpacing w:val="0"/>
      </w:pPr>
      <w:r w:rsidRPr="003731CD">
        <w:t>dalszego doprecyzowania powiązań między przepisami dotyczącymi przekazywania danych za granicę (rozdział V)</w:t>
      </w:r>
      <w:r w:rsidR="003731CD" w:rsidRPr="003731CD">
        <w:t xml:space="preserve"> a ter</w:t>
      </w:r>
      <w:r w:rsidRPr="003731CD">
        <w:t>ytorialnym zakresem stosowania RODO (art.</w:t>
      </w:r>
      <w:r w:rsidR="003731CD" w:rsidRPr="003731CD">
        <w:t> </w:t>
      </w:r>
      <w:r w:rsidRPr="003731CD">
        <w:t>3);</w:t>
      </w:r>
    </w:p>
    <w:p w:rsidR="001079A3" w:rsidRPr="003731CD" w:rsidRDefault="00BB6FCD">
      <w:pPr>
        <w:pStyle w:val="ListParagraph"/>
        <w:numPr>
          <w:ilvl w:val="0"/>
          <w:numId w:val="11"/>
        </w:numPr>
        <w:ind w:left="714" w:hanging="357"/>
        <w:contextualSpacing w:val="0"/>
      </w:pPr>
      <w:r w:rsidRPr="003731CD">
        <w:t>zapewnienia skutecznego egzekwowania przepisów</w:t>
      </w:r>
      <w:r w:rsidR="003731CD" w:rsidRPr="003731CD">
        <w:t xml:space="preserve"> w odn</w:t>
      </w:r>
      <w:r w:rsidRPr="003731CD">
        <w:t>iesieniu do podmiotów mających siedzibę</w:t>
      </w:r>
      <w:r w:rsidR="003731CD" w:rsidRPr="003731CD">
        <w:t xml:space="preserve"> w pań</w:t>
      </w:r>
      <w:r w:rsidRPr="003731CD">
        <w:t>stwach trzecich objętych zakresem terytorialnym RODO,</w:t>
      </w:r>
      <w:r w:rsidR="003731CD" w:rsidRPr="003731CD">
        <w:t xml:space="preserve"> w tym w odn</w:t>
      </w:r>
      <w:r w:rsidRPr="003731CD">
        <w:t>iesieniu do wyznaczenia przedstawiciela,</w:t>
      </w:r>
      <w:r w:rsidR="003731CD" w:rsidRPr="003731CD">
        <w:t xml:space="preserve"> w sto</w:t>
      </w:r>
      <w:r w:rsidRPr="003731CD">
        <w:t>sownych przypadkach (art.</w:t>
      </w:r>
      <w:r w:rsidR="003731CD" w:rsidRPr="003731CD">
        <w:t> </w:t>
      </w:r>
      <w:r w:rsidRPr="003731CD">
        <w:t>27);</w:t>
      </w:r>
    </w:p>
    <w:p w:rsidR="001079A3" w:rsidRPr="003731CD" w:rsidRDefault="00BB6FCD">
      <w:pPr>
        <w:pStyle w:val="ListParagraph"/>
        <w:numPr>
          <w:ilvl w:val="0"/>
          <w:numId w:val="11"/>
        </w:numPr>
        <w:ind w:left="714" w:hanging="357"/>
        <w:contextualSpacing w:val="0"/>
      </w:pPr>
      <w:r w:rsidRPr="003731CD">
        <w:t>usprawnienia oceny</w:t>
      </w:r>
      <w:r w:rsidR="003731CD" w:rsidRPr="003731CD">
        <w:t xml:space="preserve"> i ost</w:t>
      </w:r>
      <w:r w:rsidRPr="003731CD">
        <w:t>atecznego zatwierdzenia wiążących reguł korporacyjnych</w:t>
      </w:r>
      <w:r w:rsidR="003731CD" w:rsidRPr="003731CD">
        <w:t xml:space="preserve"> w cel</w:t>
      </w:r>
      <w:r w:rsidRPr="003731CD">
        <w:t>u przyspieszenia procesu;</w:t>
      </w:r>
    </w:p>
    <w:p w:rsidR="001079A3" w:rsidRPr="003731CD" w:rsidRDefault="00BB6FCD">
      <w:pPr>
        <w:pStyle w:val="ListParagraph"/>
        <w:numPr>
          <w:ilvl w:val="0"/>
          <w:numId w:val="11"/>
        </w:numPr>
        <w:ind w:left="714" w:hanging="357"/>
        <w:contextualSpacing w:val="0"/>
      </w:pPr>
      <w:r w:rsidRPr="003731CD">
        <w:t>zakończenia prac nad strukturą, procedurami</w:t>
      </w:r>
      <w:r w:rsidR="003731CD" w:rsidRPr="003731CD">
        <w:t xml:space="preserve"> i kry</w:t>
      </w:r>
      <w:r w:rsidRPr="003731CD">
        <w:t>teriami oceny</w:t>
      </w:r>
      <w:r w:rsidR="003731CD" w:rsidRPr="003731CD">
        <w:t xml:space="preserve"> w odn</w:t>
      </w:r>
      <w:r w:rsidRPr="003731CD">
        <w:t>iesieniu do kodeksów postępowania</w:t>
      </w:r>
      <w:r w:rsidR="003731CD" w:rsidRPr="003731CD">
        <w:t xml:space="preserve"> i mec</w:t>
      </w:r>
      <w:r w:rsidRPr="003731CD">
        <w:t>hanizmów certyfikacji jako narzędzi przekazywania danych.</w:t>
      </w:r>
    </w:p>
    <w:p w:rsidR="001079A3" w:rsidRPr="003731CD" w:rsidRDefault="001079A3"/>
    <w:p w:rsidR="001079A3" w:rsidRPr="003731CD" w:rsidRDefault="00BB6FCD">
      <w:pPr>
        <w:rPr>
          <w:i/>
        </w:rPr>
      </w:pPr>
      <w:r w:rsidRPr="003731CD">
        <w:rPr>
          <w:i/>
        </w:rPr>
        <w:t>Promowanie konwergencji</w:t>
      </w:r>
      <w:r w:rsidR="003731CD" w:rsidRPr="003731CD">
        <w:rPr>
          <w:i/>
        </w:rPr>
        <w:t xml:space="preserve"> i roz</w:t>
      </w:r>
      <w:r w:rsidRPr="003731CD">
        <w:rPr>
          <w:i/>
        </w:rPr>
        <w:t>wijanie współpracy międzynarodowej</w:t>
      </w:r>
    </w:p>
    <w:p w:rsidR="001079A3" w:rsidRPr="003731CD" w:rsidRDefault="00BB6FCD">
      <w:r w:rsidRPr="003731CD">
        <w:t>Komisja będzie:</w:t>
      </w:r>
    </w:p>
    <w:p w:rsidR="001079A3" w:rsidRPr="003731CD" w:rsidRDefault="00BB6FCD">
      <w:pPr>
        <w:pStyle w:val="ListParagraph"/>
        <w:numPr>
          <w:ilvl w:val="0"/>
          <w:numId w:val="11"/>
        </w:numPr>
        <w:ind w:left="714" w:hanging="357"/>
        <w:contextualSpacing w:val="0"/>
      </w:pPr>
      <w:r w:rsidRPr="003731CD">
        <w:t>wspierać trwające procesy reform</w:t>
      </w:r>
      <w:r w:rsidR="003731CD" w:rsidRPr="003731CD">
        <w:t xml:space="preserve"> w pań</w:t>
      </w:r>
      <w:r w:rsidRPr="003731CD">
        <w:t>stwach trzecich</w:t>
      </w:r>
      <w:r w:rsidR="003731CD" w:rsidRPr="003731CD">
        <w:t xml:space="preserve"> w zak</w:t>
      </w:r>
      <w:r w:rsidRPr="003731CD">
        <w:t>resie nowych lub zmodernizowanych przepisów</w:t>
      </w:r>
      <w:r w:rsidR="003731CD" w:rsidRPr="003731CD">
        <w:t xml:space="preserve"> o och</w:t>
      </w:r>
      <w:r w:rsidRPr="003731CD">
        <w:t>ronie danych przez dzielenie się doświadczeniami</w:t>
      </w:r>
      <w:r w:rsidR="003731CD" w:rsidRPr="003731CD">
        <w:t xml:space="preserve"> i naj</w:t>
      </w:r>
      <w:r w:rsidRPr="003731CD">
        <w:t>lepszymi praktykami;</w:t>
      </w:r>
    </w:p>
    <w:p w:rsidR="001079A3" w:rsidRPr="003731CD" w:rsidRDefault="00BB6FCD">
      <w:pPr>
        <w:pStyle w:val="ListParagraph"/>
        <w:numPr>
          <w:ilvl w:val="0"/>
          <w:numId w:val="11"/>
        </w:numPr>
        <w:ind w:left="714" w:hanging="357"/>
        <w:contextualSpacing w:val="0"/>
      </w:pPr>
      <w:r w:rsidRPr="003731CD">
        <w:t>współpracować</w:t>
      </w:r>
      <w:r w:rsidR="003731CD" w:rsidRPr="003731CD">
        <w:t xml:space="preserve"> z par</w:t>
      </w:r>
      <w:r w:rsidRPr="003731CD">
        <w:t>tnerami</w:t>
      </w:r>
      <w:r w:rsidR="003731CD" w:rsidRPr="003731CD">
        <w:t xml:space="preserve"> z Afr</w:t>
      </w:r>
      <w:r w:rsidRPr="003731CD">
        <w:t>yki</w:t>
      </w:r>
      <w:r w:rsidR="003731CD" w:rsidRPr="003731CD">
        <w:t xml:space="preserve"> w cel</w:t>
      </w:r>
      <w:r w:rsidRPr="003731CD">
        <w:t>u promowania konwergencji regulacyjnej</w:t>
      </w:r>
      <w:r w:rsidR="003731CD" w:rsidRPr="003731CD">
        <w:t xml:space="preserve"> i wsp</w:t>
      </w:r>
      <w:r w:rsidRPr="003731CD">
        <w:t>ierania budowania zdolności organów nadzorczych</w:t>
      </w:r>
      <w:r w:rsidR="003731CD" w:rsidRPr="003731CD">
        <w:t xml:space="preserve"> w ram</w:t>
      </w:r>
      <w:r w:rsidRPr="003731CD">
        <w:t>ach rozdziału cyfrowego nowego partnerstwa między UE</w:t>
      </w:r>
      <w:r w:rsidR="003731CD" w:rsidRPr="003731CD">
        <w:t xml:space="preserve"> a Afr</w:t>
      </w:r>
      <w:r w:rsidRPr="003731CD">
        <w:t>yką;</w:t>
      </w:r>
    </w:p>
    <w:p w:rsidR="001079A3" w:rsidRPr="003731CD" w:rsidRDefault="00BB6FCD">
      <w:pPr>
        <w:pStyle w:val="ListParagraph"/>
        <w:numPr>
          <w:ilvl w:val="0"/>
          <w:numId w:val="11"/>
        </w:numPr>
        <w:ind w:left="714" w:hanging="357"/>
        <w:contextualSpacing w:val="0"/>
      </w:pPr>
      <w:r w:rsidRPr="003731CD">
        <w:t>prowadzić ocenę możliwości ułatwienia współpracy między podmiotami prywatnymi</w:t>
      </w:r>
      <w:r w:rsidR="003731CD" w:rsidRPr="003731CD">
        <w:t xml:space="preserve"> a org</w:t>
      </w:r>
      <w:r w:rsidRPr="003731CD">
        <w:t>anami ścigania,</w:t>
      </w:r>
      <w:r w:rsidR="003731CD" w:rsidRPr="003731CD">
        <w:t xml:space="preserve"> w tym</w:t>
      </w:r>
      <w:r w:rsidRPr="003731CD">
        <w:t xml:space="preserve"> przez negocjowanie dwustronnych</w:t>
      </w:r>
      <w:r w:rsidR="003731CD" w:rsidRPr="003731CD">
        <w:t xml:space="preserve"> i wie</w:t>
      </w:r>
      <w:r w:rsidRPr="003731CD">
        <w:t>lostronnych ram przekazywania danych</w:t>
      </w:r>
      <w:r w:rsidR="003731CD" w:rsidRPr="003731CD">
        <w:t xml:space="preserve"> w kon</w:t>
      </w:r>
      <w:r w:rsidRPr="003731CD">
        <w:t>tekście dostępu zagranicznych organów ścigania do dowodów elektronicznych, aby uniknąć kolizji przepisów przy jednoczesnym zapewnieniu odpowiednich zabezpieczeń</w:t>
      </w:r>
      <w:r w:rsidR="003731CD" w:rsidRPr="003731CD">
        <w:t xml:space="preserve"> w zak</w:t>
      </w:r>
      <w:r w:rsidRPr="003731CD">
        <w:t>resie ochrony danych;</w:t>
      </w:r>
    </w:p>
    <w:p w:rsidR="001079A3" w:rsidRPr="003731CD" w:rsidRDefault="00BB6FCD">
      <w:pPr>
        <w:pStyle w:val="ListParagraph"/>
        <w:numPr>
          <w:ilvl w:val="0"/>
          <w:numId w:val="11"/>
        </w:numPr>
        <w:ind w:left="714" w:hanging="357"/>
        <w:contextualSpacing w:val="0"/>
      </w:pPr>
      <w:r w:rsidRPr="003731CD">
        <w:t>współpracować</w:t>
      </w:r>
      <w:r w:rsidR="003731CD" w:rsidRPr="003731CD">
        <w:t xml:space="preserve"> z org</w:t>
      </w:r>
      <w:r w:rsidRPr="003731CD">
        <w:t>anizacjami międzynarodowymi</w:t>
      </w:r>
      <w:r w:rsidR="003731CD" w:rsidRPr="003731CD">
        <w:t xml:space="preserve"> i reg</w:t>
      </w:r>
      <w:r w:rsidRPr="003731CD">
        <w:t>ionalnymi, takimi jak OECD, ASEAN lub grupa G-20,</w:t>
      </w:r>
      <w:r w:rsidR="003731CD" w:rsidRPr="003731CD">
        <w:t xml:space="preserve"> w cel</w:t>
      </w:r>
      <w:r w:rsidRPr="003731CD">
        <w:t>u wspierania zaufanych przepływów danych</w:t>
      </w:r>
      <w:r w:rsidR="003731CD" w:rsidRPr="003731CD">
        <w:t xml:space="preserve"> w opa</w:t>
      </w:r>
      <w:r w:rsidRPr="003731CD">
        <w:t>rciu</w:t>
      </w:r>
      <w:r w:rsidR="003731CD" w:rsidRPr="003731CD">
        <w:t xml:space="preserve"> o wys</w:t>
      </w:r>
      <w:r w:rsidRPr="003731CD">
        <w:t>okie standardy ochrony danych,</w:t>
      </w:r>
      <w:r w:rsidR="003731CD" w:rsidRPr="003731CD">
        <w:t xml:space="preserve"> w tym w kon</w:t>
      </w:r>
      <w:r w:rsidRPr="003731CD">
        <w:t>tekście inicjatywy „Data Free Flow with Trust”;</w:t>
      </w:r>
    </w:p>
    <w:p w:rsidR="001079A3" w:rsidRPr="003731CD" w:rsidRDefault="00BB6FCD">
      <w:pPr>
        <w:pStyle w:val="ListParagraph"/>
        <w:numPr>
          <w:ilvl w:val="0"/>
          <w:numId w:val="11"/>
        </w:numPr>
        <w:ind w:left="714" w:hanging="357"/>
        <w:contextualSpacing w:val="0"/>
      </w:pPr>
      <w:r w:rsidRPr="003731CD">
        <w:t>odpowiedzialna za utworzenie Akademii Ochrony Danych</w:t>
      </w:r>
      <w:r w:rsidR="003731CD" w:rsidRPr="003731CD">
        <w:t xml:space="preserve"> w cel</w:t>
      </w:r>
      <w:r w:rsidRPr="003731CD">
        <w:t>u ułatwienia</w:t>
      </w:r>
      <w:r w:rsidR="003731CD" w:rsidRPr="003731CD">
        <w:t xml:space="preserve"> i wsp</w:t>
      </w:r>
      <w:r w:rsidRPr="003731CD">
        <w:t>ierania przekazywania danych między europejskimi</w:t>
      </w:r>
      <w:r w:rsidR="003731CD" w:rsidRPr="003731CD">
        <w:t xml:space="preserve"> i mię</w:t>
      </w:r>
      <w:r w:rsidRPr="003731CD">
        <w:t>dzynarodowymi organami regulacyjnymi;</w:t>
      </w:r>
    </w:p>
    <w:p w:rsidR="001079A3" w:rsidRPr="003731CD" w:rsidRDefault="00BB6FCD">
      <w:pPr>
        <w:pStyle w:val="ListParagraph"/>
        <w:numPr>
          <w:ilvl w:val="0"/>
          <w:numId w:val="11"/>
        </w:numPr>
        <w:ind w:left="714" w:hanging="357"/>
        <w:contextualSpacing w:val="0"/>
      </w:pPr>
      <w:r w:rsidRPr="003731CD">
        <w:t>wspierać międzynarodową współpracę</w:t>
      </w:r>
      <w:r w:rsidR="003731CD" w:rsidRPr="003731CD">
        <w:t xml:space="preserve"> w zak</w:t>
      </w:r>
      <w:r w:rsidRPr="003731CD">
        <w:t>resie egzekwowania prawa między organami nadzoru,</w:t>
      </w:r>
      <w:r w:rsidR="003731CD" w:rsidRPr="003731CD">
        <w:t xml:space="preserve"> w tym</w:t>
      </w:r>
      <w:r w:rsidRPr="003731CD">
        <w:t xml:space="preserve"> przez negocjowanie umów</w:t>
      </w:r>
      <w:r w:rsidR="003731CD" w:rsidRPr="003731CD">
        <w:t xml:space="preserve"> o wsp</w:t>
      </w:r>
      <w:r w:rsidRPr="003731CD">
        <w:t>ółpracy</w:t>
      </w:r>
      <w:r w:rsidR="003731CD" w:rsidRPr="003731CD">
        <w:t xml:space="preserve"> i wza</w:t>
      </w:r>
      <w:r w:rsidRPr="003731CD">
        <w:t>jemnej pomocy.</w:t>
      </w:r>
    </w:p>
    <w:p w:rsidR="001079A3" w:rsidRPr="003731CD" w:rsidRDefault="001079A3">
      <w:bookmarkStart w:id="69" w:name="_Toc39137021"/>
      <w:bookmarkStart w:id="70" w:name="_Toc39137052"/>
      <w:bookmarkStart w:id="71" w:name="_Toc39092793"/>
      <w:bookmarkStart w:id="72" w:name="_Toc39137022"/>
      <w:bookmarkStart w:id="73" w:name="_Toc39137053"/>
      <w:bookmarkStart w:id="74" w:name="_Toc38821611"/>
      <w:bookmarkStart w:id="75" w:name="_Toc39092794"/>
      <w:bookmarkStart w:id="76" w:name="_Toc39137023"/>
      <w:bookmarkStart w:id="77" w:name="_Toc39137054"/>
      <w:bookmarkEnd w:id="69"/>
      <w:bookmarkEnd w:id="70"/>
      <w:bookmarkEnd w:id="71"/>
      <w:bookmarkEnd w:id="72"/>
      <w:bookmarkEnd w:id="73"/>
      <w:bookmarkEnd w:id="74"/>
      <w:bookmarkEnd w:id="75"/>
      <w:bookmarkEnd w:id="76"/>
      <w:bookmarkEnd w:id="77"/>
    </w:p>
    <w:sectPr w:rsidR="001079A3" w:rsidRPr="003731CD">
      <w:headerReference w:type="even" r:id="rId18"/>
      <w:headerReference w:type="default" r:id="rId19"/>
      <w:footerReference w:type="even" r:id="rId20"/>
      <w:footerReference w:type="default" r:id="rId21"/>
      <w:headerReference w:type="first" r:id="rId22"/>
      <w:footerReference w:type="first" r:id="rId23"/>
      <w:pgSz w:w="11901" w:h="16817"/>
      <w:pgMar w:top="1440" w:right="1797" w:bottom="1440" w:left="1797" w:header="720" w:footer="720"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5716BF" w16cid:durableId="2294BC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9A3" w:rsidRPr="003731CD" w:rsidRDefault="00BB6FCD">
      <w:r w:rsidRPr="003731CD">
        <w:separator/>
      </w:r>
    </w:p>
  </w:endnote>
  <w:endnote w:type="continuationSeparator" w:id="0">
    <w:p w:rsidR="001079A3" w:rsidRPr="003731CD" w:rsidRDefault="00BB6FCD">
      <w:r w:rsidRPr="003731CD">
        <w:continuationSeparator/>
      </w:r>
    </w:p>
  </w:endnote>
  <w:endnote w:type="continuationNotice" w:id="1">
    <w:p w:rsidR="001079A3" w:rsidRPr="003731CD" w:rsidRDefault="001079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2C5" w:rsidRPr="007462C5" w:rsidRDefault="007462C5" w:rsidP="00746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2C5" w:rsidRPr="007462C5" w:rsidRDefault="007462C5" w:rsidP="007462C5">
    <w:pPr>
      <w:pStyle w:val="FooterCoverPage"/>
      <w:rPr>
        <w:rFonts w:ascii="Arial" w:hAnsi="Arial" w:cs="Arial"/>
        <w:b/>
        <w:sz w:val="48"/>
      </w:rPr>
    </w:pPr>
    <w:r w:rsidRPr="007462C5">
      <w:rPr>
        <w:rFonts w:ascii="Arial" w:hAnsi="Arial" w:cs="Arial"/>
        <w:b/>
        <w:sz w:val="48"/>
      </w:rPr>
      <w:t>PL</w:t>
    </w:r>
    <w:r w:rsidRPr="007462C5">
      <w:rPr>
        <w:rFonts w:ascii="Arial" w:hAnsi="Arial" w:cs="Arial"/>
        <w:b/>
        <w:sz w:val="48"/>
      </w:rPr>
      <w:tab/>
    </w:r>
    <w:r w:rsidRPr="007462C5">
      <w:rPr>
        <w:rFonts w:ascii="Arial" w:hAnsi="Arial" w:cs="Arial"/>
        <w:b/>
        <w:sz w:val="48"/>
      </w:rPr>
      <w:tab/>
    </w:r>
    <w:r w:rsidRPr="007462C5">
      <w:tab/>
    </w:r>
    <w:proofErr w:type="spellStart"/>
    <w:r w:rsidRPr="007462C5">
      <w:rPr>
        <w:rFonts w:ascii="Arial" w:hAnsi="Arial" w:cs="Arial"/>
        <w:b/>
        <w:sz w:val="48"/>
      </w:rPr>
      <w:t>PL</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2C5" w:rsidRPr="007462C5" w:rsidRDefault="007462C5" w:rsidP="007462C5">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07715328"/>
      <w:docPartObj>
        <w:docPartGallery w:val="Page Numbers (Bottom of Page)"/>
        <w:docPartUnique/>
      </w:docPartObj>
    </w:sdtPr>
    <w:sdtEndPr>
      <w:rPr>
        <w:rStyle w:val="PageNumber"/>
      </w:rPr>
    </w:sdtEndPr>
    <w:sdtContent>
      <w:p w:rsidR="001079A3" w:rsidRDefault="00BB6FC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079A3" w:rsidRDefault="001079A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9A3" w:rsidRDefault="00BB6FCD">
    <w:pPr>
      <w:pStyle w:val="Footer"/>
      <w:jc w:val="center"/>
      <w:rPr>
        <w:caps/>
      </w:rPr>
    </w:pPr>
    <w:r>
      <w:rPr>
        <w:caps/>
      </w:rPr>
      <w:fldChar w:fldCharType="begin"/>
    </w:r>
    <w:r>
      <w:rPr>
        <w:caps/>
      </w:rPr>
      <w:instrText>PAGE   \* MERGEFORMAT</w:instrText>
    </w:r>
    <w:r>
      <w:rPr>
        <w:caps/>
      </w:rPr>
      <w:fldChar w:fldCharType="separate"/>
    </w:r>
    <w:r w:rsidR="007462C5">
      <w:rPr>
        <w:caps/>
        <w:noProof/>
      </w:rPr>
      <w:t>20</w:t>
    </w:r>
    <w:r>
      <w:rPr>
        <w:caps/>
      </w:rPr>
      <w:fldChar w:fldCharType="end"/>
    </w:r>
  </w:p>
  <w:p w:rsidR="001079A3" w:rsidRDefault="001079A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9A3" w:rsidRDefault="00107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9A3" w:rsidRPr="003731CD" w:rsidRDefault="00BB6FCD">
      <w:r w:rsidRPr="003731CD">
        <w:separator/>
      </w:r>
    </w:p>
  </w:footnote>
  <w:footnote w:type="continuationSeparator" w:id="0">
    <w:p w:rsidR="001079A3" w:rsidRPr="003731CD" w:rsidRDefault="00BB6FCD">
      <w:r w:rsidRPr="003731CD">
        <w:continuationSeparator/>
      </w:r>
    </w:p>
  </w:footnote>
  <w:footnote w:type="continuationNotice" w:id="1">
    <w:p w:rsidR="001079A3" w:rsidRPr="003731CD" w:rsidRDefault="001079A3">
      <w:pPr>
        <w:spacing w:after="0"/>
      </w:pPr>
    </w:p>
  </w:footnote>
  <w:footnote w:id="2">
    <w:p w:rsidR="001079A3" w:rsidRPr="003731CD" w:rsidRDefault="00BB6FCD">
      <w:pPr>
        <w:pStyle w:val="NormalWeb"/>
        <w:spacing w:after="75"/>
      </w:pPr>
      <w:r w:rsidRPr="003731CD">
        <w:rPr>
          <w:rStyle w:val="FootnoteReference"/>
        </w:rPr>
        <w:footnoteRef/>
      </w:r>
      <w:r w:rsidRPr="003731CD">
        <w:t xml:space="preserve"> </w:t>
      </w:r>
      <w:r w:rsidRPr="003731CD">
        <w:rPr>
          <w:sz w:val="20"/>
          <w:szCs w:val="20"/>
        </w:rPr>
        <w:t>Rozporządzenie (UE) 2016/679 Parlamentu Europejskiego</w:t>
      </w:r>
      <w:r w:rsidR="003731CD" w:rsidRPr="003731CD">
        <w:rPr>
          <w:sz w:val="20"/>
          <w:szCs w:val="20"/>
        </w:rPr>
        <w:t xml:space="preserve"> i Rad</w:t>
      </w:r>
      <w:r w:rsidRPr="003731CD">
        <w:rPr>
          <w:sz w:val="20"/>
          <w:szCs w:val="20"/>
        </w:rPr>
        <w:t>y</w:t>
      </w:r>
      <w:r w:rsidR="003731CD" w:rsidRPr="003731CD">
        <w:rPr>
          <w:sz w:val="20"/>
          <w:szCs w:val="20"/>
        </w:rPr>
        <w:t xml:space="preserve"> z dni</w:t>
      </w:r>
      <w:r w:rsidRPr="003731CD">
        <w:rPr>
          <w:sz w:val="20"/>
          <w:szCs w:val="20"/>
        </w:rPr>
        <w:t>a 27 kwietnia 2016</w:t>
      </w:r>
      <w:r w:rsidR="003731CD" w:rsidRPr="003731CD">
        <w:rPr>
          <w:sz w:val="20"/>
          <w:szCs w:val="20"/>
        </w:rPr>
        <w:t> </w:t>
      </w:r>
      <w:r w:rsidRPr="003731CD">
        <w:rPr>
          <w:sz w:val="20"/>
          <w:szCs w:val="20"/>
        </w:rPr>
        <w:t>r.</w:t>
      </w:r>
      <w:r w:rsidR="003731CD" w:rsidRPr="003731CD">
        <w:rPr>
          <w:sz w:val="20"/>
          <w:szCs w:val="20"/>
        </w:rPr>
        <w:t xml:space="preserve"> w spr</w:t>
      </w:r>
      <w:r w:rsidRPr="003731CD">
        <w:rPr>
          <w:sz w:val="20"/>
          <w:szCs w:val="20"/>
        </w:rPr>
        <w:t>awie ochrony osób fizycznych</w:t>
      </w:r>
      <w:r w:rsidR="003731CD" w:rsidRPr="003731CD">
        <w:rPr>
          <w:sz w:val="20"/>
          <w:szCs w:val="20"/>
        </w:rPr>
        <w:t xml:space="preserve"> w zwi</w:t>
      </w:r>
      <w:r w:rsidRPr="003731CD">
        <w:rPr>
          <w:sz w:val="20"/>
          <w:szCs w:val="20"/>
        </w:rPr>
        <w:t>ązku</w:t>
      </w:r>
      <w:r w:rsidR="003731CD" w:rsidRPr="003731CD">
        <w:rPr>
          <w:sz w:val="20"/>
          <w:szCs w:val="20"/>
        </w:rPr>
        <w:t xml:space="preserve"> z prz</w:t>
      </w:r>
      <w:r w:rsidRPr="003731CD">
        <w:rPr>
          <w:sz w:val="20"/>
          <w:szCs w:val="20"/>
        </w:rPr>
        <w:t>etwarzaniem danych osobowych</w:t>
      </w:r>
      <w:r w:rsidR="003731CD" w:rsidRPr="003731CD">
        <w:rPr>
          <w:sz w:val="20"/>
          <w:szCs w:val="20"/>
        </w:rPr>
        <w:t xml:space="preserve"> i w spr</w:t>
      </w:r>
      <w:r w:rsidRPr="003731CD">
        <w:rPr>
          <w:sz w:val="20"/>
          <w:szCs w:val="20"/>
        </w:rPr>
        <w:t>awie swobodnego przepływu takich danych oraz uchylenia dyrektywy 95/46/WE, Dz.U. L 119</w:t>
      </w:r>
      <w:r w:rsidR="003731CD" w:rsidRPr="003731CD">
        <w:rPr>
          <w:sz w:val="20"/>
          <w:szCs w:val="20"/>
        </w:rPr>
        <w:t xml:space="preserve"> z 4</w:t>
      </w:r>
      <w:r w:rsidRPr="003731CD">
        <w:rPr>
          <w:sz w:val="20"/>
          <w:szCs w:val="20"/>
        </w:rPr>
        <w:t xml:space="preserve">.5.2016, </w:t>
      </w:r>
      <w:proofErr w:type="gramStart"/>
      <w:r w:rsidRPr="003731CD">
        <w:rPr>
          <w:sz w:val="20"/>
          <w:szCs w:val="20"/>
        </w:rPr>
        <w:t>s</w:t>
      </w:r>
      <w:proofErr w:type="gramEnd"/>
      <w:r w:rsidRPr="003731CD">
        <w:rPr>
          <w:sz w:val="20"/>
          <w:szCs w:val="20"/>
        </w:rPr>
        <w:t>. 1.</w:t>
      </w:r>
      <w:r w:rsidRPr="003731CD">
        <w:t xml:space="preserve"> </w:t>
      </w:r>
    </w:p>
  </w:footnote>
  <w:footnote w:id="3">
    <w:p w:rsidR="001079A3" w:rsidRPr="003731CD" w:rsidRDefault="00BB6FCD">
      <w:pPr>
        <w:pStyle w:val="FootnoteText"/>
      </w:pPr>
      <w:r w:rsidRPr="003731CD">
        <w:rPr>
          <w:rStyle w:val="FootnoteReference"/>
        </w:rPr>
        <w:footnoteRef/>
      </w:r>
      <w:r w:rsidRPr="003731CD">
        <w:t xml:space="preserve"> Po włączeniu go do Porozumienia</w:t>
      </w:r>
      <w:r w:rsidR="003731CD" w:rsidRPr="003731CD">
        <w:t xml:space="preserve"> o Eur</w:t>
      </w:r>
      <w:r w:rsidRPr="003731CD">
        <w:t>opejskim Obszarze Gospodarczym (EOG) rozporządzenie stosuje się również do Norwegii, Islandii</w:t>
      </w:r>
      <w:r w:rsidR="003731CD" w:rsidRPr="003731CD">
        <w:t xml:space="preserve"> i Lie</w:t>
      </w:r>
      <w:r w:rsidRPr="003731CD">
        <w:t>chtensteinu.</w:t>
      </w:r>
    </w:p>
  </w:footnote>
  <w:footnote w:id="4">
    <w:p w:rsidR="001079A3" w:rsidRPr="003731CD" w:rsidRDefault="00BB6FCD">
      <w:pPr>
        <w:pStyle w:val="FootnoteText"/>
      </w:pPr>
      <w:r w:rsidRPr="003731CD">
        <w:rPr>
          <w:rStyle w:val="FootnoteReference"/>
        </w:rPr>
        <w:footnoteRef/>
      </w:r>
      <w:r w:rsidRPr="003731CD">
        <w:t xml:space="preserve"> </w:t>
      </w:r>
      <w:hyperlink r:id="rId1" w:history="1">
        <w:r w:rsidRPr="003731CD">
          <w:rPr>
            <w:rStyle w:val="Hyperlink"/>
          </w:rPr>
          <w:t>https://ec.europa.eu/info/publications/white-paper-artificial-intelligence-european-approach-excellence-and-trust_en</w:t>
        </w:r>
      </w:hyperlink>
    </w:p>
  </w:footnote>
  <w:footnote w:id="5">
    <w:p w:rsidR="001079A3" w:rsidRPr="003731CD" w:rsidRDefault="00BB6FCD">
      <w:pPr>
        <w:pStyle w:val="FootnoteText"/>
      </w:pPr>
      <w:r w:rsidRPr="003731CD">
        <w:rPr>
          <w:rStyle w:val="FootnoteReference"/>
        </w:rPr>
        <w:footnoteRef/>
      </w:r>
      <w:r w:rsidRPr="003731CD">
        <w:t xml:space="preserve"> </w:t>
      </w:r>
      <w:hyperlink r:id="rId2" w:history="1">
        <w:r w:rsidRPr="003731CD">
          <w:rPr>
            <w:rStyle w:val="Hyperlink"/>
          </w:rPr>
          <w:t>https://ec.europa.eu/info/strategy/priorities-2019-2024/europe-fit-digital-age/european-data-strategy_pl</w:t>
        </w:r>
      </w:hyperlink>
    </w:p>
  </w:footnote>
  <w:footnote w:id="6">
    <w:p w:rsidR="001079A3" w:rsidRPr="003731CD" w:rsidRDefault="00BB6FCD">
      <w:pPr>
        <w:pStyle w:val="FootnoteText"/>
      </w:pPr>
      <w:r w:rsidRPr="003731CD">
        <w:rPr>
          <w:rStyle w:val="FootnoteReference"/>
        </w:rPr>
        <w:footnoteRef/>
      </w:r>
      <w:r w:rsidRPr="003731CD">
        <w:t xml:space="preserve"> Te ramy prawne obejmują również dyrektywę</w:t>
      </w:r>
      <w:r w:rsidR="003731CD" w:rsidRPr="003731CD">
        <w:t xml:space="preserve"> o och</w:t>
      </w:r>
      <w:r w:rsidRPr="003731CD">
        <w:t>ronie danych</w:t>
      </w:r>
      <w:r w:rsidR="003731CD" w:rsidRPr="003731CD">
        <w:t xml:space="preserve"> w spr</w:t>
      </w:r>
      <w:r w:rsidRPr="003731CD">
        <w:t>awach karnych (dyrektywę 2016/680) oraz rozporządzenie</w:t>
      </w:r>
      <w:r w:rsidR="003731CD" w:rsidRPr="003731CD">
        <w:t xml:space="preserve"> o och</w:t>
      </w:r>
      <w:r w:rsidRPr="003731CD">
        <w:t>ronie danych</w:t>
      </w:r>
      <w:r w:rsidR="003731CD" w:rsidRPr="003731CD">
        <w:t xml:space="preserve"> w odn</w:t>
      </w:r>
      <w:r w:rsidRPr="003731CD">
        <w:t>iesieniu do instytucji</w:t>
      </w:r>
      <w:r w:rsidR="003731CD" w:rsidRPr="003731CD">
        <w:t xml:space="preserve"> i org</w:t>
      </w:r>
      <w:r w:rsidRPr="003731CD">
        <w:t>anów UE (rozporządzenie 2018/1725).</w:t>
      </w:r>
    </w:p>
  </w:footnote>
  <w:footnote w:id="7">
    <w:p w:rsidR="001079A3" w:rsidRPr="003731CD" w:rsidRDefault="00BB6FCD">
      <w:pPr>
        <w:pStyle w:val="NormalWeb"/>
        <w:spacing w:after="75"/>
      </w:pPr>
      <w:r w:rsidRPr="003731CD">
        <w:rPr>
          <w:rStyle w:val="FootnoteReference"/>
        </w:rPr>
        <w:footnoteRef/>
      </w:r>
      <w:r w:rsidRPr="003731CD">
        <w:t xml:space="preserve"> </w:t>
      </w:r>
      <w:r w:rsidRPr="003731CD">
        <w:rPr>
          <w:sz w:val="20"/>
          <w:szCs w:val="20"/>
        </w:rPr>
        <w:t>Wniosek dotyczący rozporządzenia Parlamentu Europejskiego</w:t>
      </w:r>
      <w:r w:rsidR="003731CD" w:rsidRPr="003731CD">
        <w:rPr>
          <w:sz w:val="20"/>
          <w:szCs w:val="20"/>
        </w:rPr>
        <w:t xml:space="preserve"> i Rad</w:t>
      </w:r>
      <w:r w:rsidRPr="003731CD">
        <w:rPr>
          <w:sz w:val="20"/>
          <w:szCs w:val="20"/>
        </w:rPr>
        <w:t>y</w:t>
      </w:r>
      <w:r w:rsidR="003731CD" w:rsidRPr="003731CD">
        <w:rPr>
          <w:sz w:val="20"/>
          <w:szCs w:val="20"/>
        </w:rPr>
        <w:t xml:space="preserve"> w spr</w:t>
      </w:r>
      <w:r w:rsidRPr="003731CD">
        <w:rPr>
          <w:sz w:val="20"/>
          <w:szCs w:val="20"/>
        </w:rPr>
        <w:t>awie poszanowania życia prywatnego oraz ochrony danych osobowych</w:t>
      </w:r>
      <w:r w:rsidR="003731CD" w:rsidRPr="003731CD">
        <w:rPr>
          <w:sz w:val="20"/>
          <w:szCs w:val="20"/>
        </w:rPr>
        <w:t xml:space="preserve"> w łąc</w:t>
      </w:r>
      <w:r w:rsidRPr="003731CD">
        <w:rPr>
          <w:sz w:val="20"/>
          <w:szCs w:val="20"/>
        </w:rPr>
        <w:t>zności elektronicznej</w:t>
      </w:r>
      <w:r w:rsidR="003731CD" w:rsidRPr="003731CD">
        <w:rPr>
          <w:sz w:val="20"/>
          <w:szCs w:val="20"/>
        </w:rPr>
        <w:t xml:space="preserve"> i uch</w:t>
      </w:r>
      <w:r w:rsidRPr="003731CD">
        <w:rPr>
          <w:sz w:val="20"/>
          <w:szCs w:val="20"/>
        </w:rPr>
        <w:t>ylającego dyrektywę 2002/58/WE (rozporządzenie</w:t>
      </w:r>
      <w:r w:rsidR="003731CD" w:rsidRPr="003731CD">
        <w:rPr>
          <w:sz w:val="20"/>
          <w:szCs w:val="20"/>
        </w:rPr>
        <w:t xml:space="preserve"> w spr</w:t>
      </w:r>
      <w:r w:rsidRPr="003731CD">
        <w:rPr>
          <w:sz w:val="20"/>
          <w:szCs w:val="20"/>
        </w:rPr>
        <w:t>awie prywatności</w:t>
      </w:r>
      <w:r w:rsidR="003731CD" w:rsidRPr="003731CD">
        <w:rPr>
          <w:sz w:val="20"/>
          <w:szCs w:val="20"/>
        </w:rPr>
        <w:t xml:space="preserve"> i łąc</w:t>
      </w:r>
      <w:r w:rsidRPr="003731CD">
        <w:rPr>
          <w:sz w:val="20"/>
          <w:szCs w:val="20"/>
        </w:rPr>
        <w:t>zności elektronicznej), COM</w:t>
      </w:r>
      <w:proofErr w:type="gramStart"/>
      <w:r w:rsidRPr="003731CD">
        <w:rPr>
          <w:sz w:val="20"/>
          <w:szCs w:val="20"/>
        </w:rPr>
        <w:t xml:space="preserve">(2017) 10 </w:t>
      </w:r>
      <w:proofErr w:type="spellStart"/>
      <w:r w:rsidRPr="003731CD">
        <w:rPr>
          <w:sz w:val="20"/>
          <w:szCs w:val="20"/>
        </w:rPr>
        <w:t>final</w:t>
      </w:r>
      <w:proofErr w:type="spellEnd"/>
      <w:proofErr w:type="gramEnd"/>
      <w:r w:rsidRPr="003731CD">
        <w:rPr>
          <w:sz w:val="20"/>
          <w:szCs w:val="20"/>
        </w:rPr>
        <w:t xml:space="preserve"> – 2017/03(COD).</w:t>
      </w:r>
    </w:p>
  </w:footnote>
  <w:footnote w:id="8">
    <w:p w:rsidR="001079A3" w:rsidRPr="003731CD" w:rsidRDefault="00BB6FCD">
      <w:pPr>
        <w:pStyle w:val="FootnoteText"/>
      </w:pPr>
      <w:r w:rsidRPr="003731CD">
        <w:rPr>
          <w:rStyle w:val="FootnoteReference"/>
        </w:rPr>
        <w:footnoteRef/>
      </w:r>
      <w:r w:rsidRPr="003731CD">
        <w:t xml:space="preserve"> Dyrektywa 2002/58/WE Parlamentu Europejskiego</w:t>
      </w:r>
      <w:r w:rsidR="003731CD" w:rsidRPr="003731CD">
        <w:t xml:space="preserve"> i Rad</w:t>
      </w:r>
      <w:r w:rsidRPr="003731CD">
        <w:t>y</w:t>
      </w:r>
      <w:r w:rsidR="003731CD" w:rsidRPr="003731CD">
        <w:t xml:space="preserve"> z dni</w:t>
      </w:r>
      <w:r w:rsidRPr="003731CD">
        <w:t>a 12 lipca 2002 r. dotycząca przetwarzania danych osobowych</w:t>
      </w:r>
      <w:r w:rsidR="003731CD" w:rsidRPr="003731CD">
        <w:t xml:space="preserve"> i och</w:t>
      </w:r>
      <w:r w:rsidRPr="003731CD">
        <w:t>rony prywatności</w:t>
      </w:r>
      <w:r w:rsidR="003731CD" w:rsidRPr="003731CD">
        <w:t xml:space="preserve"> w sek</w:t>
      </w:r>
      <w:r w:rsidRPr="003731CD">
        <w:t>torze łączności elektronicznej (dyrektywa</w:t>
      </w:r>
      <w:r w:rsidR="003731CD" w:rsidRPr="003731CD">
        <w:t xml:space="preserve"> o pry</w:t>
      </w:r>
      <w:r w:rsidRPr="003731CD">
        <w:t>watności</w:t>
      </w:r>
      <w:r w:rsidR="003731CD" w:rsidRPr="003731CD">
        <w:t xml:space="preserve"> i łąc</w:t>
      </w:r>
      <w:r w:rsidRPr="003731CD">
        <w:t>zności elektronicznej), Dz.U. L 201</w:t>
      </w:r>
      <w:r w:rsidR="003731CD" w:rsidRPr="003731CD">
        <w:t xml:space="preserve"> z 3</w:t>
      </w:r>
      <w:r w:rsidRPr="003731CD">
        <w:t xml:space="preserve">1.7.2002, </w:t>
      </w:r>
      <w:proofErr w:type="gramStart"/>
      <w:r w:rsidRPr="003731CD">
        <w:t>s</w:t>
      </w:r>
      <w:proofErr w:type="gramEnd"/>
      <w:r w:rsidRPr="003731CD">
        <w:t>. 37.</w:t>
      </w:r>
    </w:p>
  </w:footnote>
  <w:footnote w:id="9">
    <w:p w:rsidR="001079A3" w:rsidRPr="003731CD" w:rsidRDefault="00BB6FCD">
      <w:pPr>
        <w:pStyle w:val="FootnoteText"/>
      </w:pPr>
      <w:r w:rsidRPr="003731CD">
        <w:rPr>
          <w:rStyle w:val="FootnoteReference"/>
        </w:rPr>
        <w:footnoteRef/>
      </w:r>
      <w:r w:rsidRPr="003731CD">
        <w:t xml:space="preserve"> https</w:t>
      </w:r>
      <w:proofErr w:type="gramStart"/>
      <w:r w:rsidRPr="003731CD">
        <w:t>://ec</w:t>
      </w:r>
      <w:proofErr w:type="gramEnd"/>
      <w:r w:rsidRPr="003731CD">
        <w:t>.</w:t>
      </w:r>
      <w:proofErr w:type="gramStart"/>
      <w:r w:rsidRPr="003731CD">
        <w:t>europa</w:t>
      </w:r>
      <w:proofErr w:type="gramEnd"/>
      <w:r w:rsidRPr="003731CD">
        <w:t>.</w:t>
      </w:r>
      <w:proofErr w:type="gramStart"/>
      <w:r w:rsidRPr="003731CD">
        <w:t>eu</w:t>
      </w:r>
      <w:proofErr w:type="gramEnd"/>
      <w:r w:rsidRPr="003731CD">
        <w:t>/info/strategy/priorities-2019-2024/europe-fit-digital-age_pl</w:t>
      </w:r>
    </w:p>
  </w:footnote>
  <w:footnote w:id="10">
    <w:p w:rsidR="001079A3" w:rsidRPr="003731CD" w:rsidRDefault="00BB6FCD">
      <w:pPr>
        <w:pStyle w:val="FootnoteText"/>
      </w:pPr>
      <w:r w:rsidRPr="003731CD">
        <w:rPr>
          <w:rStyle w:val="FootnoteReference"/>
        </w:rPr>
        <w:footnoteRef/>
      </w:r>
      <w:r w:rsidRPr="003731CD">
        <w:t xml:space="preserve"> Komunikat Komisji do Parlamentu Europejskiego, Rady Europejskiej, Rady, Komitetu Ekonomiczno-Społecznego</w:t>
      </w:r>
      <w:r w:rsidR="003731CD" w:rsidRPr="003731CD">
        <w:t xml:space="preserve"> i Kom</w:t>
      </w:r>
      <w:r w:rsidRPr="003731CD">
        <w:t xml:space="preserve">itetu Regionów – Europejski Zielony Ład (COM(2019) 640 </w:t>
      </w:r>
      <w:proofErr w:type="spellStart"/>
      <w:r w:rsidRPr="003731CD">
        <w:t>final</w:t>
      </w:r>
      <w:proofErr w:type="spellEnd"/>
      <w:r w:rsidRPr="003731CD">
        <w:t>).</w:t>
      </w:r>
    </w:p>
  </w:footnote>
  <w:footnote w:id="11">
    <w:p w:rsidR="001079A3" w:rsidRPr="003731CD" w:rsidRDefault="00BB6FCD">
      <w:pPr>
        <w:pStyle w:val="NormalWeb"/>
        <w:spacing w:after="75"/>
        <w:rPr>
          <w:sz w:val="20"/>
          <w:szCs w:val="20"/>
        </w:rPr>
      </w:pPr>
      <w:r w:rsidRPr="003731CD">
        <w:rPr>
          <w:rStyle w:val="FootnoteReference"/>
        </w:rPr>
        <w:footnoteRef/>
      </w:r>
      <w:r w:rsidRPr="003731CD">
        <w:t xml:space="preserve"> </w:t>
      </w:r>
      <w:r w:rsidRPr="003731CD">
        <w:rPr>
          <w:sz w:val="20"/>
          <w:szCs w:val="20"/>
        </w:rPr>
        <w:t>Komunikat Komisji do Parlamentu Europejskiego, Rady, Europejskiego Komitetu Ekonomiczno-Społecznego</w:t>
      </w:r>
      <w:r w:rsidR="003731CD" w:rsidRPr="003731CD">
        <w:rPr>
          <w:sz w:val="20"/>
          <w:szCs w:val="20"/>
        </w:rPr>
        <w:t xml:space="preserve"> i Kom</w:t>
      </w:r>
      <w:r w:rsidRPr="003731CD">
        <w:rPr>
          <w:sz w:val="20"/>
          <w:szCs w:val="20"/>
        </w:rPr>
        <w:t xml:space="preserve">itetu Regionów </w:t>
      </w:r>
      <w:r w:rsidRPr="003731CD">
        <w:rPr>
          <w:color w:val="444444"/>
          <w:sz w:val="20"/>
          <w:szCs w:val="20"/>
        </w:rPr>
        <w:t>„Europejska strategia</w:t>
      </w:r>
      <w:r w:rsidR="003731CD" w:rsidRPr="003731CD">
        <w:rPr>
          <w:color w:val="444444"/>
          <w:sz w:val="20"/>
          <w:szCs w:val="20"/>
        </w:rPr>
        <w:t xml:space="preserve"> w zak</w:t>
      </w:r>
      <w:r w:rsidRPr="003731CD">
        <w:rPr>
          <w:color w:val="444444"/>
          <w:sz w:val="20"/>
          <w:szCs w:val="20"/>
        </w:rPr>
        <w:t xml:space="preserve">resie danych”, COM(2020) 66 </w:t>
      </w:r>
      <w:proofErr w:type="spellStart"/>
      <w:r w:rsidRPr="003731CD">
        <w:rPr>
          <w:color w:val="444444"/>
          <w:sz w:val="20"/>
          <w:szCs w:val="20"/>
        </w:rPr>
        <w:t>final</w:t>
      </w:r>
      <w:proofErr w:type="spellEnd"/>
      <w:r w:rsidRPr="003731CD">
        <w:rPr>
          <w:color w:val="444444"/>
          <w:sz w:val="20"/>
          <w:szCs w:val="20"/>
        </w:rPr>
        <w:t>.</w:t>
      </w:r>
    </w:p>
  </w:footnote>
  <w:footnote w:id="12">
    <w:p w:rsidR="001079A3" w:rsidRPr="003731CD" w:rsidRDefault="00BB6FCD">
      <w:pPr>
        <w:pStyle w:val="FootnoteText"/>
      </w:pPr>
      <w:r w:rsidRPr="003731CD">
        <w:rPr>
          <w:rStyle w:val="FootnoteReference"/>
        </w:rPr>
        <w:footnoteRef/>
      </w:r>
      <w:r w:rsidRPr="003731CD">
        <w:t xml:space="preserve"> Przestrzenie sektorowe obejmują takie obszary jak: zdrowie, produkcja przemysłowa, energia, mobilność, rolnictwo, dane finansowe, administracja publiczna, wspólny europejski obszar danych dotyczących umiejętności, wspólna europejska przestrzeń danych dotyczących Zielonego Ładu oraz europejska chmura dla otwartej nauki.</w:t>
      </w:r>
    </w:p>
  </w:footnote>
  <w:footnote w:id="13">
    <w:p w:rsidR="001079A3" w:rsidRPr="003731CD" w:rsidRDefault="00BB6FCD">
      <w:pPr>
        <w:pStyle w:val="FootnoteText"/>
      </w:pPr>
      <w:r w:rsidRPr="003731CD">
        <w:rPr>
          <w:rStyle w:val="FootnoteReference"/>
        </w:rPr>
        <w:footnoteRef/>
      </w:r>
      <w:r w:rsidRPr="003731CD">
        <w:t xml:space="preserve"> Zob. np. badanie na temat prywatności konsumentów Cisco 2019 (</w:t>
      </w:r>
      <w:hyperlink r:id="rId3" w:history="1">
        <w:r w:rsidRPr="003731CD">
          <w:rPr>
            <w:rStyle w:val="Hyperlink"/>
          </w:rPr>
          <w:t>https://www.cisco.com/c/dam/en/us/products/collateral/security/cybersecurity-series-2019-cps.pdf</w:t>
        </w:r>
      </w:hyperlink>
      <w:r w:rsidRPr="003731CD">
        <w:t>). Według tego badania obejmującego ankietę przeprowadzoną wśród 2 600 konsumentów na całym świecie duże grono konsumentów podjęło już działania</w:t>
      </w:r>
      <w:r w:rsidR="003731CD" w:rsidRPr="003731CD">
        <w:t xml:space="preserve"> w cel</w:t>
      </w:r>
      <w:r w:rsidRPr="003731CD">
        <w:t>u ochrony swojej prywatności, na przykład zmieniając firmę lub dostawców ze względu na ich politykę</w:t>
      </w:r>
      <w:r w:rsidR="003731CD" w:rsidRPr="003731CD">
        <w:t xml:space="preserve"> w zak</w:t>
      </w:r>
      <w:r w:rsidRPr="003731CD">
        <w:t>resie danych lub praktyki</w:t>
      </w:r>
      <w:r w:rsidR="003731CD" w:rsidRPr="003731CD">
        <w:t xml:space="preserve"> w zak</w:t>
      </w:r>
      <w:r w:rsidRPr="003731CD">
        <w:t>resie wymiany danych.</w:t>
      </w:r>
    </w:p>
  </w:footnote>
  <w:footnote w:id="14">
    <w:p w:rsidR="001079A3" w:rsidRPr="003731CD" w:rsidRDefault="00BB6FCD">
      <w:pPr>
        <w:pStyle w:val="FootnoteText"/>
      </w:pPr>
      <w:r w:rsidRPr="003731CD">
        <w:rPr>
          <w:rStyle w:val="FootnoteReference"/>
        </w:rPr>
        <w:footnoteRef/>
      </w:r>
      <w:r w:rsidRPr="003731CD">
        <w:t xml:space="preserve"> Przemówienie Sekretarza Generalnego ONZ</w:t>
      </w:r>
      <w:r w:rsidR="003731CD" w:rsidRPr="003731CD">
        <w:t xml:space="preserve"> w Sen</w:t>
      </w:r>
      <w:r w:rsidRPr="003731CD">
        <w:t>acie Włoch, 18 grudnia 2019</w:t>
      </w:r>
      <w:r w:rsidR="003731CD" w:rsidRPr="003731CD">
        <w:t> </w:t>
      </w:r>
      <w:r w:rsidRPr="003731CD">
        <w:t xml:space="preserve">r. (dokument dostępny na stronie: </w:t>
      </w:r>
      <w:hyperlink r:id="rId4" w:history="1">
        <w:r w:rsidRPr="003731CD">
          <w:rPr>
            <w:rStyle w:val="Hyperlink"/>
          </w:rPr>
          <w:t>https://www.un.org/press/en/2019/sgsm19916.doc.htm</w:t>
        </w:r>
      </w:hyperlink>
      <w:r w:rsidRPr="003731CD">
        <w:t xml:space="preserve">). </w:t>
      </w:r>
    </w:p>
  </w:footnote>
  <w:footnote w:id="15">
    <w:p w:rsidR="001079A3" w:rsidRPr="003731CD" w:rsidRDefault="00BB6FCD">
      <w:pPr>
        <w:pStyle w:val="FootnoteText"/>
      </w:pPr>
      <w:r w:rsidRPr="003731CD">
        <w:rPr>
          <w:rStyle w:val="FootnoteReference"/>
        </w:rPr>
        <w:footnoteRef/>
      </w:r>
      <w:r w:rsidRPr="003731CD">
        <w:t xml:space="preserve"> Ramy te, oprócz RODO, obejmują dyrektywę</w:t>
      </w:r>
      <w:r w:rsidR="003731CD" w:rsidRPr="003731CD">
        <w:t xml:space="preserve"> o pry</w:t>
      </w:r>
      <w:r w:rsidRPr="003731CD">
        <w:t>watności</w:t>
      </w:r>
      <w:r w:rsidR="003731CD" w:rsidRPr="003731CD">
        <w:t xml:space="preserve"> i łąc</w:t>
      </w:r>
      <w:r w:rsidRPr="003731CD">
        <w:t>zności elektronicznej (dyrektywa 2002/58/WE), która obejmuje m.in. przepisy dotyczące dostępu do informacji na temat urządzeń końcowych użytkownika</w:t>
      </w:r>
      <w:r w:rsidR="003731CD" w:rsidRPr="003731CD">
        <w:t xml:space="preserve"> i prz</w:t>
      </w:r>
      <w:r w:rsidRPr="003731CD">
        <w:t>echowywania takich informacji.</w:t>
      </w:r>
    </w:p>
  </w:footnote>
  <w:footnote w:id="16">
    <w:p w:rsidR="001079A3" w:rsidRPr="003731CD" w:rsidRDefault="00BB6FCD">
      <w:pPr>
        <w:pStyle w:val="FootnoteText"/>
      </w:pPr>
      <w:r w:rsidRPr="003731CD">
        <w:rPr>
          <w:rStyle w:val="FootnoteReference"/>
        </w:rPr>
        <w:footnoteRef/>
      </w:r>
      <w:r w:rsidRPr="003731CD">
        <w:t>Komunikat Komisji zatytułowany „Wytyczne dotyczące aplikacji pomocnych</w:t>
      </w:r>
      <w:r w:rsidR="003731CD" w:rsidRPr="003731CD">
        <w:t xml:space="preserve"> w wal</w:t>
      </w:r>
      <w:r w:rsidRPr="003731CD">
        <w:t>ce</w:t>
      </w:r>
      <w:r w:rsidR="003731CD" w:rsidRPr="003731CD">
        <w:t xml:space="preserve"> z pan</w:t>
      </w:r>
      <w:r w:rsidRPr="003731CD">
        <w:t>demią COVID-19</w:t>
      </w:r>
      <w:r w:rsidR="003731CD" w:rsidRPr="003731CD">
        <w:t xml:space="preserve"> w odn</w:t>
      </w:r>
      <w:r w:rsidRPr="003731CD">
        <w:t>iesieniu do ochrony danych”, 2020/C 124 I/01 – C/2020/2523 – Dz.U. C 124I</w:t>
      </w:r>
      <w:r w:rsidR="003731CD" w:rsidRPr="003731CD">
        <w:t xml:space="preserve"> z 1</w:t>
      </w:r>
      <w:r w:rsidRPr="003731CD">
        <w:t xml:space="preserve">7.4.2020, </w:t>
      </w:r>
      <w:proofErr w:type="gramStart"/>
      <w:r w:rsidRPr="003731CD">
        <w:t>s</w:t>
      </w:r>
      <w:proofErr w:type="gramEnd"/>
      <w:r w:rsidRPr="003731CD">
        <w:t>. 1</w:t>
      </w:r>
      <w:r w:rsidR="003731CD" w:rsidRPr="003731CD">
        <w:t>. W dni</w:t>
      </w:r>
      <w:r w:rsidRPr="003731CD">
        <w:t>u 16 kwietnia 2020</w:t>
      </w:r>
      <w:r w:rsidR="003731CD" w:rsidRPr="003731CD">
        <w:t> </w:t>
      </w:r>
      <w:r w:rsidRPr="003731CD">
        <w:t xml:space="preserve">r. państwa członkowskie UE, przy wsparciu Komisji, opracowały </w:t>
      </w:r>
      <w:hyperlink r:id="rId5" w:history="1">
        <w:r w:rsidRPr="003731CD">
          <w:t>zestaw narzędzi UE na potrzeby wykorzystywania aplikacji mobilnych do śledzenia kontaktów</w:t>
        </w:r>
        <w:r w:rsidR="003731CD" w:rsidRPr="003731CD">
          <w:t xml:space="preserve"> i ost</w:t>
        </w:r>
        <w:r w:rsidRPr="003731CD">
          <w:t>rzegania</w:t>
        </w:r>
      </w:hyperlink>
      <w:r w:rsidR="003731CD" w:rsidRPr="003731CD">
        <w:t xml:space="preserve"> w odp</w:t>
      </w:r>
      <w:r w:rsidRPr="003731CD">
        <w:t xml:space="preserve">owiedzi na pandemię </w:t>
      </w:r>
      <w:proofErr w:type="spellStart"/>
      <w:r w:rsidRPr="003731CD">
        <w:t>koronawirusa</w:t>
      </w:r>
      <w:proofErr w:type="spellEnd"/>
      <w:r w:rsidRPr="003731CD">
        <w:t xml:space="preserve">. Jest to część wspólnego skoordynowanego podejścia mającego na celu wspieranie stopniowego znoszenia środków izolacji. </w:t>
      </w:r>
      <w:hyperlink r:id="rId6" w:history="1">
        <w:r w:rsidRPr="003731CD">
          <w:rPr>
            <w:rStyle w:val="Hyperlink"/>
          </w:rPr>
          <w:t>https://ec.europa.eu/health/sites/health/files/ehealth/docs/covid-19_apps_en.pdf</w:t>
        </w:r>
      </w:hyperlink>
      <w:r w:rsidRPr="003731CD">
        <w:t xml:space="preserve">. </w:t>
      </w:r>
    </w:p>
  </w:footnote>
  <w:footnote w:id="17">
    <w:p w:rsidR="001079A3" w:rsidRPr="003731CD" w:rsidRDefault="00BB6FCD">
      <w:pPr>
        <w:pStyle w:val="NormalWeb"/>
        <w:spacing w:after="75"/>
      </w:pPr>
      <w:r w:rsidRPr="003731CD">
        <w:rPr>
          <w:rStyle w:val="FootnoteReference"/>
        </w:rPr>
        <w:footnoteRef/>
      </w:r>
      <w:r w:rsidRPr="003731CD">
        <w:t xml:space="preserve"> </w:t>
      </w:r>
      <w:r w:rsidRPr="003731CD">
        <w:rPr>
          <w:rFonts w:ascii="&amp;quot" w:hAnsi="&amp;quot"/>
          <w:color w:val="444444"/>
          <w:sz w:val="21"/>
          <w:szCs w:val="21"/>
        </w:rPr>
        <w:t>Wytyczne Komisji dotyczące stosowania unijnych przepisów</w:t>
      </w:r>
      <w:r w:rsidR="003731CD" w:rsidRPr="003731CD">
        <w:rPr>
          <w:rFonts w:ascii="&amp;quot" w:hAnsi="&amp;quot"/>
          <w:color w:val="444444"/>
          <w:sz w:val="21"/>
          <w:szCs w:val="21"/>
        </w:rPr>
        <w:t xml:space="preserve"> o och</w:t>
      </w:r>
      <w:r w:rsidRPr="003731CD">
        <w:rPr>
          <w:rFonts w:ascii="&amp;quot" w:hAnsi="&amp;quot"/>
          <w:color w:val="444444"/>
          <w:sz w:val="21"/>
          <w:szCs w:val="21"/>
        </w:rPr>
        <w:t>ronie danych osobowych</w:t>
      </w:r>
      <w:r w:rsidR="003731CD" w:rsidRPr="003731CD">
        <w:rPr>
          <w:rFonts w:ascii="&amp;quot" w:hAnsi="&amp;quot"/>
          <w:color w:val="444444"/>
          <w:sz w:val="21"/>
          <w:szCs w:val="21"/>
        </w:rPr>
        <w:t xml:space="preserve"> w kon</w:t>
      </w:r>
      <w:r w:rsidRPr="003731CD">
        <w:rPr>
          <w:rFonts w:ascii="&amp;quot" w:hAnsi="&amp;quot"/>
          <w:color w:val="444444"/>
          <w:sz w:val="21"/>
          <w:szCs w:val="21"/>
        </w:rPr>
        <w:t>tekście wyborczym – wkład Komisji Europejskiej na spotkanie przywódców</w:t>
      </w:r>
      <w:r w:rsidR="003731CD" w:rsidRPr="003731CD">
        <w:rPr>
          <w:rFonts w:ascii="&amp;quot" w:hAnsi="&amp;quot"/>
          <w:color w:val="444444"/>
          <w:sz w:val="21"/>
          <w:szCs w:val="21"/>
        </w:rPr>
        <w:t xml:space="preserve"> w Sal</w:t>
      </w:r>
      <w:r w:rsidRPr="003731CD">
        <w:rPr>
          <w:rFonts w:ascii="&amp;quot" w:hAnsi="&amp;quot"/>
          <w:color w:val="444444"/>
          <w:sz w:val="21"/>
          <w:szCs w:val="21"/>
        </w:rPr>
        <w:t>zburgu</w:t>
      </w:r>
      <w:r w:rsidR="003731CD" w:rsidRPr="003731CD">
        <w:rPr>
          <w:rFonts w:ascii="&amp;quot" w:hAnsi="&amp;quot"/>
          <w:color w:val="444444"/>
          <w:sz w:val="21"/>
          <w:szCs w:val="21"/>
        </w:rPr>
        <w:t xml:space="preserve"> w dni</w:t>
      </w:r>
      <w:r w:rsidRPr="003731CD">
        <w:rPr>
          <w:rFonts w:ascii="&amp;quot" w:hAnsi="&amp;quot"/>
          <w:color w:val="444444"/>
          <w:sz w:val="21"/>
          <w:szCs w:val="21"/>
        </w:rPr>
        <w:t>ach 19–20 września 2018</w:t>
      </w:r>
      <w:r w:rsidR="003731CD" w:rsidRPr="003731CD">
        <w:rPr>
          <w:rFonts w:ascii="&amp;quot" w:hAnsi="&amp;quot"/>
          <w:color w:val="444444"/>
          <w:sz w:val="21"/>
          <w:szCs w:val="21"/>
        </w:rPr>
        <w:t> </w:t>
      </w:r>
      <w:r w:rsidRPr="003731CD">
        <w:rPr>
          <w:rFonts w:ascii="&amp;quot" w:hAnsi="&amp;quot"/>
          <w:color w:val="444444"/>
          <w:sz w:val="21"/>
          <w:szCs w:val="21"/>
        </w:rPr>
        <w:t xml:space="preserve">r. - COM(2018) 638 </w:t>
      </w:r>
      <w:proofErr w:type="spellStart"/>
      <w:r w:rsidRPr="003731CD">
        <w:rPr>
          <w:rFonts w:ascii="&amp;quot" w:hAnsi="&amp;quot"/>
          <w:color w:val="444444"/>
          <w:sz w:val="21"/>
          <w:szCs w:val="21"/>
        </w:rPr>
        <w:t>final</w:t>
      </w:r>
      <w:proofErr w:type="spellEnd"/>
      <w:r w:rsidRPr="003731CD">
        <w:rPr>
          <w:rFonts w:ascii="&amp;quot" w:hAnsi="&amp;quot"/>
          <w:color w:val="444444"/>
          <w:sz w:val="21"/>
          <w:szCs w:val="21"/>
        </w:rPr>
        <w:t>.</w:t>
      </w:r>
    </w:p>
  </w:footnote>
  <w:footnote w:id="18">
    <w:p w:rsidR="001079A3" w:rsidRPr="003731CD" w:rsidRDefault="00BB6FCD">
      <w:pPr>
        <w:pStyle w:val="FootnoteText"/>
      </w:pPr>
      <w:r w:rsidRPr="003731CD">
        <w:rPr>
          <w:rStyle w:val="FootnoteReference"/>
        </w:rPr>
        <w:footnoteRef/>
      </w:r>
      <w:r w:rsidRPr="003731CD">
        <w:t xml:space="preserve"> Stanowisko Rady</w:t>
      </w:r>
      <w:r w:rsidR="003731CD" w:rsidRPr="003731CD">
        <w:t xml:space="preserve"> i ust</w:t>
      </w:r>
      <w:r w:rsidRPr="003731CD">
        <w:t>alenia</w:t>
      </w:r>
      <w:r w:rsidR="003731CD" w:rsidRPr="003731CD">
        <w:t xml:space="preserve"> w spr</w:t>
      </w:r>
      <w:r w:rsidRPr="003731CD">
        <w:t>awie stosowania ogólnego rozporządzenia</w:t>
      </w:r>
      <w:r w:rsidR="003731CD" w:rsidRPr="003731CD">
        <w:t xml:space="preserve"> o och</w:t>
      </w:r>
      <w:r w:rsidRPr="003731CD">
        <w:t>ronie danych:</w:t>
      </w:r>
    </w:p>
    <w:p w:rsidR="001079A3" w:rsidRPr="003731CD" w:rsidRDefault="007462C5">
      <w:pPr>
        <w:pStyle w:val="FootnoteText"/>
      </w:pPr>
      <w:hyperlink r:id="rId7" w:history="1">
        <w:r w:rsidR="00BB6FCD" w:rsidRPr="003731CD">
          <w:rPr>
            <w:rStyle w:val="Hyperlink"/>
          </w:rPr>
          <w:t>https://data.consilium.europa.eu/doc/document/ST-14994-2019-REV-2/pl/pdf</w:t>
        </w:r>
      </w:hyperlink>
      <w:r w:rsidR="00BB6FCD" w:rsidRPr="003731CD">
        <w:t>.</w:t>
      </w:r>
    </w:p>
  </w:footnote>
  <w:footnote w:id="19">
    <w:p w:rsidR="001079A3" w:rsidRPr="003731CD" w:rsidRDefault="00BB6FCD">
      <w:pPr>
        <w:pStyle w:val="FootnoteText"/>
      </w:pPr>
      <w:r w:rsidRPr="003731CD">
        <w:rPr>
          <w:rStyle w:val="FootnoteReference"/>
        </w:rPr>
        <w:footnoteRef/>
      </w:r>
      <w:r w:rsidRPr="003731CD">
        <w:t xml:space="preserve"> Pismo Komisji LIBE Parlamentu Europejskiego</w:t>
      </w:r>
      <w:r w:rsidR="003731CD" w:rsidRPr="003731CD">
        <w:t xml:space="preserve"> z dni</w:t>
      </w:r>
      <w:r w:rsidRPr="003731CD">
        <w:t>a 21 lutego 2020</w:t>
      </w:r>
      <w:r w:rsidR="003731CD" w:rsidRPr="003731CD">
        <w:t> </w:t>
      </w:r>
      <w:r w:rsidRPr="003731CD">
        <w:t xml:space="preserve">r. skierowane do komisarza </w:t>
      </w:r>
      <w:proofErr w:type="spellStart"/>
      <w:r w:rsidRPr="003731CD">
        <w:t>Reyndersa</w:t>
      </w:r>
      <w:proofErr w:type="spellEnd"/>
      <w:r w:rsidRPr="003731CD">
        <w:t>, nr ref.: IPOL-COM-LIBE D (2020)6525.</w:t>
      </w:r>
    </w:p>
  </w:footnote>
  <w:footnote w:id="20">
    <w:p w:rsidR="001079A3" w:rsidRPr="003731CD" w:rsidRDefault="00BB6FCD">
      <w:pPr>
        <w:pStyle w:val="FootnoteText"/>
      </w:pPr>
      <w:r w:rsidRPr="003731CD">
        <w:rPr>
          <w:rStyle w:val="FootnoteReference"/>
        </w:rPr>
        <w:footnoteRef/>
      </w:r>
      <w:r w:rsidRPr="003731CD">
        <w:t xml:space="preserve"> Wkład EROD</w:t>
      </w:r>
      <w:r w:rsidR="003731CD" w:rsidRPr="003731CD">
        <w:t xml:space="preserve"> w oce</w:t>
      </w:r>
      <w:r w:rsidRPr="003731CD">
        <w:t>nę ogólnego rozporządzenia</w:t>
      </w:r>
      <w:r w:rsidR="003731CD" w:rsidRPr="003731CD">
        <w:t xml:space="preserve"> o och</w:t>
      </w:r>
      <w:r w:rsidRPr="003731CD">
        <w:t>ronie danych na mocy art.</w:t>
      </w:r>
      <w:r w:rsidR="003731CD" w:rsidRPr="003731CD">
        <w:t> </w:t>
      </w:r>
      <w:r w:rsidRPr="003731CD">
        <w:t>97, przyjęty</w:t>
      </w:r>
      <w:r w:rsidR="003731CD" w:rsidRPr="003731CD">
        <w:t xml:space="preserve"> w dni</w:t>
      </w:r>
      <w:r w:rsidRPr="003731CD">
        <w:t>u 18 lutego 2020</w:t>
      </w:r>
      <w:r w:rsidR="003731CD" w:rsidRPr="003731CD">
        <w:t> </w:t>
      </w:r>
      <w:r w:rsidRPr="003731CD">
        <w:t xml:space="preserve">r.: </w:t>
      </w:r>
      <w:hyperlink r:id="rId8" w:history="1">
        <w:r w:rsidRPr="003731CD">
          <w:rPr>
            <w:rStyle w:val="Hyperlink"/>
          </w:rPr>
          <w:t>https://edpb.europa.eu/our-work-tools/our-documents/other/contribution-edpb-evaluation-gdpr-under-article-97_pl</w:t>
        </w:r>
      </w:hyperlink>
      <w:r w:rsidRPr="003731CD">
        <w:t>.</w:t>
      </w:r>
    </w:p>
  </w:footnote>
  <w:footnote w:id="21">
    <w:p w:rsidR="001079A3" w:rsidRPr="003731CD" w:rsidRDefault="00BB6FCD">
      <w:pPr>
        <w:pStyle w:val="FootnoteText"/>
      </w:pPr>
      <w:r w:rsidRPr="003731CD">
        <w:rPr>
          <w:rStyle w:val="FootnoteReference"/>
        </w:rPr>
        <w:footnoteRef/>
      </w:r>
      <w:r w:rsidRPr="003731CD">
        <w:t xml:space="preserve"> </w:t>
      </w:r>
      <w:hyperlink r:id="rId9" w:history="1">
        <w:r w:rsidRPr="003731CD">
          <w:rPr>
            <w:rStyle w:val="Hyperlink"/>
          </w:rPr>
          <w:t>https://edpb.europa.eu/individual-replies-data-protection-supervisory-authorities_pl</w:t>
        </w:r>
      </w:hyperlink>
    </w:p>
  </w:footnote>
  <w:footnote w:id="22">
    <w:p w:rsidR="001079A3" w:rsidRPr="003731CD" w:rsidRDefault="00BB6FCD">
      <w:pPr>
        <w:pStyle w:val="FootnoteText"/>
      </w:pPr>
      <w:r w:rsidRPr="003731CD">
        <w:rPr>
          <w:rStyle w:val="FootnoteReference"/>
        </w:rPr>
        <w:footnoteRef/>
      </w:r>
      <w:r w:rsidRPr="003731CD">
        <w:t xml:space="preserve"> Utworzona przez Komisję wielostronna grupa ekspertów ds. rozporządzenia 2016/679 obejmuje przedstawicieli społeczeństwa obywatelskiego</w:t>
      </w:r>
      <w:r w:rsidR="003731CD" w:rsidRPr="003731CD">
        <w:t xml:space="preserve"> i prz</w:t>
      </w:r>
      <w:r w:rsidRPr="003731CD">
        <w:t>edsiębiorców, pracowników akademickich</w:t>
      </w:r>
      <w:r w:rsidR="003731CD" w:rsidRPr="003731CD">
        <w:t xml:space="preserve"> i pra</w:t>
      </w:r>
      <w:r w:rsidRPr="003731CD">
        <w:t>ktyków:</w:t>
      </w:r>
    </w:p>
    <w:p w:rsidR="001079A3" w:rsidRPr="003731CD" w:rsidRDefault="007462C5">
      <w:pPr>
        <w:pStyle w:val="FootnoteText"/>
      </w:pPr>
      <w:hyperlink r:id="rId10" w:history="1">
        <w:r w:rsidR="00BB6FCD" w:rsidRPr="003731CD">
          <w:rPr>
            <w:rStyle w:val="Hyperlink"/>
          </w:rPr>
          <w:t>https://ec.europa.eu/transparency/regexpert/index.cfm?do=groupDetail.groupDetail&amp;groupID=3537</w:t>
        </w:r>
      </w:hyperlink>
      <w:r w:rsidR="00BB6FCD" w:rsidRPr="003731CD">
        <w:t>.</w:t>
      </w:r>
    </w:p>
  </w:footnote>
  <w:footnote w:id="23">
    <w:p w:rsidR="001079A3" w:rsidRPr="003731CD" w:rsidRDefault="00BB6FCD">
      <w:pPr>
        <w:pStyle w:val="FootnoteText"/>
      </w:pPr>
      <w:r w:rsidRPr="003731CD">
        <w:rPr>
          <w:rStyle w:val="FootnoteReference"/>
        </w:rPr>
        <w:footnoteRef/>
      </w:r>
      <w:r w:rsidRPr="003731CD">
        <w:t xml:space="preserve"> </w:t>
      </w:r>
      <w:hyperlink r:id="rId11" w:history="1">
        <w:r w:rsidRPr="003731CD">
          <w:rPr>
            <w:rStyle w:val="Hyperlink"/>
          </w:rPr>
          <w:t>https://ec.europa.eu/info/law/better-regulation/have-your-say/initiatives/12322-Report-on-the-application-of-the-General-Data-Protection-Regulation/feedback?p_id=7669437</w:t>
        </w:r>
      </w:hyperlink>
    </w:p>
    <w:p w:rsidR="001079A3" w:rsidRPr="003731CD" w:rsidRDefault="001079A3">
      <w:pPr>
        <w:pStyle w:val="FootnoteText"/>
      </w:pPr>
    </w:p>
  </w:footnote>
  <w:footnote w:id="24">
    <w:p w:rsidR="001079A3" w:rsidRPr="003731CD" w:rsidRDefault="00BB6FCD">
      <w:pPr>
        <w:pStyle w:val="FootnoteText"/>
      </w:pPr>
      <w:r w:rsidRPr="003731CD">
        <w:rPr>
          <w:rStyle w:val="FootnoteReference"/>
        </w:rPr>
        <w:footnoteRef/>
      </w:r>
      <w:r w:rsidRPr="003731CD">
        <w:t xml:space="preserve"> Zob. np. stanowisko</w:t>
      </w:r>
      <w:r w:rsidR="003731CD" w:rsidRPr="003731CD">
        <w:t xml:space="preserve"> i ust</w:t>
      </w:r>
      <w:r w:rsidRPr="003731CD">
        <w:t>alenia Rady oraz wkład EROD.</w:t>
      </w:r>
    </w:p>
  </w:footnote>
  <w:footnote w:id="25">
    <w:p w:rsidR="001079A3" w:rsidRPr="003731CD" w:rsidRDefault="00BB6FCD">
      <w:pPr>
        <w:pStyle w:val="FootnoteText"/>
      </w:pPr>
      <w:r w:rsidRPr="003731CD">
        <w:rPr>
          <w:rStyle w:val="FootnoteReference"/>
        </w:rPr>
        <w:footnoteRef/>
      </w:r>
      <w:r w:rsidRPr="003731CD">
        <w:t xml:space="preserve"> Zob. pkt</w:t>
      </w:r>
      <w:r w:rsidR="003731CD" w:rsidRPr="003731CD">
        <w:t> </w:t>
      </w:r>
      <w:r w:rsidRPr="003731CD">
        <w:t>2.1 dokumentu roboczego służb Komisji.</w:t>
      </w:r>
    </w:p>
  </w:footnote>
  <w:footnote w:id="26">
    <w:p w:rsidR="001079A3" w:rsidRPr="003731CD" w:rsidRDefault="00BB6FCD">
      <w:pPr>
        <w:pStyle w:val="FootnoteText"/>
      </w:pPr>
      <w:r w:rsidRPr="003731CD">
        <w:rPr>
          <w:rStyle w:val="FootnoteReference"/>
        </w:rPr>
        <w:footnoteRef/>
      </w:r>
      <w:r w:rsidRPr="003731CD">
        <w:t xml:space="preserve"> Jeżeli dane przedsiębiorstwo przetwarza dane poza granicami jednego państwa, to właściwym organem ochrony danych jest jedno</w:t>
      </w:r>
      <w:r w:rsidR="003731CD" w:rsidRPr="003731CD">
        <w:t xml:space="preserve"> z pań</w:t>
      </w:r>
      <w:r w:rsidRPr="003731CD">
        <w:t>stw członkowskich,</w:t>
      </w:r>
      <w:r w:rsidR="003731CD" w:rsidRPr="003731CD">
        <w:t xml:space="preserve"> w któ</w:t>
      </w:r>
      <w:r w:rsidRPr="003731CD">
        <w:t>rym znajduje się główna siedziba spółki.</w:t>
      </w:r>
    </w:p>
  </w:footnote>
  <w:footnote w:id="27">
    <w:p w:rsidR="001079A3" w:rsidRPr="003731CD" w:rsidRDefault="00BB6FCD">
      <w:pPr>
        <w:pStyle w:val="FootnoteText"/>
      </w:pPr>
      <w:r w:rsidRPr="003731CD">
        <w:rPr>
          <w:rStyle w:val="FootnoteReference"/>
        </w:rPr>
        <w:footnoteRef/>
      </w:r>
      <w:r w:rsidRPr="003731CD">
        <w:t xml:space="preserve"> Zob. pkt</w:t>
      </w:r>
      <w:r w:rsidR="003731CD" w:rsidRPr="003731CD">
        <w:t> </w:t>
      </w:r>
      <w:r w:rsidRPr="003731CD">
        <w:t>2.2 dokumentu roboczego służb Komisji.</w:t>
      </w:r>
    </w:p>
  </w:footnote>
  <w:footnote w:id="28">
    <w:p w:rsidR="001079A3" w:rsidRPr="003731CD" w:rsidRDefault="00BB6FCD">
      <w:pPr>
        <w:pStyle w:val="FootnoteText"/>
      </w:pPr>
      <w:r w:rsidRPr="003731CD">
        <w:rPr>
          <w:rStyle w:val="FootnoteReference"/>
        </w:rPr>
        <w:footnoteRef/>
      </w:r>
      <w:r w:rsidRPr="003731CD">
        <w:t xml:space="preserve"> W okresie od dnia 25 maja 2018</w:t>
      </w:r>
      <w:r w:rsidR="003731CD" w:rsidRPr="003731CD">
        <w:t> </w:t>
      </w:r>
      <w:r w:rsidRPr="003731CD">
        <w:t>r. do dnia 31 grudnia 2019</w:t>
      </w:r>
      <w:r w:rsidR="003731CD" w:rsidRPr="003731CD">
        <w:t> </w:t>
      </w:r>
      <w:r w:rsidRPr="003731CD">
        <w:t>r.</w:t>
      </w:r>
      <w:r w:rsidR="003731CD" w:rsidRPr="003731CD">
        <w:t xml:space="preserve"> w ram</w:t>
      </w:r>
      <w:r w:rsidRPr="003731CD">
        <w:t>ach procedury kompleksowej obsługi przedłożono 141 projektów decyzji,</w:t>
      </w:r>
      <w:r w:rsidR="003731CD" w:rsidRPr="003731CD">
        <w:t xml:space="preserve"> z cze</w:t>
      </w:r>
      <w:r w:rsidRPr="003731CD">
        <w:t>go 79 skutkowało wydaniem ostatecznych decyzji.</w:t>
      </w:r>
    </w:p>
  </w:footnote>
  <w:footnote w:id="29">
    <w:p w:rsidR="001079A3" w:rsidRPr="003731CD" w:rsidRDefault="00BB6FCD">
      <w:pPr>
        <w:pStyle w:val="FootnoteText"/>
      </w:pPr>
      <w:r w:rsidRPr="003731CD">
        <w:rPr>
          <w:rStyle w:val="FootnoteReference"/>
        </w:rPr>
        <w:footnoteRef/>
      </w:r>
      <w:r w:rsidRPr="003731CD">
        <w:t xml:space="preserve"> Na przykład krajowe wykazy rodzajów operacji przetwarzania, które wymagają oceny skutków</w:t>
      </w:r>
      <w:r w:rsidR="003731CD" w:rsidRPr="003731CD">
        <w:t xml:space="preserve"> w zak</w:t>
      </w:r>
      <w:r w:rsidRPr="003731CD">
        <w:t>resie ochrony danych na podstawie art.</w:t>
      </w:r>
      <w:r w:rsidR="003731CD" w:rsidRPr="003731CD">
        <w:t> </w:t>
      </w:r>
      <w:r w:rsidRPr="003731CD">
        <w:t xml:space="preserve">35 RODO, mogłyby zostać bardziej zharmonizowane. </w:t>
      </w:r>
    </w:p>
  </w:footnote>
  <w:footnote w:id="30">
    <w:p w:rsidR="001079A3" w:rsidRPr="003731CD" w:rsidRDefault="00BB6FCD">
      <w:pPr>
        <w:pStyle w:val="FootnoteText"/>
      </w:pPr>
      <w:r w:rsidRPr="003731CD">
        <w:rPr>
          <w:rStyle w:val="FootnoteReference"/>
        </w:rPr>
        <w:footnoteRef/>
      </w:r>
      <w:r w:rsidRPr="003731CD">
        <w:t xml:space="preserve"> Zob. pkt</w:t>
      </w:r>
      <w:r w:rsidR="003731CD" w:rsidRPr="003731CD">
        <w:t> </w:t>
      </w:r>
      <w:r w:rsidRPr="003731CD">
        <w:t>2.2 dokumentu roboczego służb Komisji.</w:t>
      </w:r>
    </w:p>
  </w:footnote>
  <w:footnote w:id="31">
    <w:p w:rsidR="001079A3" w:rsidRPr="003731CD" w:rsidRDefault="00BB6FCD">
      <w:pPr>
        <w:pStyle w:val="FootnoteText"/>
      </w:pPr>
      <w:r w:rsidRPr="003731CD">
        <w:rPr>
          <w:rStyle w:val="FootnoteReference"/>
        </w:rPr>
        <w:footnoteRef/>
      </w:r>
      <w:r w:rsidRPr="003731CD">
        <w:t xml:space="preserve"> W szczególności przedstawicielami przedsiębiorstw</w:t>
      </w:r>
      <w:r w:rsidR="003731CD" w:rsidRPr="003731CD">
        <w:t xml:space="preserve"> i spo</w:t>
      </w:r>
      <w:r w:rsidRPr="003731CD">
        <w:t>łeczeństwa obywatelskiego. Zob. pkt</w:t>
      </w:r>
      <w:r w:rsidR="003731CD" w:rsidRPr="003731CD">
        <w:t> </w:t>
      </w:r>
      <w:r w:rsidRPr="003731CD">
        <w:t>2.3 dokumentu roboczego służb Komisji.</w:t>
      </w:r>
    </w:p>
  </w:footnote>
  <w:footnote w:id="32">
    <w:p w:rsidR="001079A3" w:rsidRPr="003731CD" w:rsidRDefault="00BB6FCD">
      <w:pPr>
        <w:pStyle w:val="FootnoteText"/>
      </w:pPr>
      <w:r w:rsidRPr="003731CD">
        <w:rPr>
          <w:rStyle w:val="FootnoteReference"/>
        </w:rPr>
        <w:footnoteRef/>
      </w:r>
      <w:r w:rsidRPr="003731CD">
        <w:t xml:space="preserve"> Są one uzupełnieniem 10 wytycznych przyjętych przez Grupę Roboczą Art. 29</w:t>
      </w:r>
      <w:r w:rsidR="003731CD" w:rsidRPr="003731CD">
        <w:t xml:space="preserve"> w okr</w:t>
      </w:r>
      <w:r w:rsidRPr="003731CD">
        <w:t>esie poprzedzającym rozpoczęcie stosowania rozporządzenia</w:t>
      </w:r>
      <w:r w:rsidR="003731CD" w:rsidRPr="003731CD">
        <w:t xml:space="preserve"> i zat</w:t>
      </w:r>
      <w:r w:rsidRPr="003731CD">
        <w:t>wierdzonych przez EROD. Między styczniem</w:t>
      </w:r>
      <w:r w:rsidR="003731CD" w:rsidRPr="003731CD">
        <w:t xml:space="preserve"> a koń</w:t>
      </w:r>
      <w:r w:rsidRPr="003731CD">
        <w:t>cem maja 2020</w:t>
      </w:r>
      <w:r w:rsidR="003731CD" w:rsidRPr="003731CD">
        <w:t> </w:t>
      </w:r>
      <w:r w:rsidRPr="003731CD">
        <w:t>r. EROD przyjął również dodatkowe 4 wytyczne</w:t>
      </w:r>
      <w:r w:rsidR="003731CD" w:rsidRPr="003731CD">
        <w:t xml:space="preserve"> i dok</w:t>
      </w:r>
      <w:r w:rsidRPr="003731CD">
        <w:t>onał aktualizacji istniejących wcześniej wytycznych.</w:t>
      </w:r>
    </w:p>
  </w:footnote>
  <w:footnote w:id="33">
    <w:p w:rsidR="001079A3" w:rsidRPr="003731CD" w:rsidRDefault="00BB6FCD">
      <w:pPr>
        <w:pStyle w:val="FootnoteText"/>
      </w:pPr>
      <w:r w:rsidRPr="003731CD">
        <w:rPr>
          <w:rStyle w:val="FootnoteReference"/>
        </w:rPr>
        <w:footnoteRef/>
      </w:r>
      <w:r w:rsidRPr="003731CD">
        <w:t xml:space="preserve"> 42</w:t>
      </w:r>
      <w:r w:rsidR="003731CD" w:rsidRPr="003731CD">
        <w:t xml:space="preserve"> z tyc</w:t>
      </w:r>
      <w:r w:rsidRPr="003731CD">
        <w:t>h opinii przyjęto na podstawie art.</w:t>
      </w:r>
      <w:r w:rsidR="003731CD" w:rsidRPr="003731CD">
        <w:t> </w:t>
      </w:r>
      <w:r w:rsidRPr="003731CD">
        <w:t>64 RODO,</w:t>
      </w:r>
      <w:r w:rsidR="003731CD" w:rsidRPr="003731CD">
        <w:t xml:space="preserve"> a jed</w:t>
      </w:r>
      <w:r w:rsidRPr="003731CD">
        <w:t>na została przyjęta na podstawie art.</w:t>
      </w:r>
      <w:r w:rsidR="003731CD" w:rsidRPr="003731CD">
        <w:t> </w:t>
      </w:r>
      <w:r w:rsidRPr="003731CD">
        <w:t>70 ust.</w:t>
      </w:r>
      <w:r w:rsidR="003731CD" w:rsidRPr="003731CD">
        <w:t> </w:t>
      </w:r>
      <w:r w:rsidRPr="003731CD">
        <w:t>1 lit.</w:t>
      </w:r>
      <w:r w:rsidR="003731CD" w:rsidRPr="003731CD">
        <w:t> </w:t>
      </w:r>
      <w:r w:rsidRPr="003731CD">
        <w:t>s) RODO</w:t>
      </w:r>
      <w:r w:rsidR="003731CD" w:rsidRPr="003731CD">
        <w:t xml:space="preserve"> i dot</w:t>
      </w:r>
      <w:r w:rsidRPr="003731CD">
        <w:t>yczyła decyzji stwierdzającej odpowiedni stopień ochrony</w:t>
      </w:r>
      <w:r w:rsidR="003731CD" w:rsidRPr="003731CD">
        <w:t xml:space="preserve"> w odn</w:t>
      </w:r>
      <w:r w:rsidRPr="003731CD">
        <w:t>iesieniu do Japonii.</w:t>
      </w:r>
    </w:p>
  </w:footnote>
  <w:footnote w:id="34">
    <w:p w:rsidR="001079A3" w:rsidRPr="003731CD" w:rsidRDefault="00BB6FCD">
      <w:pPr>
        <w:pStyle w:val="FootnoteText"/>
      </w:pPr>
      <w:r w:rsidRPr="003731CD">
        <w:rPr>
          <w:rStyle w:val="FootnoteReference"/>
        </w:rPr>
        <w:footnoteRef/>
      </w:r>
      <w:r w:rsidRPr="003731CD">
        <w:t xml:space="preserve"> Komunikat Komisji do Parlamentu Europejskiego</w:t>
      </w:r>
      <w:r w:rsidR="003731CD" w:rsidRPr="003731CD">
        <w:t xml:space="preserve"> i Rad</w:t>
      </w:r>
      <w:r w:rsidRPr="003731CD">
        <w:t>y, „Przepisy dotyczące ochrony danych jako czynnik sprzyjający zaufaniu w UE</w:t>
      </w:r>
      <w:r w:rsidR="003731CD" w:rsidRPr="003731CD">
        <w:t xml:space="preserve"> i poz</w:t>
      </w:r>
      <w:r w:rsidRPr="003731CD">
        <w:t xml:space="preserve">a nią – podsumowanie”, COM(2019) 374 </w:t>
      </w:r>
      <w:proofErr w:type="spellStart"/>
      <w:r w:rsidRPr="003731CD">
        <w:t>final</w:t>
      </w:r>
      <w:proofErr w:type="spellEnd"/>
      <w:r w:rsidR="003731CD" w:rsidRPr="003731CD">
        <w:t xml:space="preserve"> z 2</w:t>
      </w:r>
      <w:r w:rsidRPr="003731CD">
        <w:t xml:space="preserve">4.7.2019. </w:t>
      </w:r>
    </w:p>
  </w:footnote>
  <w:footnote w:id="35">
    <w:p w:rsidR="001079A3" w:rsidRPr="003731CD" w:rsidRDefault="00BB6FCD">
      <w:pPr>
        <w:pStyle w:val="FootnoteText"/>
      </w:pPr>
      <w:r w:rsidRPr="003731CD">
        <w:rPr>
          <w:rStyle w:val="FootnoteReference"/>
        </w:rPr>
        <w:footnoteRef/>
      </w:r>
      <w:r w:rsidRPr="003731CD">
        <w:t xml:space="preserve"> W latach 2016–2019 odnotowano łączny wzrost liczby personelu</w:t>
      </w:r>
      <w:r w:rsidR="003731CD" w:rsidRPr="003731CD">
        <w:t xml:space="preserve"> o 4</w:t>
      </w:r>
      <w:r w:rsidRPr="003731CD">
        <w:t>2 % oraz wzrost budżetu krajowych organów ochrony danych w EOG</w:t>
      </w:r>
      <w:r w:rsidR="003731CD" w:rsidRPr="003731CD">
        <w:t xml:space="preserve"> o 4</w:t>
      </w:r>
      <w:r w:rsidRPr="003731CD">
        <w:t>9 %.</w:t>
      </w:r>
    </w:p>
  </w:footnote>
  <w:footnote w:id="36">
    <w:p w:rsidR="001079A3" w:rsidRPr="003731CD" w:rsidRDefault="00BB6FCD">
      <w:pPr>
        <w:pStyle w:val="FootnoteText"/>
      </w:pPr>
      <w:r w:rsidRPr="003731CD">
        <w:rPr>
          <w:rStyle w:val="FootnoteReference"/>
        </w:rPr>
        <w:footnoteRef/>
      </w:r>
      <w:r w:rsidRPr="003731CD">
        <w:t xml:space="preserve"> Zob. pkt</w:t>
      </w:r>
      <w:r w:rsidR="003731CD" w:rsidRPr="003731CD">
        <w:t> </w:t>
      </w:r>
      <w:r w:rsidRPr="003731CD">
        <w:t>2.4 dokumentu roboczego służb Komisji.</w:t>
      </w:r>
    </w:p>
  </w:footnote>
  <w:footnote w:id="37">
    <w:p w:rsidR="001079A3" w:rsidRPr="003731CD" w:rsidRDefault="00BB6FCD">
      <w:pPr>
        <w:pStyle w:val="FootnoteText"/>
      </w:pPr>
      <w:r w:rsidRPr="003731CD">
        <w:rPr>
          <w:rStyle w:val="FootnoteReference"/>
        </w:rPr>
        <w:footnoteRef/>
      </w:r>
      <w:r w:rsidRPr="003731CD">
        <w:t xml:space="preserve"> W ostatnim czasie za pośrednictwem pisma komisarza </w:t>
      </w:r>
      <w:proofErr w:type="spellStart"/>
      <w:r w:rsidRPr="003731CD">
        <w:t>Reyndersa</w:t>
      </w:r>
      <w:proofErr w:type="spellEnd"/>
      <w:r w:rsidR="003731CD" w:rsidRPr="003731CD">
        <w:t xml:space="preserve"> w mar</w:t>
      </w:r>
      <w:r w:rsidRPr="003731CD">
        <w:t>cu 2020</w:t>
      </w:r>
      <w:r w:rsidR="003731CD" w:rsidRPr="003731CD">
        <w:t> </w:t>
      </w:r>
      <w:r w:rsidRPr="003731CD">
        <w:t>r.</w:t>
      </w:r>
    </w:p>
  </w:footnote>
  <w:footnote w:id="38">
    <w:p w:rsidR="001079A3" w:rsidRPr="003731CD" w:rsidRDefault="00BB6FCD">
      <w:pPr>
        <w:pStyle w:val="FootnoteText"/>
      </w:pPr>
      <w:r w:rsidRPr="003731CD">
        <w:rPr>
          <w:rStyle w:val="FootnoteReference"/>
        </w:rPr>
        <w:footnoteRef/>
      </w:r>
      <w:r w:rsidRPr="003731CD">
        <w:t xml:space="preserve"> Należy zauważyć, że krajowy organ ochrony danych</w:t>
      </w:r>
      <w:r w:rsidR="003731CD" w:rsidRPr="003731CD">
        <w:t xml:space="preserve"> w Sło</w:t>
      </w:r>
      <w:r w:rsidRPr="003731CD">
        <w:t>wenii został ustanowiony na podstawie obowiązującego krajowego prawa</w:t>
      </w:r>
      <w:r w:rsidR="003731CD" w:rsidRPr="003731CD">
        <w:t xml:space="preserve"> o och</w:t>
      </w:r>
      <w:r w:rsidRPr="003731CD">
        <w:t>ronie danych</w:t>
      </w:r>
      <w:r w:rsidR="003731CD" w:rsidRPr="003731CD">
        <w:t xml:space="preserve"> i nad</w:t>
      </w:r>
      <w:r w:rsidRPr="003731CD">
        <w:t>zoruje stosowanie RODO</w:t>
      </w:r>
      <w:r w:rsidR="003731CD" w:rsidRPr="003731CD">
        <w:t xml:space="preserve"> w tym</w:t>
      </w:r>
      <w:r w:rsidRPr="003731CD">
        <w:t xml:space="preserve"> państwie członkowskim.</w:t>
      </w:r>
    </w:p>
  </w:footnote>
  <w:footnote w:id="39">
    <w:p w:rsidR="001079A3" w:rsidRPr="003731CD" w:rsidRDefault="00BB6FCD">
      <w:pPr>
        <w:pStyle w:val="FootnoteText"/>
      </w:pPr>
      <w:r w:rsidRPr="003731CD">
        <w:rPr>
          <w:rStyle w:val="FootnoteReference"/>
        </w:rPr>
        <w:footnoteRef/>
      </w:r>
      <w:r w:rsidRPr="003731CD">
        <w:t xml:space="preserve"> Zob. pkt</w:t>
      </w:r>
      <w:r w:rsidR="003731CD" w:rsidRPr="003731CD">
        <w:t> </w:t>
      </w:r>
      <w:r w:rsidRPr="003731CD">
        <w:t>3.1 dokumentu roboczego służb Komisji.</w:t>
      </w:r>
    </w:p>
  </w:footnote>
  <w:footnote w:id="40">
    <w:p w:rsidR="001079A3" w:rsidRPr="003731CD" w:rsidRDefault="00BB6FCD">
      <w:pPr>
        <w:pStyle w:val="FootnoteText"/>
      </w:pPr>
      <w:r w:rsidRPr="003731CD">
        <w:rPr>
          <w:rStyle w:val="FootnoteReference"/>
        </w:rPr>
        <w:footnoteRef/>
      </w:r>
      <w:r w:rsidRPr="003731CD">
        <w:t xml:space="preserve"> Zob. pkt</w:t>
      </w:r>
      <w:r w:rsidR="003731CD" w:rsidRPr="003731CD">
        <w:t> </w:t>
      </w:r>
      <w:r w:rsidRPr="003731CD">
        <w:t>3.2 dokumentu roboczego służb Komisji.</w:t>
      </w:r>
    </w:p>
  </w:footnote>
  <w:footnote w:id="41">
    <w:p w:rsidR="001079A3" w:rsidRPr="003731CD" w:rsidRDefault="00BB6FCD">
      <w:pPr>
        <w:pStyle w:val="FootnoteText"/>
      </w:pPr>
      <w:r w:rsidRPr="003731CD">
        <w:rPr>
          <w:rStyle w:val="FootnoteReference"/>
        </w:rPr>
        <w:footnoteRef/>
      </w:r>
      <w:r w:rsidRPr="003731CD">
        <w:t xml:space="preserve"> Art. 52 ust.</w:t>
      </w:r>
      <w:r w:rsidR="003731CD" w:rsidRPr="003731CD">
        <w:t> </w:t>
      </w:r>
      <w:r w:rsidRPr="003731CD">
        <w:t>1 Karty.</w:t>
      </w:r>
    </w:p>
  </w:footnote>
  <w:footnote w:id="42">
    <w:p w:rsidR="001079A3" w:rsidRPr="003731CD" w:rsidRDefault="00BB6FCD">
      <w:pPr>
        <w:pStyle w:val="FootnoteText"/>
      </w:pPr>
      <w:r w:rsidRPr="003731CD">
        <w:rPr>
          <w:rStyle w:val="FootnoteReference"/>
        </w:rPr>
        <w:footnoteRef/>
      </w:r>
      <w:r w:rsidRPr="003731CD">
        <w:t xml:space="preserve"> Zob. pkt</w:t>
      </w:r>
      <w:r w:rsidR="003731CD" w:rsidRPr="003731CD">
        <w:t> </w:t>
      </w:r>
      <w:r w:rsidRPr="003731CD">
        <w:t xml:space="preserve">3.1 dokumentu roboczego służb Komisji: </w:t>
      </w:r>
      <w:bookmarkStart w:id="64" w:name="_Toc43107917"/>
      <w:bookmarkStart w:id="65" w:name="_Toc43108833"/>
      <w:r w:rsidRPr="003731CD">
        <w:t>Godzenie prawa do ochrony danych osobowych</w:t>
      </w:r>
      <w:r w:rsidR="003731CD" w:rsidRPr="003731CD">
        <w:t xml:space="preserve"> z pra</w:t>
      </w:r>
      <w:r w:rsidRPr="003731CD">
        <w:t>wem do wolności wypowiedzi</w:t>
      </w:r>
      <w:r w:rsidR="003731CD" w:rsidRPr="003731CD">
        <w:t xml:space="preserve"> i inf</w:t>
      </w:r>
      <w:r w:rsidRPr="003731CD">
        <w:t>ormacji</w:t>
      </w:r>
      <w:bookmarkEnd w:id="64"/>
      <w:bookmarkEnd w:id="65"/>
      <w:r w:rsidRPr="003731CD">
        <w:t>.</w:t>
      </w:r>
    </w:p>
  </w:footnote>
  <w:footnote w:id="43">
    <w:p w:rsidR="001079A3" w:rsidRPr="003731CD" w:rsidRDefault="00BB6FCD">
      <w:pPr>
        <w:pStyle w:val="FootnoteText"/>
      </w:pPr>
      <w:r w:rsidRPr="003731CD">
        <w:rPr>
          <w:rStyle w:val="FootnoteReference"/>
        </w:rPr>
        <w:footnoteRef/>
      </w:r>
      <w:r w:rsidRPr="003731CD">
        <w:t xml:space="preserve"> Komisja rozpoczęła badanie dotyczące oceny przepisów państw członkowskich</w:t>
      </w:r>
      <w:r w:rsidR="003731CD" w:rsidRPr="003731CD">
        <w:t xml:space="preserve"> w dzi</w:t>
      </w:r>
      <w:r w:rsidRPr="003731CD">
        <w:t>edzinie danych</w:t>
      </w:r>
      <w:r w:rsidR="003731CD" w:rsidRPr="003731CD">
        <w:t xml:space="preserve"> w zak</w:t>
      </w:r>
      <w:r w:rsidRPr="003731CD">
        <w:t>resie zdrowia</w:t>
      </w:r>
      <w:r w:rsidR="003731CD" w:rsidRPr="003731CD">
        <w:t xml:space="preserve"> w świ</w:t>
      </w:r>
      <w:r w:rsidRPr="003731CD">
        <w:t xml:space="preserve">etle RODO”, </w:t>
      </w:r>
      <w:proofErr w:type="spellStart"/>
      <w:r w:rsidRPr="003731CD">
        <w:t>Chafea</w:t>
      </w:r>
      <w:proofErr w:type="spellEnd"/>
      <w:r w:rsidRPr="003731CD">
        <w:t>/2018/</w:t>
      </w:r>
      <w:proofErr w:type="spellStart"/>
      <w:r w:rsidRPr="003731CD">
        <w:t>Health</w:t>
      </w:r>
      <w:proofErr w:type="spellEnd"/>
      <w:r w:rsidRPr="003731CD">
        <w:t>/03, umowa szczegółowa nr</w:t>
      </w:r>
      <w:r w:rsidR="003731CD" w:rsidRPr="003731CD">
        <w:t> </w:t>
      </w:r>
      <w:r w:rsidRPr="003731CD">
        <w:t>2019 70 01.</w:t>
      </w:r>
    </w:p>
  </w:footnote>
  <w:footnote w:id="44">
    <w:p w:rsidR="001079A3" w:rsidRPr="003731CD" w:rsidRDefault="00BB6FCD">
      <w:pPr>
        <w:pStyle w:val="FootnoteText"/>
      </w:pPr>
      <w:r w:rsidRPr="003731CD">
        <w:rPr>
          <w:rStyle w:val="FootnoteReference"/>
        </w:rPr>
        <w:footnoteRef/>
      </w:r>
      <w:r w:rsidRPr="003731CD">
        <w:t xml:space="preserve"> Zob. działania zapowiedziane</w:t>
      </w:r>
      <w:r w:rsidR="003731CD" w:rsidRPr="003731CD">
        <w:t xml:space="preserve"> w eur</w:t>
      </w:r>
      <w:r w:rsidRPr="003731CD">
        <w:t>opejskiej strategii</w:t>
      </w:r>
      <w:r w:rsidR="003731CD" w:rsidRPr="003731CD">
        <w:t xml:space="preserve"> w zak</w:t>
      </w:r>
      <w:r w:rsidRPr="003731CD">
        <w:t>resie danych, s. 30.</w:t>
      </w:r>
    </w:p>
  </w:footnote>
  <w:footnote w:id="45">
    <w:p w:rsidR="001079A3" w:rsidRPr="003731CD" w:rsidRDefault="00BB6FCD">
      <w:pPr>
        <w:pStyle w:val="FootnoteText"/>
      </w:pPr>
      <w:r w:rsidRPr="003731CD">
        <w:rPr>
          <w:rStyle w:val="FootnoteReference"/>
        </w:rPr>
        <w:footnoteRef/>
      </w:r>
      <w:r w:rsidRPr="003731CD">
        <w:t xml:space="preserve"> Agencja Praw Podstawowych Unii Europejskiej (FRA) (2020): ankieta dot. praw podstawowych</w:t>
      </w:r>
      <w:r w:rsidR="003731CD" w:rsidRPr="003731CD">
        <w:t xml:space="preserve"> z 2</w:t>
      </w:r>
      <w:r w:rsidRPr="003731CD">
        <w:t>019</w:t>
      </w:r>
      <w:r w:rsidR="003731CD" w:rsidRPr="003731CD">
        <w:t> </w:t>
      </w:r>
      <w:r w:rsidRPr="003731CD">
        <w:t>r. Ochrona danych</w:t>
      </w:r>
      <w:r w:rsidR="003731CD" w:rsidRPr="003731CD">
        <w:t xml:space="preserve"> i tec</w:t>
      </w:r>
      <w:r w:rsidRPr="003731CD">
        <w:t>hnologia: https</w:t>
      </w:r>
      <w:proofErr w:type="gramStart"/>
      <w:r w:rsidRPr="003731CD">
        <w:t>://fra</w:t>
      </w:r>
      <w:proofErr w:type="gramEnd"/>
      <w:r w:rsidRPr="003731CD">
        <w:t>.</w:t>
      </w:r>
      <w:proofErr w:type="gramStart"/>
      <w:r w:rsidRPr="003731CD">
        <w:t>europa</w:t>
      </w:r>
      <w:proofErr w:type="gramEnd"/>
      <w:r w:rsidRPr="003731CD">
        <w:t>.</w:t>
      </w:r>
      <w:proofErr w:type="gramStart"/>
      <w:r w:rsidRPr="003731CD">
        <w:t>eu</w:t>
      </w:r>
      <w:proofErr w:type="gramEnd"/>
      <w:r w:rsidRPr="003731CD">
        <w:t>/en/publication/2020/fundamental-rights-survey-data-protection.</w:t>
      </w:r>
    </w:p>
  </w:footnote>
  <w:footnote w:id="46">
    <w:p w:rsidR="001079A3" w:rsidRPr="003731CD" w:rsidRDefault="00BB6FCD">
      <w:pPr>
        <w:pStyle w:val="FootnoteText"/>
      </w:pPr>
      <w:r w:rsidRPr="003731CD">
        <w:rPr>
          <w:rStyle w:val="FootnoteReference"/>
        </w:rPr>
        <w:footnoteRef/>
      </w:r>
      <w:r w:rsidRPr="003731CD">
        <w:t xml:space="preserve"> Oczekuje się, że proponowana dyrektywa</w:t>
      </w:r>
      <w:r w:rsidR="003731CD" w:rsidRPr="003731CD">
        <w:t xml:space="preserve"> w spr</w:t>
      </w:r>
      <w:r w:rsidRPr="003731CD">
        <w:t>awie powództw przedstawicielskich</w:t>
      </w:r>
      <w:r w:rsidR="003731CD" w:rsidRPr="003731CD">
        <w:t xml:space="preserve"> w cel</w:t>
      </w:r>
      <w:r w:rsidRPr="003731CD">
        <w:t xml:space="preserve">u ochrony zbiorowych interesów konsumentów (COM(2018) 184 </w:t>
      </w:r>
      <w:proofErr w:type="spellStart"/>
      <w:r w:rsidRPr="003731CD">
        <w:t>final</w:t>
      </w:r>
      <w:proofErr w:type="spellEnd"/>
      <w:r w:rsidRPr="003731CD">
        <w:t xml:space="preserve"> – 2018/089 (COD)), po jej przyjęciu, wzmocni ramy powództw przedstawicielskich również</w:t>
      </w:r>
      <w:r w:rsidR="003731CD" w:rsidRPr="003731CD">
        <w:t xml:space="preserve"> w dzi</w:t>
      </w:r>
      <w:r w:rsidRPr="003731CD">
        <w:t>edzinie ochrony danych.</w:t>
      </w:r>
    </w:p>
  </w:footnote>
  <w:footnote w:id="47">
    <w:p w:rsidR="001079A3" w:rsidRPr="003731CD" w:rsidRDefault="00BB6FCD">
      <w:pPr>
        <w:pStyle w:val="FootnoteText"/>
      </w:pPr>
      <w:r w:rsidRPr="003731CD">
        <w:rPr>
          <w:rStyle w:val="FootnoteReference"/>
        </w:rPr>
        <w:footnoteRef/>
      </w:r>
      <w:r w:rsidRPr="003731CD">
        <w:t xml:space="preserve"> Może to obejmować m.in. narzędzia zarządzania zgodą oraz aplikacje zarządzania danymi osobowymi. </w:t>
      </w:r>
    </w:p>
  </w:footnote>
  <w:footnote w:id="48">
    <w:p w:rsidR="001079A3" w:rsidRPr="003731CD" w:rsidRDefault="00BB6FCD">
      <w:pPr>
        <w:pStyle w:val="FootnoteText"/>
      </w:pPr>
      <w:r w:rsidRPr="003731CD">
        <w:rPr>
          <w:rStyle w:val="FootnoteReference"/>
        </w:rPr>
        <w:footnoteRef/>
      </w:r>
      <w:r w:rsidRPr="003731CD">
        <w:t xml:space="preserve"> </w:t>
      </w:r>
      <w:hyperlink r:id="rId12" w:history="1">
        <w:r w:rsidRPr="003731CD">
          <w:rPr>
            <w:rStyle w:val="Hyperlink"/>
          </w:rPr>
          <w:t>https://ec.europa.eu/commission/presscorner/detail/pl/ip_20_962</w:t>
        </w:r>
      </w:hyperlink>
      <w:r w:rsidRPr="003731CD">
        <w:t xml:space="preserve"> </w:t>
      </w:r>
    </w:p>
  </w:footnote>
  <w:footnote w:id="49">
    <w:p w:rsidR="001079A3" w:rsidRPr="003731CD" w:rsidRDefault="00BB6FCD">
      <w:pPr>
        <w:pStyle w:val="FootnoteText"/>
      </w:pPr>
      <w:r w:rsidRPr="003731CD">
        <w:rPr>
          <w:rStyle w:val="FootnoteReference"/>
        </w:rPr>
        <w:footnoteRef/>
      </w:r>
      <w:r w:rsidRPr="003731CD">
        <w:t xml:space="preserve"> Rozporządzenie Parlamentu Europejskiego</w:t>
      </w:r>
      <w:r w:rsidR="003731CD" w:rsidRPr="003731CD">
        <w:t xml:space="preserve"> i Rad</w:t>
      </w:r>
      <w:r w:rsidRPr="003731CD">
        <w:t>y (UE) 2018/1807</w:t>
      </w:r>
      <w:r w:rsidR="003731CD" w:rsidRPr="003731CD">
        <w:t xml:space="preserve"> z dni</w:t>
      </w:r>
      <w:r w:rsidRPr="003731CD">
        <w:t>a 14 listopada 2018</w:t>
      </w:r>
      <w:r w:rsidR="003731CD" w:rsidRPr="003731CD">
        <w:t> </w:t>
      </w:r>
      <w:r w:rsidRPr="003731CD">
        <w:t>r.</w:t>
      </w:r>
      <w:r w:rsidR="003731CD" w:rsidRPr="003731CD">
        <w:t xml:space="preserve"> w spr</w:t>
      </w:r>
      <w:r w:rsidRPr="003731CD">
        <w:t>awie ram swobodnego przepływu danych nieosobowych</w:t>
      </w:r>
      <w:r w:rsidR="003731CD" w:rsidRPr="003731CD">
        <w:t xml:space="preserve"> w Uni</w:t>
      </w:r>
      <w:r w:rsidRPr="003731CD">
        <w:t>i Europejskiej, Dz.U. L 303</w:t>
      </w:r>
      <w:r w:rsidR="003731CD" w:rsidRPr="003731CD">
        <w:t xml:space="preserve"> z 2</w:t>
      </w:r>
      <w:r w:rsidRPr="003731CD">
        <w:t xml:space="preserve">8.11.2018, </w:t>
      </w:r>
      <w:proofErr w:type="gramStart"/>
      <w:r w:rsidRPr="003731CD">
        <w:t>s</w:t>
      </w:r>
      <w:proofErr w:type="gramEnd"/>
      <w:r w:rsidRPr="003731CD">
        <w:t>. 59.</w:t>
      </w:r>
    </w:p>
  </w:footnote>
  <w:footnote w:id="50">
    <w:p w:rsidR="001079A3" w:rsidRPr="003731CD" w:rsidRDefault="00BB6FCD">
      <w:pPr>
        <w:pStyle w:val="FootnoteText"/>
      </w:pPr>
      <w:r w:rsidRPr="003731CD">
        <w:rPr>
          <w:rStyle w:val="FootnoteReference"/>
        </w:rPr>
        <w:footnoteRef/>
      </w:r>
      <w:r w:rsidRPr="003731CD">
        <w:t xml:space="preserve"> Zob. pkt</w:t>
      </w:r>
      <w:r w:rsidR="003731CD" w:rsidRPr="003731CD">
        <w:t> </w:t>
      </w:r>
      <w:r w:rsidRPr="003731CD">
        <w:t xml:space="preserve">5 dokumentu roboczego służb Komisji. Zob. również COM(2019) 250 </w:t>
      </w:r>
      <w:proofErr w:type="spellStart"/>
      <w:r w:rsidRPr="003731CD">
        <w:t>final</w:t>
      </w:r>
      <w:proofErr w:type="spellEnd"/>
      <w:r w:rsidRPr="003731CD">
        <w:t>, Wytyczne dotyczące rozporządzenia</w:t>
      </w:r>
      <w:r w:rsidR="003731CD" w:rsidRPr="003731CD">
        <w:t xml:space="preserve"> w spr</w:t>
      </w:r>
      <w:r w:rsidRPr="003731CD">
        <w:t>awie ram swobodnego przepływu danych nieosobowych</w:t>
      </w:r>
      <w:r w:rsidR="003731CD" w:rsidRPr="003731CD">
        <w:t xml:space="preserve"> w Uni</w:t>
      </w:r>
      <w:r w:rsidRPr="003731CD">
        <w:t>i Europejskiej</w:t>
      </w:r>
      <w:r w:rsidR="003731CD" w:rsidRPr="003731CD">
        <w:t xml:space="preserve">, </w:t>
      </w:r>
      <w:r w:rsidRPr="003731CD">
        <w:t>wyjaśniające zasady regulujące przetwarzanie mieszanych zbiorów danych, składających się zarówno</w:t>
      </w:r>
      <w:r w:rsidR="003731CD" w:rsidRPr="003731CD">
        <w:t xml:space="preserve"> z dan</w:t>
      </w:r>
      <w:r w:rsidRPr="003731CD">
        <w:t>ych osobowych, jak</w:t>
      </w:r>
      <w:r w:rsidR="003731CD" w:rsidRPr="003731CD">
        <w:t xml:space="preserve"> i nie</w:t>
      </w:r>
      <w:r w:rsidRPr="003731CD">
        <w:t>osobowych,</w:t>
      </w:r>
      <w:r w:rsidR="003731CD" w:rsidRPr="003731CD">
        <w:t xml:space="preserve"> i zaw</w:t>
      </w:r>
      <w:r w:rsidRPr="003731CD">
        <w:t>ierające praktyczne rozwiązania dla przedsiębiorstw,</w:t>
      </w:r>
      <w:r w:rsidR="003731CD" w:rsidRPr="003731CD">
        <w:t xml:space="preserve"> w tym</w:t>
      </w:r>
      <w:r w:rsidRPr="003731CD">
        <w:t xml:space="preserve"> dla MŚP.</w:t>
      </w:r>
    </w:p>
  </w:footnote>
  <w:footnote w:id="51">
    <w:p w:rsidR="001079A3" w:rsidRPr="003731CD" w:rsidRDefault="00BB6FCD">
      <w:pPr>
        <w:pStyle w:val="FootnoteText"/>
      </w:pPr>
      <w:r w:rsidRPr="003731CD">
        <w:rPr>
          <w:rStyle w:val="FootnoteReference"/>
        </w:rPr>
        <w:footnoteRef/>
      </w:r>
      <w:r w:rsidRPr="003731CD">
        <w:t xml:space="preserve"> Komisja udzieliła wsparcia finansowego</w:t>
      </w:r>
      <w:r w:rsidR="003731CD" w:rsidRPr="003731CD">
        <w:t xml:space="preserve"> w pos</w:t>
      </w:r>
      <w:r w:rsidRPr="003731CD">
        <w:t>taci trzech fal dotacji, na łączną kwotę 5 mln EUR, przy czym dwie ostatnie są przeznaczone specjalnie na wspieranie krajowych organów ochrony danych</w:t>
      </w:r>
      <w:r w:rsidR="003731CD" w:rsidRPr="003731CD">
        <w:t xml:space="preserve"> w wys</w:t>
      </w:r>
      <w:r w:rsidRPr="003731CD">
        <w:t>iłkach na rzecz dotarcia do osób fizycznych oraz małych</w:t>
      </w:r>
      <w:r w:rsidR="003731CD" w:rsidRPr="003731CD">
        <w:t xml:space="preserve"> i śre</w:t>
      </w:r>
      <w:r w:rsidRPr="003731CD">
        <w:t xml:space="preserve">dnich przedsiębiorstw: </w:t>
      </w:r>
      <w:hyperlink r:id="rId13" w:history="1">
        <w:r w:rsidRPr="003731CD">
          <w:rPr>
            <w:rStyle w:val="Hyperlink"/>
          </w:rPr>
          <w:t>https://ec.europa.eu/info/law/law-topic/data-protection/eu-data-protection-rules/eu-funding-supporting-implementation-gdpr_pl</w:t>
        </w:r>
      </w:hyperlink>
      <w:r w:rsidRPr="003731CD">
        <w:rPr>
          <w:rStyle w:val="Hyperlink"/>
        </w:rPr>
        <w:t xml:space="preserve">. </w:t>
      </w:r>
      <w:r w:rsidRPr="003731CD">
        <w:t>Dodatkowa kwota</w:t>
      </w:r>
      <w:r w:rsidR="003731CD" w:rsidRPr="003731CD">
        <w:t xml:space="preserve"> w wys</w:t>
      </w:r>
      <w:r w:rsidRPr="003731CD">
        <w:t>okości 1 mln EUR zostanie przydzielona</w:t>
      </w:r>
      <w:r w:rsidR="003731CD" w:rsidRPr="003731CD">
        <w:t xml:space="preserve"> w 2</w:t>
      </w:r>
      <w:r w:rsidRPr="003731CD">
        <w:t>020</w:t>
      </w:r>
      <w:r w:rsidR="003731CD" w:rsidRPr="003731CD">
        <w:t> </w:t>
      </w:r>
      <w:r w:rsidRPr="003731CD">
        <w:t>r.</w:t>
      </w:r>
    </w:p>
  </w:footnote>
  <w:footnote w:id="52">
    <w:p w:rsidR="001079A3" w:rsidRPr="003731CD" w:rsidRDefault="00BB6FCD">
      <w:pPr>
        <w:pStyle w:val="FootnoteText"/>
      </w:pPr>
      <w:r w:rsidRPr="003731CD">
        <w:rPr>
          <w:rStyle w:val="FootnoteReference"/>
        </w:rPr>
        <w:footnoteRef/>
      </w:r>
      <w:r w:rsidRPr="003731CD">
        <w:t xml:space="preserve"> Zgodnie</w:t>
      </w:r>
      <w:r w:rsidR="003731CD" w:rsidRPr="003731CD">
        <w:t xml:space="preserve"> z art</w:t>
      </w:r>
      <w:r w:rsidRPr="003731CD">
        <w:t>.</w:t>
      </w:r>
      <w:r w:rsidR="003731CD" w:rsidRPr="003731CD">
        <w:t> </w:t>
      </w:r>
      <w:r w:rsidRPr="003731CD">
        <w:t>28 RODO.</w:t>
      </w:r>
    </w:p>
  </w:footnote>
  <w:footnote w:id="53">
    <w:p w:rsidR="001079A3" w:rsidRPr="003731CD" w:rsidRDefault="00BB6FCD">
      <w:pPr>
        <w:pStyle w:val="FootnoteText"/>
      </w:pPr>
      <w:r w:rsidRPr="003731CD">
        <w:rPr>
          <w:rStyle w:val="FootnoteReference"/>
        </w:rPr>
        <w:footnoteRef/>
      </w:r>
      <w:r w:rsidRPr="003731CD">
        <w:t xml:space="preserve"> Zgodnie</w:t>
      </w:r>
      <w:r w:rsidR="003731CD" w:rsidRPr="003731CD">
        <w:t xml:space="preserve"> z art</w:t>
      </w:r>
      <w:r w:rsidRPr="003731CD">
        <w:t>.</w:t>
      </w:r>
      <w:r w:rsidR="003731CD" w:rsidRPr="003731CD">
        <w:t> </w:t>
      </w:r>
      <w:r w:rsidRPr="003731CD">
        <w:t>46 RODO.</w:t>
      </w:r>
    </w:p>
  </w:footnote>
  <w:footnote w:id="54">
    <w:p w:rsidR="001079A3" w:rsidRPr="003731CD" w:rsidRDefault="00BB6FCD">
      <w:pPr>
        <w:pStyle w:val="FootnoteText"/>
      </w:pPr>
      <w:r w:rsidRPr="003731CD">
        <w:rPr>
          <w:rStyle w:val="FootnoteReference"/>
        </w:rPr>
        <w:footnoteRef/>
      </w:r>
      <w:r w:rsidRPr="003731CD">
        <w:t xml:space="preserve"> Biała księga</w:t>
      </w:r>
      <w:r w:rsidR="003731CD" w:rsidRPr="003731CD">
        <w:t xml:space="preserve"> w spr</w:t>
      </w:r>
      <w:r w:rsidRPr="003731CD">
        <w:t>awie sztucznej inteligencji – Europejskie podejście do doskonałości</w:t>
      </w:r>
      <w:r w:rsidR="003731CD" w:rsidRPr="003731CD">
        <w:t xml:space="preserve"> i zau</w:t>
      </w:r>
      <w:r w:rsidRPr="003731CD">
        <w:t xml:space="preserve">fania – COM(2020) 65 </w:t>
      </w:r>
      <w:proofErr w:type="spellStart"/>
      <w:r w:rsidRPr="003731CD">
        <w:t>final</w:t>
      </w:r>
      <w:proofErr w:type="spellEnd"/>
      <w:r w:rsidRPr="003731CD">
        <w:t>.</w:t>
      </w:r>
    </w:p>
  </w:footnote>
  <w:footnote w:id="55">
    <w:p w:rsidR="001079A3" w:rsidRPr="003731CD" w:rsidRDefault="00BB6FCD">
      <w:pPr>
        <w:pStyle w:val="FootnoteText"/>
      </w:pPr>
      <w:r w:rsidRPr="003731CD">
        <w:rPr>
          <w:rStyle w:val="FootnoteReference"/>
        </w:rPr>
        <w:footnoteRef/>
      </w:r>
      <w:r w:rsidRPr="003731CD">
        <w:t xml:space="preserve"> Dyrektywa Parlamentu Europejskiego</w:t>
      </w:r>
      <w:r w:rsidR="003731CD" w:rsidRPr="003731CD">
        <w:t xml:space="preserve"> i Rad</w:t>
      </w:r>
      <w:r w:rsidRPr="003731CD">
        <w:t>y (UE) 2016/680</w:t>
      </w:r>
      <w:r w:rsidR="003731CD" w:rsidRPr="003731CD">
        <w:t xml:space="preserve"> z dni</w:t>
      </w:r>
      <w:r w:rsidRPr="003731CD">
        <w:t>a 27 kwietnia 2016 r.</w:t>
      </w:r>
      <w:r w:rsidR="003731CD" w:rsidRPr="003731CD">
        <w:t xml:space="preserve"> w spr</w:t>
      </w:r>
      <w:r w:rsidRPr="003731CD">
        <w:t>awie ochrony osób fizycznych</w:t>
      </w:r>
      <w:r w:rsidR="003731CD" w:rsidRPr="003731CD">
        <w:t xml:space="preserve"> w zwi</w:t>
      </w:r>
      <w:r w:rsidRPr="003731CD">
        <w:t>ązku</w:t>
      </w:r>
      <w:r w:rsidR="003731CD" w:rsidRPr="003731CD">
        <w:t xml:space="preserve"> z prz</w:t>
      </w:r>
      <w:r w:rsidRPr="003731CD">
        <w:t>etwarzaniem danych osobowych przez właściwe organy do celów zapobiegania przestępczości, prowadzenia postępowań przygotowawczych, wykrywania</w:t>
      </w:r>
      <w:r w:rsidR="003731CD" w:rsidRPr="003731CD">
        <w:t xml:space="preserve"> i ści</w:t>
      </w:r>
      <w:r w:rsidRPr="003731CD">
        <w:t>gania czynów zabronionych</w:t>
      </w:r>
      <w:r w:rsidR="003731CD" w:rsidRPr="003731CD">
        <w:t xml:space="preserve"> i wyk</w:t>
      </w:r>
      <w:r w:rsidRPr="003731CD">
        <w:t>onywania kar,</w:t>
      </w:r>
      <w:r w:rsidR="003731CD" w:rsidRPr="003731CD">
        <w:t xml:space="preserve"> w spr</w:t>
      </w:r>
      <w:r w:rsidRPr="003731CD">
        <w:t>awie swobodnego przepływu takich danych oraz uchylająca decyzję ramową Rady 2008/977/</w:t>
      </w:r>
      <w:proofErr w:type="spellStart"/>
      <w:r w:rsidRPr="003731CD">
        <w:t>WSiSW</w:t>
      </w:r>
      <w:proofErr w:type="spellEnd"/>
      <w:r w:rsidRPr="003731CD">
        <w:t>, Dz.U. L 119</w:t>
      </w:r>
      <w:r w:rsidR="003731CD" w:rsidRPr="003731CD">
        <w:t xml:space="preserve"> z 4</w:t>
      </w:r>
      <w:r w:rsidRPr="003731CD">
        <w:t xml:space="preserve">.5.2016, </w:t>
      </w:r>
      <w:proofErr w:type="gramStart"/>
      <w:r w:rsidRPr="003731CD">
        <w:t>s</w:t>
      </w:r>
      <w:proofErr w:type="gramEnd"/>
      <w:r w:rsidRPr="003731CD">
        <w:t xml:space="preserve">. 89. </w:t>
      </w:r>
    </w:p>
  </w:footnote>
  <w:footnote w:id="56">
    <w:p w:rsidR="001079A3" w:rsidRPr="003731CD" w:rsidRDefault="00BB6FCD">
      <w:pPr>
        <w:pStyle w:val="FootnoteText"/>
      </w:pPr>
      <w:r w:rsidRPr="003731CD">
        <w:rPr>
          <w:rStyle w:val="FootnoteReference"/>
        </w:rPr>
        <w:footnoteRef/>
      </w:r>
      <w:r w:rsidRPr="003731CD">
        <w:t xml:space="preserve"> Dyrektywa 95/46/WE Parlamentu Europejskiego</w:t>
      </w:r>
      <w:r w:rsidR="003731CD" w:rsidRPr="003731CD">
        <w:t xml:space="preserve"> i Rad</w:t>
      </w:r>
      <w:r w:rsidRPr="003731CD">
        <w:t>y</w:t>
      </w:r>
      <w:r w:rsidR="003731CD" w:rsidRPr="003731CD">
        <w:t xml:space="preserve"> z dni</w:t>
      </w:r>
      <w:r w:rsidRPr="003731CD">
        <w:t>a 24 października 1995 r.</w:t>
      </w:r>
      <w:r w:rsidR="003731CD" w:rsidRPr="003731CD">
        <w:t xml:space="preserve"> w spr</w:t>
      </w:r>
      <w:r w:rsidRPr="003731CD">
        <w:t>awie ochrony osób fizycznych</w:t>
      </w:r>
      <w:r w:rsidR="003731CD" w:rsidRPr="003731CD">
        <w:t xml:space="preserve"> w zak</w:t>
      </w:r>
      <w:r w:rsidRPr="003731CD">
        <w:t>resie przetwarzania danych osobowych</w:t>
      </w:r>
      <w:r w:rsidR="003731CD" w:rsidRPr="003731CD">
        <w:t xml:space="preserve"> i swo</w:t>
      </w:r>
      <w:r w:rsidRPr="003731CD">
        <w:t>bodnego przepływu tych danych, Dz.U. L 281</w:t>
      </w:r>
      <w:r w:rsidR="003731CD" w:rsidRPr="003731CD">
        <w:t xml:space="preserve"> z 2</w:t>
      </w:r>
      <w:r w:rsidRPr="003731CD">
        <w:t xml:space="preserve">3.11.1995, </w:t>
      </w:r>
      <w:proofErr w:type="gramStart"/>
      <w:r w:rsidRPr="003731CD">
        <w:t>s</w:t>
      </w:r>
      <w:proofErr w:type="gramEnd"/>
      <w:r w:rsidRPr="003731CD">
        <w:t>. 31.</w:t>
      </w:r>
    </w:p>
  </w:footnote>
  <w:footnote w:id="57">
    <w:p w:rsidR="001079A3" w:rsidRPr="003731CD" w:rsidRDefault="00BB6FCD">
      <w:pPr>
        <w:pStyle w:val="FootnoteText"/>
      </w:pPr>
      <w:r w:rsidRPr="003731CD">
        <w:rPr>
          <w:rStyle w:val="FootnoteReference"/>
        </w:rPr>
        <w:footnoteRef/>
      </w:r>
      <w:r w:rsidRPr="003731CD">
        <w:t xml:space="preserve"> Te państwa</w:t>
      </w:r>
      <w:r w:rsidR="003731CD" w:rsidRPr="003731CD">
        <w:t xml:space="preserve"> i ter</w:t>
      </w:r>
      <w:r w:rsidRPr="003731CD">
        <w:t>ytoria to: Andora, Argentyna, Kanada, Wyspy Owcze, Guernsey, Jersey, Wyspa Man, Izrael, Nowa Zelandia, Szwajcaria</w:t>
      </w:r>
      <w:r w:rsidR="003731CD" w:rsidRPr="003731CD">
        <w:t xml:space="preserve"> i Uru</w:t>
      </w:r>
      <w:r w:rsidRPr="003731CD">
        <w:t>gwaj.</w:t>
      </w:r>
    </w:p>
  </w:footnote>
  <w:footnote w:id="58">
    <w:p w:rsidR="001079A3" w:rsidRPr="003731CD" w:rsidRDefault="00BB6FCD">
      <w:pPr>
        <w:pStyle w:val="FootnoteText"/>
      </w:pPr>
      <w:r w:rsidRPr="003731CD">
        <w:rPr>
          <w:rStyle w:val="FootnoteReference"/>
        </w:rPr>
        <w:footnoteRef/>
      </w:r>
      <w:r w:rsidRPr="003731CD">
        <w:t xml:space="preserve"> Zob. sprawa C-311/18 Data </w:t>
      </w:r>
      <w:proofErr w:type="spellStart"/>
      <w:r w:rsidRPr="003731CD">
        <w:t>Protection</w:t>
      </w:r>
      <w:proofErr w:type="spellEnd"/>
      <w:r w:rsidRPr="003731CD">
        <w:t xml:space="preserve"> </w:t>
      </w:r>
      <w:proofErr w:type="spellStart"/>
      <w:r w:rsidRPr="003731CD">
        <w:t>Commissioner</w:t>
      </w:r>
      <w:proofErr w:type="spellEnd"/>
      <w:r w:rsidRPr="003731CD">
        <w:t xml:space="preserve"> przeciwko Facebook </w:t>
      </w:r>
      <w:proofErr w:type="spellStart"/>
      <w:r w:rsidRPr="003731CD">
        <w:t>Ireland</w:t>
      </w:r>
      <w:proofErr w:type="spellEnd"/>
      <w:r w:rsidRPr="003731CD">
        <w:t xml:space="preserve"> Limited, </w:t>
      </w:r>
      <w:proofErr w:type="spellStart"/>
      <w:r w:rsidRPr="003731CD">
        <w:t>Maximillian</w:t>
      </w:r>
      <w:proofErr w:type="spellEnd"/>
      <w:r w:rsidRPr="003731CD">
        <w:t xml:space="preserve"> </w:t>
      </w:r>
      <w:proofErr w:type="spellStart"/>
      <w:r w:rsidRPr="003731CD">
        <w:t>Schrems</w:t>
      </w:r>
      <w:proofErr w:type="spellEnd"/>
      <w:r w:rsidRPr="003731CD">
        <w:t xml:space="preserve"> („</w:t>
      </w:r>
      <w:proofErr w:type="spellStart"/>
      <w:r w:rsidRPr="003731CD">
        <w:t>Schrems</w:t>
      </w:r>
      <w:proofErr w:type="spellEnd"/>
      <w:r w:rsidRPr="003731CD">
        <w:t xml:space="preserve"> II”), która dotyczy orzeczenia</w:t>
      </w:r>
      <w:r w:rsidR="003731CD" w:rsidRPr="003731CD">
        <w:t xml:space="preserve"> w try</w:t>
      </w:r>
      <w:r w:rsidRPr="003731CD">
        <w:t>bie prejudycjalnym dotyczącego tzw. standardowych klauzul umownych. Trybunał może jednak również doprecyzować niektóre elementy normy dotyczącej odpowiedniego stopnia ochrony.</w:t>
      </w:r>
    </w:p>
  </w:footnote>
  <w:footnote w:id="59">
    <w:p w:rsidR="001079A3" w:rsidRPr="003731CD" w:rsidRDefault="00BB6FCD">
      <w:pPr>
        <w:pStyle w:val="FootnoteText"/>
      </w:pPr>
      <w:r w:rsidRPr="003731CD">
        <w:rPr>
          <w:rStyle w:val="FootnoteReference"/>
        </w:rPr>
        <w:footnoteRef/>
      </w:r>
      <w:r w:rsidRPr="003731CD">
        <w:t xml:space="preserve"> Zob. sprawa </w:t>
      </w:r>
      <w:proofErr w:type="spellStart"/>
      <w:r w:rsidRPr="003731CD">
        <w:t>Schrems</w:t>
      </w:r>
      <w:proofErr w:type="spellEnd"/>
      <w:r w:rsidRPr="003731CD">
        <w:t xml:space="preserve"> II.</w:t>
      </w:r>
    </w:p>
  </w:footnote>
  <w:footnote w:id="60">
    <w:p w:rsidR="001079A3" w:rsidRPr="003731CD" w:rsidRDefault="00BB6FCD">
      <w:pPr>
        <w:pStyle w:val="FootnoteText"/>
        <w:ind w:left="284" w:hanging="284"/>
      </w:pPr>
      <w:r w:rsidRPr="003731CD">
        <w:rPr>
          <w:rStyle w:val="FootnoteReference"/>
        </w:rPr>
        <w:footnoteRef/>
      </w:r>
      <w:r w:rsidRPr="003731CD">
        <w:t xml:space="preserve"> Zob. np. treść deklaracji przywódców grupy G20: </w:t>
      </w:r>
      <w:hyperlink r:id="rId14" w:history="1">
        <w:r w:rsidRPr="003731CD">
          <w:rPr>
            <w:rStyle w:val="Hyperlink"/>
          </w:rPr>
          <w:t>https://www.consilium.europa.eu/media/40124/final_g20_osaka_leaders_declaration.pdf</w:t>
        </w:r>
      </w:hyperlink>
      <w:r w:rsidRPr="003731CD">
        <w:t>.</w:t>
      </w:r>
    </w:p>
  </w:footnote>
  <w:footnote w:id="61">
    <w:p w:rsidR="001079A3" w:rsidRPr="003731CD" w:rsidRDefault="00BB6FCD">
      <w:pPr>
        <w:pStyle w:val="FootnoteText"/>
      </w:pPr>
      <w:r w:rsidRPr="003731CD">
        <w:rPr>
          <w:rStyle w:val="FootnoteReference"/>
        </w:rPr>
        <w:footnoteRef/>
      </w:r>
      <w:r w:rsidRPr="003731CD">
        <w:t xml:space="preserve"> Strategia</w:t>
      </w:r>
      <w:r w:rsidR="003731CD" w:rsidRPr="003731CD">
        <w:t xml:space="preserve"> w zak</w:t>
      </w:r>
      <w:r w:rsidRPr="003731CD">
        <w:t>resie danych, s. 23.</w:t>
      </w:r>
    </w:p>
  </w:footnote>
  <w:footnote w:id="62">
    <w:p w:rsidR="001079A3" w:rsidRPr="003731CD" w:rsidRDefault="00BB6FCD">
      <w:pPr>
        <w:pStyle w:val="FootnoteText"/>
        <w:ind w:left="284" w:hanging="284"/>
        <w:rPr>
          <w:rFonts w:cstheme="minorHAnsi"/>
        </w:rPr>
      </w:pPr>
      <w:r w:rsidRPr="003731CD">
        <w:rPr>
          <w:rStyle w:val="FootnoteReference"/>
          <w:rFonts w:cstheme="minorHAnsi"/>
        </w:rPr>
        <w:footnoteRef/>
      </w:r>
      <w:r w:rsidRPr="003731CD">
        <w:tab/>
        <w:t>Zob. tekst przepisów horyzontalnych dotyczących transgranicznych przepływów danych</w:t>
      </w:r>
      <w:r w:rsidR="003731CD" w:rsidRPr="003731CD">
        <w:t xml:space="preserve"> i och</w:t>
      </w:r>
      <w:r w:rsidRPr="003731CD">
        <w:t>rony danych osobowych (w unijnych umowach handlowych</w:t>
      </w:r>
      <w:r w:rsidR="003731CD" w:rsidRPr="003731CD">
        <w:t xml:space="preserve"> i inw</w:t>
      </w:r>
      <w:r w:rsidRPr="003731CD">
        <w:t xml:space="preserve">estycyjnych): </w:t>
      </w:r>
      <w:hyperlink r:id="rId15" w:history="1">
        <w:r w:rsidRPr="003731CD">
          <w:rPr>
            <w:rStyle w:val="Hyperlink"/>
          </w:rPr>
          <w:t>https://trade.ec.europa.eu/doclib/docs/2018/may/tradoc_156884.pdf</w:t>
        </w:r>
      </w:hyperlink>
      <w:r w:rsidRPr="003731CD">
        <w:t xml:space="preserve">. </w:t>
      </w:r>
    </w:p>
  </w:footnote>
  <w:footnote w:id="63">
    <w:p w:rsidR="001079A3" w:rsidRPr="003731CD" w:rsidRDefault="00BB6FCD">
      <w:pPr>
        <w:pStyle w:val="FootnoteText"/>
      </w:pPr>
      <w:r w:rsidRPr="003731CD">
        <w:rPr>
          <w:rStyle w:val="FootnoteReference"/>
        </w:rPr>
        <w:footnoteRef/>
      </w:r>
      <w:r w:rsidRPr="003731CD">
        <w:t xml:space="preserve"> 84 członków WTO jest obecnie zaangażowanych</w:t>
      </w:r>
      <w:r w:rsidR="003731CD" w:rsidRPr="003731CD">
        <w:t xml:space="preserve"> w wie</w:t>
      </w:r>
      <w:r w:rsidRPr="003731CD">
        <w:t>lostronne negocjacje</w:t>
      </w:r>
      <w:r w:rsidR="003731CD" w:rsidRPr="003731CD">
        <w:t xml:space="preserve"> w spr</w:t>
      </w:r>
      <w:r w:rsidRPr="003731CD">
        <w:t>awie handlu elektronicznego</w:t>
      </w:r>
      <w:r w:rsidR="003731CD" w:rsidRPr="003731CD">
        <w:t xml:space="preserve"> w zwi</w:t>
      </w:r>
      <w:r w:rsidRPr="003731CD">
        <w:t>ązku ze wspólną deklaracją przyjętą przez ministrów</w:t>
      </w:r>
      <w:r w:rsidR="003731CD" w:rsidRPr="003731CD">
        <w:t xml:space="preserve"> w dni</w:t>
      </w:r>
      <w:r w:rsidRPr="003731CD">
        <w:t>u 25 stycznia 2019</w:t>
      </w:r>
      <w:r w:rsidR="003731CD" w:rsidRPr="003731CD">
        <w:t> </w:t>
      </w:r>
      <w:r w:rsidRPr="003731CD">
        <w:t>r.</w:t>
      </w:r>
      <w:r w:rsidR="003731CD" w:rsidRPr="003731CD">
        <w:t xml:space="preserve"> w Dav</w:t>
      </w:r>
      <w:r w:rsidRPr="003731CD">
        <w:t>os</w:t>
      </w:r>
      <w:r w:rsidR="003731CD" w:rsidRPr="003731CD">
        <w:t>. W ram</w:t>
      </w:r>
      <w:r w:rsidRPr="003731CD">
        <w:t>ach tego procesu UE przedłożyła 3 maja 2019</w:t>
      </w:r>
      <w:r w:rsidR="003731CD" w:rsidRPr="003731CD">
        <w:t> </w:t>
      </w:r>
      <w:r w:rsidRPr="003731CD">
        <w:t>r. tekst wniosku</w:t>
      </w:r>
      <w:r w:rsidR="003731CD" w:rsidRPr="003731CD">
        <w:t xml:space="preserve"> w spr</w:t>
      </w:r>
      <w:r w:rsidRPr="003731CD">
        <w:t>awie przyszłych przepisów</w:t>
      </w:r>
      <w:r w:rsidR="003731CD" w:rsidRPr="003731CD">
        <w:t xml:space="preserve"> i obo</w:t>
      </w:r>
      <w:r w:rsidRPr="003731CD">
        <w:t>wiązków</w:t>
      </w:r>
      <w:r w:rsidR="003731CD" w:rsidRPr="003731CD">
        <w:t xml:space="preserve"> w zak</w:t>
      </w:r>
      <w:r w:rsidRPr="003731CD">
        <w:t>resie handlu elektronicznego. Wniosek zawiera przepisy horyzontalne dotyczące przepływu danych</w:t>
      </w:r>
      <w:r w:rsidR="003731CD" w:rsidRPr="003731CD">
        <w:t xml:space="preserve"> i och</w:t>
      </w:r>
      <w:r w:rsidRPr="003731CD">
        <w:t xml:space="preserve">rony danych osobowych: </w:t>
      </w:r>
      <w:hyperlink r:id="rId16" w:history="1">
        <w:r w:rsidRPr="003731CD">
          <w:rPr>
            <w:rStyle w:val="Hyperlink"/>
          </w:rPr>
          <w:t>https://trade.ec.europa.eu/doclib/docs/2019/may/tradoc_157880.pdf</w:t>
        </w:r>
      </w:hyperlink>
      <w:r w:rsidRPr="003731CD">
        <w:t>.</w:t>
      </w:r>
    </w:p>
  </w:footnote>
  <w:footnote w:id="64">
    <w:p w:rsidR="001079A3" w:rsidRPr="003731CD" w:rsidRDefault="00BB6FCD">
      <w:pPr>
        <w:pStyle w:val="FootnoteText"/>
      </w:pPr>
      <w:r w:rsidRPr="003731CD">
        <w:rPr>
          <w:rStyle w:val="FootnoteReference"/>
        </w:rPr>
        <w:footnoteRef/>
      </w:r>
      <w:r w:rsidRPr="003731CD">
        <w:t xml:space="preserve"> Zob. stanowisko Rady</w:t>
      </w:r>
      <w:r w:rsidR="003731CD" w:rsidRPr="003731CD">
        <w:t xml:space="preserve"> i ust</w:t>
      </w:r>
      <w:r w:rsidRPr="003731CD">
        <w:t>alenia</w:t>
      </w:r>
      <w:r w:rsidR="003731CD" w:rsidRPr="003731CD">
        <w:t xml:space="preserve"> w spr</w:t>
      </w:r>
      <w:r w:rsidRPr="003731CD">
        <w:t>awie stosowania RODO.</w:t>
      </w:r>
    </w:p>
  </w:footnote>
  <w:footnote w:id="65">
    <w:p w:rsidR="001079A3" w:rsidRPr="003731CD" w:rsidRDefault="00BB6FCD">
      <w:pPr>
        <w:pStyle w:val="FootnoteText"/>
      </w:pPr>
      <w:r w:rsidRPr="003731CD">
        <w:rPr>
          <w:rStyle w:val="FootnoteReference"/>
          <w:color w:val="000000" w:themeColor="text1"/>
        </w:rPr>
        <w:footnoteRef/>
      </w:r>
      <w:r w:rsidRPr="003731CD">
        <w:t xml:space="preserve"> Tak było</w:t>
      </w:r>
      <w:r w:rsidR="003731CD" w:rsidRPr="003731CD">
        <w:t xml:space="preserve"> w prz</w:t>
      </w:r>
      <w:r w:rsidRPr="003731CD">
        <w:t>ypadku Niemiec, Hiszpanii</w:t>
      </w:r>
      <w:r w:rsidR="003731CD" w:rsidRPr="003731CD">
        <w:t xml:space="preserve"> i Aus</w:t>
      </w:r>
      <w:r w:rsidRPr="003731CD">
        <w:t>trii,</w:t>
      </w:r>
      <w:r w:rsidR="003731CD" w:rsidRPr="003731CD">
        <w:t xml:space="preserve"> a wyr</w:t>
      </w:r>
      <w:r w:rsidRPr="003731CD">
        <w:t>oki te pozwoliły wypełnić luki</w:t>
      </w:r>
      <w:r w:rsidR="003731CD" w:rsidRPr="003731CD">
        <w:t xml:space="preserve"> w prz</w:t>
      </w:r>
      <w:r w:rsidRPr="003731CD">
        <w:t>episach krajowych.</w:t>
      </w:r>
    </w:p>
  </w:footnote>
  <w:footnote w:id="66">
    <w:p w:rsidR="001079A3" w:rsidRPr="003731CD" w:rsidRDefault="00BB6FCD">
      <w:pPr>
        <w:pStyle w:val="FootnoteText"/>
      </w:pPr>
      <w:r w:rsidRPr="003731CD">
        <w:rPr>
          <w:rStyle w:val="FootnoteReference"/>
        </w:rPr>
        <w:footnoteRef/>
      </w:r>
      <w:r w:rsidRPr="003731CD">
        <w:t xml:space="preserve"> Art. 30 ust.</w:t>
      </w:r>
      <w:r w:rsidR="003731CD" w:rsidRPr="003731CD">
        <w:t> </w:t>
      </w:r>
      <w:r w:rsidRPr="003731CD">
        <w:t>5 RODO.</w:t>
      </w:r>
    </w:p>
  </w:footnote>
  <w:footnote w:id="67">
    <w:p w:rsidR="001079A3" w:rsidRPr="003731CD" w:rsidRDefault="00BB6FCD">
      <w:pPr>
        <w:pStyle w:val="FootnoteText"/>
      </w:pPr>
      <w:r w:rsidRPr="003731CD">
        <w:rPr>
          <w:rStyle w:val="FootnoteReference"/>
        </w:rPr>
        <w:footnoteRef/>
      </w:r>
      <w:r w:rsidRPr="003731CD">
        <w:t xml:space="preserve"> Projekt Komisji</w:t>
      </w:r>
      <w:r w:rsidR="003731CD" w:rsidRPr="003731CD">
        <w:t xml:space="preserve"> w spr</w:t>
      </w:r>
      <w:r w:rsidRPr="003731CD">
        <w:t>awie narzędzi identyfikacji wieku – projekt pilotażowy</w:t>
      </w:r>
      <w:r w:rsidR="003731CD" w:rsidRPr="003731CD">
        <w:t xml:space="preserve"> w cel</w:t>
      </w:r>
      <w:r w:rsidRPr="003731CD">
        <w:t xml:space="preserve">u zademonstrowania </w:t>
      </w:r>
      <w:proofErr w:type="spellStart"/>
      <w:r w:rsidRPr="003731CD">
        <w:t>interoperacyjnej</w:t>
      </w:r>
      <w:proofErr w:type="spellEnd"/>
      <w:r w:rsidRPr="003731CD">
        <w:t xml:space="preserve"> infrastruktury technicznej</w:t>
      </w:r>
      <w:r w:rsidR="003731CD" w:rsidRPr="003731CD">
        <w:t xml:space="preserve"> w zak</w:t>
      </w:r>
      <w:r w:rsidRPr="003731CD">
        <w:t>resie ochrony dzieci,</w:t>
      </w:r>
      <w:r w:rsidR="003731CD" w:rsidRPr="003731CD">
        <w:t xml:space="preserve"> w tym</w:t>
      </w:r>
      <w:r w:rsidRPr="003731CD">
        <w:t xml:space="preserve"> weryfikacji wieku</w:t>
      </w:r>
      <w:r w:rsidR="003731CD" w:rsidRPr="003731CD">
        <w:t xml:space="preserve"> i zgo</w:t>
      </w:r>
      <w:r w:rsidRPr="003731CD">
        <w:t>dy rodziców. Oczekuje się, że przyczyni się to do wdrożenia mechanizmów ochrony dzieci</w:t>
      </w:r>
      <w:r w:rsidR="003731CD" w:rsidRPr="003731CD">
        <w:t xml:space="preserve"> w opa</w:t>
      </w:r>
      <w:r w:rsidRPr="003731CD">
        <w:t>rciu</w:t>
      </w:r>
      <w:r w:rsidR="003731CD" w:rsidRPr="003731CD">
        <w:t xml:space="preserve"> o ist</w:t>
      </w:r>
      <w:r w:rsidRPr="003731CD">
        <w:t>niejące przepisy UE dotyczące ochrony dzieci</w:t>
      </w:r>
      <w:r w:rsidR="003731CD" w:rsidRPr="003731CD">
        <w:t xml:space="preserve"> w </w:t>
      </w:r>
      <w:proofErr w:type="spellStart"/>
      <w:r w:rsidR="003731CD" w:rsidRPr="003731CD">
        <w:t>int</w:t>
      </w:r>
      <w:r w:rsidRPr="003731CD">
        <w:t>ernecie</w:t>
      </w:r>
      <w:proofErr w:type="spellEnd"/>
      <w:r w:rsidRPr="003731CD">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2C5" w:rsidRPr="007462C5" w:rsidRDefault="007462C5" w:rsidP="00746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2C5" w:rsidRPr="007462C5" w:rsidRDefault="007462C5" w:rsidP="007462C5">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2C5" w:rsidRPr="007462C5" w:rsidRDefault="007462C5" w:rsidP="007462C5">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9A3" w:rsidRDefault="001079A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9A3" w:rsidRDefault="001079A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9A3" w:rsidRDefault="00107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373E"/>
    <w:multiLevelType w:val="hybridMultilevel"/>
    <w:tmpl w:val="0E32C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524C8"/>
    <w:multiLevelType w:val="hybridMultilevel"/>
    <w:tmpl w:val="98020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C910E7"/>
    <w:multiLevelType w:val="hybridMultilevel"/>
    <w:tmpl w:val="280CA5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111B6302"/>
    <w:multiLevelType w:val="hybridMultilevel"/>
    <w:tmpl w:val="46CA05BE"/>
    <w:lvl w:ilvl="0" w:tplc="4B8EEE92">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230DA"/>
    <w:multiLevelType w:val="hybridMultilevel"/>
    <w:tmpl w:val="BE22C6F4"/>
    <w:lvl w:ilvl="0" w:tplc="2FA2D4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18377D"/>
    <w:multiLevelType w:val="hybridMultilevel"/>
    <w:tmpl w:val="723495E8"/>
    <w:lvl w:ilvl="0" w:tplc="06846D8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282805"/>
    <w:multiLevelType w:val="hybridMultilevel"/>
    <w:tmpl w:val="10A4E09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cs="Wingdings" w:hint="default"/>
      </w:rPr>
    </w:lvl>
    <w:lvl w:ilvl="3" w:tplc="040C0001" w:tentative="1">
      <w:start w:val="1"/>
      <w:numFmt w:val="bullet"/>
      <w:lvlText w:val=""/>
      <w:lvlJc w:val="left"/>
      <w:pPr>
        <w:ind w:left="3164" w:hanging="360"/>
      </w:pPr>
      <w:rPr>
        <w:rFonts w:ascii="Symbol" w:hAnsi="Symbol" w:cs="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cs="Wingdings" w:hint="default"/>
      </w:rPr>
    </w:lvl>
    <w:lvl w:ilvl="6" w:tplc="040C0001" w:tentative="1">
      <w:start w:val="1"/>
      <w:numFmt w:val="bullet"/>
      <w:lvlText w:val=""/>
      <w:lvlJc w:val="left"/>
      <w:pPr>
        <w:ind w:left="5324" w:hanging="360"/>
      </w:pPr>
      <w:rPr>
        <w:rFonts w:ascii="Symbol" w:hAnsi="Symbol" w:cs="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cs="Wingdings" w:hint="default"/>
      </w:rPr>
    </w:lvl>
  </w:abstractNum>
  <w:abstractNum w:abstractNumId="7" w15:restartNumberingAfterBreak="0">
    <w:nsid w:val="1F985072"/>
    <w:multiLevelType w:val="hybridMultilevel"/>
    <w:tmpl w:val="D71CEC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E425F1"/>
    <w:multiLevelType w:val="hybridMultilevel"/>
    <w:tmpl w:val="818C6758"/>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19E599D"/>
    <w:multiLevelType w:val="multilevel"/>
    <w:tmpl w:val="528C598E"/>
    <w:lvl w:ilvl="0">
      <w:start w:val="1"/>
      <w:numFmt w:val="upperRoman"/>
      <w:lvlText w:val="%1."/>
      <w:lvlJc w:val="right"/>
      <w:pPr>
        <w:ind w:left="36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5706213"/>
    <w:multiLevelType w:val="hybridMultilevel"/>
    <w:tmpl w:val="7CF42F18"/>
    <w:lvl w:ilvl="0" w:tplc="9550BC7E">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7633238"/>
    <w:multiLevelType w:val="hybridMultilevel"/>
    <w:tmpl w:val="FF560DF4"/>
    <w:lvl w:ilvl="0" w:tplc="4B8EEE92">
      <w:start w:val="2"/>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90C6A3C"/>
    <w:multiLevelType w:val="hybridMultilevel"/>
    <w:tmpl w:val="8990E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455078"/>
    <w:multiLevelType w:val="hybridMultilevel"/>
    <w:tmpl w:val="FF4A5504"/>
    <w:lvl w:ilvl="0" w:tplc="6AD4A66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C525D5"/>
    <w:multiLevelType w:val="hybridMultilevel"/>
    <w:tmpl w:val="D28E365A"/>
    <w:lvl w:ilvl="0" w:tplc="AE3246B4">
      <w:start w:val="2"/>
      <w:numFmt w:val="bullet"/>
      <w:lvlText w:val="-"/>
      <w:lvlJc w:val="left"/>
      <w:pPr>
        <w:ind w:left="-1065" w:hanging="360"/>
      </w:pPr>
      <w:rPr>
        <w:rFonts w:ascii="Times New Roman" w:eastAsiaTheme="minorHAnsi" w:hAnsi="Times New Roman" w:cs="Times New Roman" w:hint="default"/>
      </w:rPr>
    </w:lvl>
    <w:lvl w:ilvl="1" w:tplc="040C0003">
      <w:start w:val="1"/>
      <w:numFmt w:val="bullet"/>
      <w:lvlText w:val="o"/>
      <w:lvlJc w:val="left"/>
      <w:pPr>
        <w:ind w:left="-345" w:hanging="360"/>
      </w:pPr>
      <w:rPr>
        <w:rFonts w:ascii="Courier New" w:hAnsi="Courier New" w:cs="Courier New" w:hint="default"/>
      </w:rPr>
    </w:lvl>
    <w:lvl w:ilvl="2" w:tplc="040C0005">
      <w:start w:val="1"/>
      <w:numFmt w:val="bullet"/>
      <w:lvlText w:val=""/>
      <w:lvlJc w:val="left"/>
      <w:pPr>
        <w:ind w:left="375" w:hanging="360"/>
      </w:pPr>
      <w:rPr>
        <w:rFonts w:ascii="Wingdings" w:hAnsi="Wingdings" w:hint="default"/>
      </w:rPr>
    </w:lvl>
    <w:lvl w:ilvl="3" w:tplc="040C0001" w:tentative="1">
      <w:start w:val="1"/>
      <w:numFmt w:val="bullet"/>
      <w:lvlText w:val=""/>
      <w:lvlJc w:val="left"/>
      <w:pPr>
        <w:ind w:left="1095" w:hanging="360"/>
      </w:pPr>
      <w:rPr>
        <w:rFonts w:ascii="Symbol" w:hAnsi="Symbol" w:hint="default"/>
      </w:rPr>
    </w:lvl>
    <w:lvl w:ilvl="4" w:tplc="040C0003" w:tentative="1">
      <w:start w:val="1"/>
      <w:numFmt w:val="bullet"/>
      <w:lvlText w:val="o"/>
      <w:lvlJc w:val="left"/>
      <w:pPr>
        <w:ind w:left="1815" w:hanging="360"/>
      </w:pPr>
      <w:rPr>
        <w:rFonts w:ascii="Courier New" w:hAnsi="Courier New" w:cs="Courier New" w:hint="default"/>
      </w:rPr>
    </w:lvl>
    <w:lvl w:ilvl="5" w:tplc="040C0005" w:tentative="1">
      <w:start w:val="1"/>
      <w:numFmt w:val="bullet"/>
      <w:lvlText w:val=""/>
      <w:lvlJc w:val="left"/>
      <w:pPr>
        <w:ind w:left="2535" w:hanging="360"/>
      </w:pPr>
      <w:rPr>
        <w:rFonts w:ascii="Wingdings" w:hAnsi="Wingdings" w:hint="default"/>
      </w:rPr>
    </w:lvl>
    <w:lvl w:ilvl="6" w:tplc="040C0001" w:tentative="1">
      <w:start w:val="1"/>
      <w:numFmt w:val="bullet"/>
      <w:lvlText w:val=""/>
      <w:lvlJc w:val="left"/>
      <w:pPr>
        <w:ind w:left="3255" w:hanging="360"/>
      </w:pPr>
      <w:rPr>
        <w:rFonts w:ascii="Symbol" w:hAnsi="Symbol" w:hint="default"/>
      </w:rPr>
    </w:lvl>
    <w:lvl w:ilvl="7" w:tplc="040C0003" w:tentative="1">
      <w:start w:val="1"/>
      <w:numFmt w:val="bullet"/>
      <w:lvlText w:val="o"/>
      <w:lvlJc w:val="left"/>
      <w:pPr>
        <w:ind w:left="3975" w:hanging="360"/>
      </w:pPr>
      <w:rPr>
        <w:rFonts w:ascii="Courier New" w:hAnsi="Courier New" w:cs="Courier New" w:hint="default"/>
      </w:rPr>
    </w:lvl>
    <w:lvl w:ilvl="8" w:tplc="040C0005" w:tentative="1">
      <w:start w:val="1"/>
      <w:numFmt w:val="bullet"/>
      <w:lvlText w:val=""/>
      <w:lvlJc w:val="left"/>
      <w:pPr>
        <w:ind w:left="4695" w:hanging="360"/>
      </w:pPr>
      <w:rPr>
        <w:rFonts w:ascii="Wingdings" w:hAnsi="Wingdings" w:hint="default"/>
      </w:rPr>
    </w:lvl>
  </w:abstractNum>
  <w:abstractNum w:abstractNumId="15" w15:restartNumberingAfterBreak="0">
    <w:nsid w:val="2F870A46"/>
    <w:multiLevelType w:val="multilevel"/>
    <w:tmpl w:val="010EC99A"/>
    <w:lvl w:ilvl="0">
      <w:start w:val="1"/>
      <w:numFmt w:val="decimal"/>
      <w:pStyle w:val="Heading1"/>
      <w:lvlText w:val="%1"/>
      <w:lvlJc w:val="left"/>
      <w:pPr>
        <w:ind w:left="574" w:hanging="432"/>
      </w:pPr>
    </w:lvl>
    <w:lvl w:ilvl="1">
      <w:start w:val="1"/>
      <w:numFmt w:val="decimal"/>
      <w:pStyle w:val="Heading2"/>
      <w:lvlText w:val="%1.%2"/>
      <w:lvlJc w:val="left"/>
      <w:pPr>
        <w:ind w:left="859"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353402E"/>
    <w:multiLevelType w:val="hybridMultilevel"/>
    <w:tmpl w:val="CD2E1278"/>
    <w:lvl w:ilvl="0" w:tplc="0407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34C64006"/>
    <w:multiLevelType w:val="hybridMultilevel"/>
    <w:tmpl w:val="E396B6C0"/>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DE3471"/>
    <w:multiLevelType w:val="hybridMultilevel"/>
    <w:tmpl w:val="37E6B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97169C"/>
    <w:multiLevelType w:val="hybridMultilevel"/>
    <w:tmpl w:val="40021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6C0A89"/>
    <w:multiLevelType w:val="hybridMultilevel"/>
    <w:tmpl w:val="929869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1D70DED"/>
    <w:multiLevelType w:val="hybridMultilevel"/>
    <w:tmpl w:val="0ED2E9B2"/>
    <w:lvl w:ilvl="0" w:tplc="D318BB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191E4D"/>
    <w:multiLevelType w:val="hybridMultilevel"/>
    <w:tmpl w:val="5E985694"/>
    <w:lvl w:ilvl="0" w:tplc="AB22D96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091A9F"/>
    <w:multiLevelType w:val="hybridMultilevel"/>
    <w:tmpl w:val="0AD87836"/>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C73937"/>
    <w:multiLevelType w:val="hybridMultilevel"/>
    <w:tmpl w:val="94F86BF0"/>
    <w:lvl w:ilvl="0" w:tplc="A92A38BA">
      <w:start w:val="2"/>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EE66AD3"/>
    <w:multiLevelType w:val="hybridMultilevel"/>
    <w:tmpl w:val="D8C23F50"/>
    <w:lvl w:ilvl="0" w:tplc="6AD4A66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EF52A7"/>
    <w:multiLevelType w:val="hybridMultilevel"/>
    <w:tmpl w:val="44DC084A"/>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7602424"/>
    <w:multiLevelType w:val="hybridMultilevel"/>
    <w:tmpl w:val="0F36CE1E"/>
    <w:lvl w:ilvl="0" w:tplc="8F2864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9A5A9E"/>
    <w:multiLevelType w:val="hybridMultilevel"/>
    <w:tmpl w:val="3DBA584C"/>
    <w:lvl w:ilvl="0" w:tplc="AB22D96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0C6320"/>
    <w:multiLevelType w:val="hybridMultilevel"/>
    <w:tmpl w:val="FD5C3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00E2253"/>
    <w:multiLevelType w:val="hybridMultilevel"/>
    <w:tmpl w:val="050AA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FF2B7D"/>
    <w:multiLevelType w:val="hybridMultilevel"/>
    <w:tmpl w:val="F97EE696"/>
    <w:lvl w:ilvl="0" w:tplc="FDF67BC6">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A44D87"/>
    <w:multiLevelType w:val="hybridMultilevel"/>
    <w:tmpl w:val="DAEACA7C"/>
    <w:lvl w:ilvl="0" w:tplc="040C0001">
      <w:start w:val="1"/>
      <w:numFmt w:val="bullet"/>
      <w:lvlText w:val=""/>
      <w:lvlJc w:val="left"/>
      <w:pPr>
        <w:ind w:left="6" w:hanging="360"/>
      </w:pPr>
      <w:rPr>
        <w:rFonts w:ascii="Symbol" w:hAnsi="Symbol" w:hint="default"/>
      </w:rPr>
    </w:lvl>
    <w:lvl w:ilvl="1" w:tplc="040C0003">
      <w:start w:val="1"/>
      <w:numFmt w:val="bullet"/>
      <w:lvlText w:val="o"/>
      <w:lvlJc w:val="left"/>
      <w:pPr>
        <w:ind w:left="726" w:hanging="360"/>
      </w:pPr>
      <w:rPr>
        <w:rFonts w:ascii="Courier New" w:hAnsi="Courier New" w:cs="Courier New" w:hint="default"/>
      </w:rPr>
    </w:lvl>
    <w:lvl w:ilvl="2" w:tplc="040C0005" w:tentative="1">
      <w:start w:val="1"/>
      <w:numFmt w:val="bullet"/>
      <w:lvlText w:val=""/>
      <w:lvlJc w:val="left"/>
      <w:pPr>
        <w:ind w:left="1446" w:hanging="360"/>
      </w:pPr>
      <w:rPr>
        <w:rFonts w:ascii="Wingdings" w:hAnsi="Wingdings" w:cs="Wingdings" w:hint="default"/>
      </w:rPr>
    </w:lvl>
    <w:lvl w:ilvl="3" w:tplc="040C0001" w:tentative="1">
      <w:start w:val="1"/>
      <w:numFmt w:val="bullet"/>
      <w:lvlText w:val=""/>
      <w:lvlJc w:val="left"/>
      <w:pPr>
        <w:ind w:left="2166" w:hanging="360"/>
      </w:pPr>
      <w:rPr>
        <w:rFonts w:ascii="Symbol" w:hAnsi="Symbol" w:cs="Symbol" w:hint="default"/>
      </w:rPr>
    </w:lvl>
    <w:lvl w:ilvl="4" w:tplc="040C0003" w:tentative="1">
      <w:start w:val="1"/>
      <w:numFmt w:val="bullet"/>
      <w:lvlText w:val="o"/>
      <w:lvlJc w:val="left"/>
      <w:pPr>
        <w:ind w:left="2886" w:hanging="360"/>
      </w:pPr>
      <w:rPr>
        <w:rFonts w:ascii="Courier New" w:hAnsi="Courier New" w:cs="Courier New" w:hint="default"/>
      </w:rPr>
    </w:lvl>
    <w:lvl w:ilvl="5" w:tplc="040C0005" w:tentative="1">
      <w:start w:val="1"/>
      <w:numFmt w:val="bullet"/>
      <w:lvlText w:val=""/>
      <w:lvlJc w:val="left"/>
      <w:pPr>
        <w:ind w:left="3606" w:hanging="360"/>
      </w:pPr>
      <w:rPr>
        <w:rFonts w:ascii="Wingdings" w:hAnsi="Wingdings" w:cs="Wingdings" w:hint="default"/>
      </w:rPr>
    </w:lvl>
    <w:lvl w:ilvl="6" w:tplc="040C0001" w:tentative="1">
      <w:start w:val="1"/>
      <w:numFmt w:val="bullet"/>
      <w:lvlText w:val=""/>
      <w:lvlJc w:val="left"/>
      <w:pPr>
        <w:ind w:left="4326" w:hanging="360"/>
      </w:pPr>
      <w:rPr>
        <w:rFonts w:ascii="Symbol" w:hAnsi="Symbol" w:cs="Symbol" w:hint="default"/>
      </w:rPr>
    </w:lvl>
    <w:lvl w:ilvl="7" w:tplc="040C0003" w:tentative="1">
      <w:start w:val="1"/>
      <w:numFmt w:val="bullet"/>
      <w:lvlText w:val="o"/>
      <w:lvlJc w:val="left"/>
      <w:pPr>
        <w:ind w:left="5046" w:hanging="360"/>
      </w:pPr>
      <w:rPr>
        <w:rFonts w:ascii="Courier New" w:hAnsi="Courier New" w:cs="Courier New" w:hint="default"/>
      </w:rPr>
    </w:lvl>
    <w:lvl w:ilvl="8" w:tplc="040C0005" w:tentative="1">
      <w:start w:val="1"/>
      <w:numFmt w:val="bullet"/>
      <w:lvlText w:val=""/>
      <w:lvlJc w:val="left"/>
      <w:pPr>
        <w:ind w:left="5766" w:hanging="360"/>
      </w:pPr>
      <w:rPr>
        <w:rFonts w:ascii="Wingdings" w:hAnsi="Wingdings" w:cs="Wingdings" w:hint="default"/>
      </w:rPr>
    </w:lvl>
  </w:abstractNum>
  <w:abstractNum w:abstractNumId="33" w15:restartNumberingAfterBreak="0">
    <w:nsid w:val="78D84CA4"/>
    <w:multiLevelType w:val="hybridMultilevel"/>
    <w:tmpl w:val="F1F6F3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415E62"/>
    <w:multiLevelType w:val="hybridMultilevel"/>
    <w:tmpl w:val="20F26E82"/>
    <w:lvl w:ilvl="0" w:tplc="E24C0D56">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A6372D9"/>
    <w:multiLevelType w:val="hybridMultilevel"/>
    <w:tmpl w:val="676C00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24"/>
  </w:num>
  <w:num w:numId="4">
    <w:abstractNumId w:val="14"/>
  </w:num>
  <w:num w:numId="5">
    <w:abstractNumId w:val="19"/>
  </w:num>
  <w:num w:numId="6">
    <w:abstractNumId w:val="7"/>
  </w:num>
  <w:num w:numId="7">
    <w:abstractNumId w:val="34"/>
  </w:num>
  <w:num w:numId="8">
    <w:abstractNumId w:val="4"/>
  </w:num>
  <w:num w:numId="9">
    <w:abstractNumId w:val="13"/>
  </w:num>
  <w:num w:numId="10">
    <w:abstractNumId w:val="0"/>
  </w:num>
  <w:num w:numId="11">
    <w:abstractNumId w:val="3"/>
  </w:num>
  <w:num w:numId="12">
    <w:abstractNumId w:val="10"/>
  </w:num>
  <w:num w:numId="13">
    <w:abstractNumId w:val="15"/>
  </w:num>
  <w:num w:numId="14">
    <w:abstractNumId w:val="15"/>
  </w:num>
  <w:num w:numId="15">
    <w:abstractNumId w:val="15"/>
  </w:num>
  <w:num w:numId="16">
    <w:abstractNumId w:val="15"/>
  </w:num>
  <w:num w:numId="17">
    <w:abstractNumId w:val="35"/>
  </w:num>
  <w:num w:numId="18">
    <w:abstractNumId w:val="8"/>
  </w:num>
  <w:num w:numId="19">
    <w:abstractNumId w:val="20"/>
  </w:num>
  <w:num w:numId="20">
    <w:abstractNumId w:val="6"/>
  </w:num>
  <w:num w:numId="21">
    <w:abstractNumId w:val="16"/>
  </w:num>
  <w:num w:numId="22">
    <w:abstractNumId w:val="23"/>
  </w:num>
  <w:num w:numId="23">
    <w:abstractNumId w:val="2"/>
  </w:num>
  <w:num w:numId="24">
    <w:abstractNumId w:val="17"/>
  </w:num>
  <w:num w:numId="25">
    <w:abstractNumId w:val="32"/>
  </w:num>
  <w:num w:numId="26">
    <w:abstractNumId w:val="1"/>
  </w:num>
  <w:num w:numId="27">
    <w:abstractNumId w:val="18"/>
  </w:num>
  <w:num w:numId="28">
    <w:abstractNumId w:val="25"/>
  </w:num>
  <w:num w:numId="29">
    <w:abstractNumId w:val="12"/>
  </w:num>
  <w:num w:numId="30">
    <w:abstractNumId w:val="22"/>
  </w:num>
  <w:num w:numId="31">
    <w:abstractNumId w:val="27"/>
  </w:num>
  <w:num w:numId="32">
    <w:abstractNumId w:val="28"/>
  </w:num>
  <w:num w:numId="33">
    <w:abstractNumId w:val="26"/>
  </w:num>
  <w:num w:numId="34">
    <w:abstractNumId w:val="21"/>
  </w:num>
  <w:num w:numId="35">
    <w:abstractNumId w:val="33"/>
  </w:num>
  <w:num w:numId="36">
    <w:abstractNumId w:val="30"/>
  </w:num>
  <w:num w:numId="37">
    <w:abstractNumId w:val="29"/>
  </w:num>
  <w:num w:numId="38">
    <w:abstractNumId w:val="15"/>
  </w:num>
  <w:num w:numId="39">
    <w:abstractNumId w:val="31"/>
  </w:num>
  <w:num w:numId="40">
    <w:abstractNumId w:val="23"/>
  </w:num>
  <w:num w:numId="41">
    <w:abstractNumId w:val="5"/>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pt-PT" w:vendorID="64" w:dllVersion="6" w:nlCheck="1" w:checkStyle="0"/>
  <w:activeWritingStyle w:appName="MSWord" w:lang="nl-NL" w:vendorID="64" w:dllVersion="6" w:nlCheck="1" w:checkStyle="0"/>
  <w:activeWritingStyle w:appName="MSWord" w:lang="nl-NL"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activeWritingStyle w:appName="MSWord" w:lang="nl-NL"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D60274B-7BE4-4873-ABEC-EE79EC615CAE"/>
    <w:docVar w:name="LW_COVERPAGE_TYPE" w:val="1"/>
    <w:docVar w:name="LW_CROSSREFERENCE" w:val="{SWD(2020) 115 final}"/>
    <w:docVar w:name="LW_DocType" w:val="NORMAL"/>
    <w:docVar w:name="LW_EMISSION" w:val="24.6.2020"/>
    <w:docVar w:name="LW_EMISSION_ISODATE" w:val="2020-06-24"/>
    <w:docVar w:name="LW_EMISSION_LOCATION" w:val="BRX"/>
    <w:docVar w:name="LW_EMISSION_PREFIX" w:val="Bruksela, dnia "/>
    <w:docVar w:name="LW_EMISSION_SUFFIX" w:val=" r."/>
    <w:docVar w:name="LW_ID_DOCTYPE_NONLW" w:val="CP-012"/>
    <w:docVar w:name="LW_LANGUE" w:val="PL"/>
    <w:docVar w:name="LW_LEVEL_OF_SENSITIVITY" w:val="Standard treatment"/>
    <w:docVar w:name="LW_NOM.INST" w:val="KOMISJA EUROPEJSKA"/>
    <w:docVar w:name="LW_NOM.INST_JOINTDOC" w:val="&lt;EMPTY&gt;"/>
    <w:docVar w:name="LW_PART_NBR" w:val="1"/>
    <w:docVar w:name="LW_PART_NBR_TOTAL" w:val="1"/>
    <w:docVar w:name="LW_REF.INST.NEW" w:val="COM"/>
    <w:docVar w:name="LW_REF.INST.NEW_ADOPTED" w:val="&lt;EMPTY&gt;"/>
    <w:docVar w:name="LW_REF.INST.NEW_TEXT" w:val="(2020) 264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Times New Roman Bold CE,Bold&gt;Ochrona danych jako filar wzmacniania pozycji obywateli oraz podej\u347?cia UE do transformacji cyfrowej \u8211? dwa lata stosowania ogólnego rozporz\u261?dzenia o ochronie danych&lt;/FMT&gt;"/>
    <w:docVar w:name="LW_TYPE.DOC.CP" w:val="KOMUNIKAT KOMISJI DO PARLAMENTU EUROPEJSKIEGO I RADY"/>
    <w:docVar w:name="LW_TYPE.DOC.CP.USERTEXT" w:val="&lt;EMPTY&gt;"/>
  </w:docVars>
  <w:rsids>
    <w:rsidRoot w:val="001079A3"/>
    <w:rsid w:val="001079A3"/>
    <w:rsid w:val="00326445"/>
    <w:rsid w:val="003731CD"/>
    <w:rsid w:val="007462C5"/>
    <w:rsid w:val="00BB6F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1004CA2-886A-473C-BDC0-484C21188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ascii="Times New Roman" w:hAnsi="Times New Roman" w:cs="Times New Roman"/>
    </w:rPr>
  </w:style>
  <w:style w:type="paragraph" w:styleId="Heading1">
    <w:name w:val="heading 1"/>
    <w:basedOn w:val="Normal"/>
    <w:next w:val="Normal"/>
    <w:link w:val="Heading1Char"/>
    <w:uiPriority w:val="9"/>
    <w:qFormat/>
    <w:pPr>
      <w:keepNext/>
      <w:keepLines/>
      <w:numPr>
        <w:numId w:val="13"/>
      </w:numPr>
      <w:spacing w:before="480" w:after="240"/>
      <w:outlineLvl w:val="0"/>
    </w:pPr>
    <w:rPr>
      <w:rFonts w:ascii="Times New Roman Bold" w:eastAsiaTheme="majorEastAsia" w:hAnsi="Times New Roman Bold"/>
      <w:b/>
      <w:smallCaps/>
    </w:rPr>
  </w:style>
  <w:style w:type="paragraph" w:styleId="Heading2">
    <w:name w:val="heading 2"/>
    <w:basedOn w:val="Normal"/>
    <w:next w:val="Normal"/>
    <w:link w:val="Heading2Char"/>
    <w:uiPriority w:val="9"/>
    <w:unhideWhenUsed/>
    <w:qFormat/>
    <w:pPr>
      <w:numPr>
        <w:ilvl w:val="1"/>
        <w:numId w:val="13"/>
      </w:numPr>
      <w:spacing w:before="360" w:after="240"/>
      <w:ind w:left="578" w:hanging="578"/>
      <w:outlineLvl w:val="1"/>
    </w:pPr>
    <w:rPr>
      <w:b/>
      <w:bCs/>
      <w:i/>
      <w:iCs/>
    </w:rPr>
  </w:style>
  <w:style w:type="paragraph" w:styleId="Heading3">
    <w:name w:val="heading 3"/>
    <w:basedOn w:val="Normal"/>
    <w:next w:val="Normal"/>
    <w:link w:val="Heading3Char"/>
    <w:uiPriority w:val="9"/>
    <w:unhideWhenUsed/>
    <w:qFormat/>
    <w:pPr>
      <w:spacing w:before="240"/>
      <w:outlineLvl w:val="2"/>
    </w:pPr>
    <w:rPr>
      <w:i/>
      <w:iCs/>
    </w:rPr>
  </w:style>
  <w:style w:type="paragraph" w:styleId="Heading4">
    <w:name w:val="heading 4"/>
    <w:basedOn w:val="Normal"/>
    <w:next w:val="Normal"/>
    <w:link w:val="Heading4Char"/>
    <w:uiPriority w:val="9"/>
    <w:semiHidden/>
    <w:unhideWhenUsed/>
    <w:qFormat/>
    <w:pPr>
      <w:keepNext/>
      <w:keepLines/>
      <w:numPr>
        <w:ilvl w:val="3"/>
        <w:numId w:val="1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numPr>
        <w:ilvl w:val="4"/>
        <w:numId w:val="1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numPr>
        <w:ilvl w:val="5"/>
        <w:numId w:val="1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pPr>
      <w:keepNext/>
      <w:keepLines/>
      <w:numPr>
        <w:ilvl w:val="6"/>
        <w:numId w:val="1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che List Paragraph,Task Body,Viñetas (Inicio Parrafo),3 Txt tabla,Zerrenda-paragrafoa,Lista multicolor - Énfasis 11,Dot pt,F5 List Paragraph,List Paragraph1,No Spacing1,List Paragraph Char Char Char,Indicator Text"/>
    <w:basedOn w:val="Normal"/>
    <w:link w:val="ListParagraphChar"/>
    <w:uiPriority w:val="34"/>
    <w:qFormat/>
    <w:pPr>
      <w:ind w:left="720"/>
      <w:contextualSpacing/>
    </w:p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lang w:val="pl-PL"/>
    </w:rPr>
  </w:style>
  <w:style w:type="character" w:styleId="PageNumber">
    <w:name w:val="page number"/>
    <w:basedOn w:val="DefaultParagraphFon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pl-PL"/>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val="pl-P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pl-PL"/>
    </w:rPr>
  </w:style>
  <w:style w:type="paragraph" w:styleId="Revision">
    <w:name w:val="Revision"/>
    <w:hidden/>
    <w:uiPriority w:val="99"/>
    <w:semiHidden/>
  </w:style>
  <w:style w:type="paragraph" w:styleId="FootnoteText">
    <w:name w:val="footnote text"/>
    <w:aliases w:val="Footnote text,Reference,footnote text,ALTS FOOTNOTE,Footnote Text Char Char Char,Footnote Text Char1 Char Char,Footnote Text Char Char,Footnote Text Char1 Char Char Char"/>
    <w:basedOn w:val="Normal"/>
    <w:link w:val="FootnoteTextChar"/>
    <w:uiPriority w:val="99"/>
    <w:unhideWhenUsed/>
    <w:pPr>
      <w:spacing w:after="0"/>
    </w:pPr>
    <w:rPr>
      <w:sz w:val="20"/>
      <w:szCs w:val="20"/>
    </w:rPr>
  </w:style>
  <w:style w:type="character" w:customStyle="1" w:styleId="FootnoteTextChar">
    <w:name w:val="Footnote Text Char"/>
    <w:aliases w:val="Footnote text Char,Reference Char,footnote text Char,ALTS FOOTNOTE Char,Footnote Text Char Char Char Char,Footnote Text Char1 Char Char Char1,Footnote Text Char Char Char1,Footnote Text Char1 Char Char Char Char"/>
    <w:basedOn w:val="DefaultParagraphFont"/>
    <w:link w:val="FootnoteText"/>
    <w:uiPriority w:val="99"/>
    <w:rPr>
      <w:rFonts w:ascii="Times New Roman" w:hAnsi="Times New Roman" w:cs="Times New Roman"/>
      <w:sz w:val="20"/>
      <w:szCs w:val="20"/>
      <w:lang w:val="pl-PL"/>
    </w:rPr>
  </w:style>
  <w:style w:type="character" w:styleId="FootnoteReference">
    <w:name w:val="footnote reference"/>
    <w:aliases w:val="Footnote symbol,SUPERS,Footnote,Footnote Reference Superscript,BVI fnr,Footnote symboFußnotenzeichen,Footnote sign,Footnote Reference text,Footnote Reference/,footnote ref,FR,Fußnotenzeichen diss neu,Times 10 Point,callout"/>
    <w:basedOn w:val="DefaultParagraphFont"/>
    <w:uiPriority w:val="99"/>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lang w:val="pl-PL"/>
    </w:rPr>
  </w:style>
  <w:style w:type="character" w:styleId="EndnoteReference">
    <w:name w:val="end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imes New Roman Bold" w:eastAsiaTheme="majorEastAsia" w:hAnsi="Times New Roman Bold" w:cs="Times New Roman"/>
      <w:b/>
      <w:smallCaps/>
      <w:lang w:val="pl-PL"/>
    </w:rPr>
  </w:style>
  <w:style w:type="character" w:customStyle="1" w:styleId="Heading2Char">
    <w:name w:val="Heading 2 Char"/>
    <w:basedOn w:val="DefaultParagraphFont"/>
    <w:link w:val="Heading2"/>
    <w:uiPriority w:val="9"/>
    <w:rPr>
      <w:rFonts w:ascii="Times New Roman" w:hAnsi="Times New Roman" w:cs="Times New Roman"/>
      <w:b/>
      <w:bCs/>
      <w:i/>
      <w:iCs/>
      <w:lang w:val="pl-PL"/>
    </w:rPr>
  </w:style>
  <w:style w:type="character" w:customStyle="1" w:styleId="Heading3Char">
    <w:name w:val="Heading 3 Char"/>
    <w:basedOn w:val="DefaultParagraphFont"/>
    <w:link w:val="Heading3"/>
    <w:uiPriority w:val="9"/>
    <w:rPr>
      <w:rFonts w:ascii="Times New Roman" w:hAnsi="Times New Roman" w:cs="Times New Roman"/>
      <w:i/>
      <w:iCs/>
      <w:lang w:val="pl-P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lang w:val="pl-PL"/>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lang w:val="pl-PL"/>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lang w:val="pl-PL"/>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763" w:themeColor="accent1" w:themeShade="7F"/>
      <w:lang w:val="pl-PL"/>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val="pl-PL"/>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val="pl-PL"/>
    </w:rPr>
  </w:style>
  <w:style w:type="paragraph" w:styleId="TOCHeading">
    <w:name w:val="TOC Heading"/>
    <w:basedOn w:val="Heading1"/>
    <w:next w:val="Normal"/>
    <w:uiPriority w:val="39"/>
    <w:unhideWhenUsed/>
    <w:qFormat/>
    <w:pPr>
      <w:numPr>
        <w:numId w:val="0"/>
      </w:numPr>
      <w:spacing w:before="240" w:after="0" w:line="259" w:lineRule="auto"/>
      <w:outlineLvl w:val="9"/>
    </w:pPr>
    <w:rPr>
      <w:rFonts w:asciiTheme="majorHAnsi" w:hAnsiTheme="majorHAnsi" w:cstheme="majorBidi"/>
      <w:b w:val="0"/>
      <w:smallCaps w:val="0"/>
      <w:color w:val="2F5496" w:themeColor="accent1" w:themeShade="BF"/>
      <w:sz w:val="32"/>
      <w:szCs w:val="32"/>
    </w:rPr>
  </w:style>
  <w:style w:type="paragraph" w:styleId="TOC1">
    <w:name w:val="toc 1"/>
    <w:basedOn w:val="Normal"/>
    <w:next w:val="Normal"/>
    <w:autoRedefine/>
    <w:uiPriority w:val="39"/>
    <w:unhideWhenUsed/>
    <w:pPr>
      <w:tabs>
        <w:tab w:val="left" w:pos="440"/>
        <w:tab w:val="right" w:leader="dot" w:pos="8297"/>
      </w:tabs>
      <w:spacing w:after="100"/>
    </w:pPr>
  </w:style>
  <w:style w:type="paragraph" w:styleId="TOC2">
    <w:name w:val="toc 2"/>
    <w:basedOn w:val="Normal"/>
    <w:next w:val="Normal"/>
    <w:autoRedefine/>
    <w:uiPriority w:val="39"/>
    <w:unhideWhenUsed/>
    <w:pPr>
      <w:spacing w:after="100"/>
      <w:ind w:left="240"/>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style>
  <w:style w:type="character" w:customStyle="1" w:styleId="Mentionnonrsolue1">
    <w:name w:val="Mention non résolue1"/>
    <w:basedOn w:val="DefaultParagraphFont"/>
    <w:uiPriority w:val="99"/>
    <w:semiHidden/>
    <w:unhideWhenUsed/>
    <w:rPr>
      <w:color w:val="605E5C"/>
      <w:shd w:val="clear" w:color="auto" w:fill="E1DFDD"/>
    </w:rPr>
  </w:style>
  <w:style w:type="paragraph" w:styleId="TOC3">
    <w:name w:val="toc 3"/>
    <w:basedOn w:val="Normal"/>
    <w:next w:val="Normal"/>
    <w:autoRedefine/>
    <w:uiPriority w:val="39"/>
    <w:unhideWhenUsed/>
    <w:pPr>
      <w:spacing w:after="100"/>
      <w:ind w:left="480"/>
    </w:pPr>
  </w:style>
  <w:style w:type="character" w:customStyle="1" w:styleId="Mentionnonrsolue2">
    <w:name w:val="Mention non résolue2"/>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imes New Roman" w:hAnsi="Times New Roman" w:cs="Times New Roman"/>
      <w:lang w:val="pl-PL"/>
    </w:rPr>
  </w:style>
  <w:style w:type="character" w:customStyle="1" w:styleId="ListParagraphChar">
    <w:name w:val="List Paragraph Char"/>
    <w:aliases w:val="Fiche List Paragraph Char,Task Body Char,Viñetas (Inicio Parrafo) Char,3 Txt tabla Char,Zerrenda-paragrafoa Char,Lista multicolor - Énfasis 11 Char,Dot pt Char,F5 List Paragraph Char,List Paragraph1 Char,No Spacing1 Char"/>
    <w:link w:val="ListParagraph"/>
    <w:uiPriority w:val="34"/>
    <w:qFormat/>
    <w:locked/>
    <w:rPr>
      <w:rFonts w:ascii="Times New Roman" w:hAnsi="Times New Roman" w:cs="Times New Roman"/>
      <w:lang w:val="pl-PL"/>
    </w:rPr>
  </w:style>
  <w:style w:type="character" w:styleId="Emphasis">
    <w:name w:val="Emphasis"/>
    <w:basedOn w:val="DefaultParagraphFont"/>
    <w:uiPriority w:val="20"/>
    <w:qFormat/>
    <w:rPr>
      <w:i/>
      <w:iCs/>
    </w:rPr>
  </w:style>
  <w:style w:type="character" w:customStyle="1" w:styleId="Mentionnonrsolue3">
    <w:name w:val="Mention non résolue3"/>
    <w:basedOn w:val="DefaultParagraphFont"/>
    <w:uiPriority w:val="99"/>
    <w:semiHidden/>
    <w:unhideWhenUsed/>
    <w:rPr>
      <w:color w:val="605E5C"/>
      <w:shd w:val="clear" w:color="auto" w:fill="E1DFDD"/>
    </w:rPr>
  </w:style>
  <w:style w:type="paragraph" w:customStyle="1" w:styleId="p2">
    <w:name w:val="p2"/>
    <w:basedOn w:val="Normal"/>
    <w:pPr>
      <w:spacing w:before="100" w:beforeAutospacing="1" w:after="100" w:afterAutospacing="1"/>
      <w:jc w:val="left"/>
    </w:pPr>
    <w:rPr>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pPr>
  </w:style>
  <w:style w:type="character" w:customStyle="1" w:styleId="HeaderCoverPageChar">
    <w:name w:val="Header Cover Page Char"/>
    <w:basedOn w:val="DefaultParagraphFont"/>
    <w:link w:val="HeaderCoverPage"/>
    <w:rPr>
      <w:rFonts w:ascii="Times New Roman" w:hAnsi="Times New Roman" w:cs="Times New Roman"/>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7914">
      <w:bodyDiv w:val="1"/>
      <w:marLeft w:val="0"/>
      <w:marRight w:val="0"/>
      <w:marTop w:val="0"/>
      <w:marBottom w:val="0"/>
      <w:divBdr>
        <w:top w:val="none" w:sz="0" w:space="0" w:color="auto"/>
        <w:left w:val="none" w:sz="0" w:space="0" w:color="auto"/>
        <w:bottom w:val="none" w:sz="0" w:space="0" w:color="auto"/>
        <w:right w:val="none" w:sz="0" w:space="0" w:color="auto"/>
      </w:divBdr>
      <w:divsChild>
        <w:div w:id="1657756995">
          <w:marLeft w:val="0"/>
          <w:marRight w:val="0"/>
          <w:marTop w:val="0"/>
          <w:marBottom w:val="0"/>
          <w:divBdr>
            <w:top w:val="none" w:sz="0" w:space="0" w:color="auto"/>
            <w:left w:val="none" w:sz="0" w:space="0" w:color="auto"/>
            <w:bottom w:val="none" w:sz="0" w:space="0" w:color="auto"/>
            <w:right w:val="none" w:sz="0" w:space="0" w:color="auto"/>
          </w:divBdr>
          <w:divsChild>
            <w:div w:id="543177805">
              <w:marLeft w:val="0"/>
              <w:marRight w:val="0"/>
              <w:marTop w:val="0"/>
              <w:marBottom w:val="0"/>
              <w:divBdr>
                <w:top w:val="none" w:sz="0" w:space="0" w:color="auto"/>
                <w:left w:val="none" w:sz="0" w:space="0" w:color="auto"/>
                <w:bottom w:val="none" w:sz="0" w:space="0" w:color="auto"/>
                <w:right w:val="none" w:sz="0" w:space="0" w:color="auto"/>
              </w:divBdr>
              <w:divsChild>
                <w:div w:id="48099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70127">
      <w:bodyDiv w:val="1"/>
      <w:marLeft w:val="0"/>
      <w:marRight w:val="0"/>
      <w:marTop w:val="0"/>
      <w:marBottom w:val="0"/>
      <w:divBdr>
        <w:top w:val="none" w:sz="0" w:space="0" w:color="auto"/>
        <w:left w:val="none" w:sz="0" w:space="0" w:color="auto"/>
        <w:bottom w:val="none" w:sz="0" w:space="0" w:color="auto"/>
        <w:right w:val="none" w:sz="0" w:space="0" w:color="auto"/>
      </w:divBdr>
    </w:div>
    <w:div w:id="213349221">
      <w:bodyDiv w:val="1"/>
      <w:marLeft w:val="0"/>
      <w:marRight w:val="0"/>
      <w:marTop w:val="0"/>
      <w:marBottom w:val="0"/>
      <w:divBdr>
        <w:top w:val="none" w:sz="0" w:space="0" w:color="auto"/>
        <w:left w:val="none" w:sz="0" w:space="0" w:color="auto"/>
        <w:bottom w:val="none" w:sz="0" w:space="0" w:color="auto"/>
        <w:right w:val="none" w:sz="0" w:space="0" w:color="auto"/>
      </w:divBdr>
      <w:divsChild>
        <w:div w:id="1483237804">
          <w:marLeft w:val="0"/>
          <w:marRight w:val="0"/>
          <w:marTop w:val="0"/>
          <w:marBottom w:val="0"/>
          <w:divBdr>
            <w:top w:val="none" w:sz="0" w:space="0" w:color="auto"/>
            <w:left w:val="none" w:sz="0" w:space="0" w:color="auto"/>
            <w:bottom w:val="none" w:sz="0" w:space="0" w:color="auto"/>
            <w:right w:val="none" w:sz="0" w:space="0" w:color="auto"/>
          </w:divBdr>
          <w:divsChild>
            <w:div w:id="573510082">
              <w:marLeft w:val="0"/>
              <w:marRight w:val="0"/>
              <w:marTop w:val="0"/>
              <w:marBottom w:val="0"/>
              <w:divBdr>
                <w:top w:val="none" w:sz="0" w:space="0" w:color="auto"/>
                <w:left w:val="none" w:sz="0" w:space="0" w:color="auto"/>
                <w:bottom w:val="none" w:sz="0" w:space="0" w:color="auto"/>
                <w:right w:val="none" w:sz="0" w:space="0" w:color="auto"/>
              </w:divBdr>
              <w:divsChild>
                <w:div w:id="18999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9181">
      <w:bodyDiv w:val="1"/>
      <w:marLeft w:val="0"/>
      <w:marRight w:val="0"/>
      <w:marTop w:val="0"/>
      <w:marBottom w:val="0"/>
      <w:divBdr>
        <w:top w:val="none" w:sz="0" w:space="0" w:color="auto"/>
        <w:left w:val="none" w:sz="0" w:space="0" w:color="auto"/>
        <w:bottom w:val="none" w:sz="0" w:space="0" w:color="auto"/>
        <w:right w:val="none" w:sz="0" w:space="0" w:color="auto"/>
      </w:divBdr>
    </w:div>
    <w:div w:id="442267025">
      <w:bodyDiv w:val="1"/>
      <w:marLeft w:val="0"/>
      <w:marRight w:val="0"/>
      <w:marTop w:val="0"/>
      <w:marBottom w:val="0"/>
      <w:divBdr>
        <w:top w:val="none" w:sz="0" w:space="0" w:color="auto"/>
        <w:left w:val="none" w:sz="0" w:space="0" w:color="auto"/>
        <w:bottom w:val="none" w:sz="0" w:space="0" w:color="auto"/>
        <w:right w:val="none" w:sz="0" w:space="0" w:color="auto"/>
      </w:divBdr>
    </w:div>
    <w:div w:id="621956970">
      <w:bodyDiv w:val="1"/>
      <w:marLeft w:val="0"/>
      <w:marRight w:val="0"/>
      <w:marTop w:val="0"/>
      <w:marBottom w:val="0"/>
      <w:divBdr>
        <w:top w:val="none" w:sz="0" w:space="0" w:color="auto"/>
        <w:left w:val="none" w:sz="0" w:space="0" w:color="auto"/>
        <w:bottom w:val="none" w:sz="0" w:space="0" w:color="auto"/>
        <w:right w:val="none" w:sz="0" w:space="0" w:color="auto"/>
      </w:divBdr>
    </w:div>
    <w:div w:id="690226683">
      <w:bodyDiv w:val="1"/>
      <w:marLeft w:val="0"/>
      <w:marRight w:val="0"/>
      <w:marTop w:val="0"/>
      <w:marBottom w:val="0"/>
      <w:divBdr>
        <w:top w:val="none" w:sz="0" w:space="0" w:color="auto"/>
        <w:left w:val="none" w:sz="0" w:space="0" w:color="auto"/>
        <w:bottom w:val="none" w:sz="0" w:space="0" w:color="auto"/>
        <w:right w:val="none" w:sz="0" w:space="0" w:color="auto"/>
      </w:divBdr>
      <w:divsChild>
        <w:div w:id="1252812825">
          <w:marLeft w:val="0"/>
          <w:marRight w:val="0"/>
          <w:marTop w:val="0"/>
          <w:marBottom w:val="0"/>
          <w:divBdr>
            <w:top w:val="none" w:sz="0" w:space="0" w:color="auto"/>
            <w:left w:val="none" w:sz="0" w:space="0" w:color="auto"/>
            <w:bottom w:val="none" w:sz="0" w:space="0" w:color="auto"/>
            <w:right w:val="none" w:sz="0" w:space="0" w:color="auto"/>
          </w:divBdr>
          <w:divsChild>
            <w:div w:id="1658993662">
              <w:marLeft w:val="0"/>
              <w:marRight w:val="0"/>
              <w:marTop w:val="0"/>
              <w:marBottom w:val="0"/>
              <w:divBdr>
                <w:top w:val="none" w:sz="0" w:space="0" w:color="auto"/>
                <w:left w:val="none" w:sz="0" w:space="0" w:color="auto"/>
                <w:bottom w:val="none" w:sz="0" w:space="0" w:color="auto"/>
                <w:right w:val="none" w:sz="0" w:space="0" w:color="auto"/>
              </w:divBdr>
              <w:divsChild>
                <w:div w:id="1557467800">
                  <w:marLeft w:val="0"/>
                  <w:marRight w:val="0"/>
                  <w:marTop w:val="0"/>
                  <w:marBottom w:val="0"/>
                  <w:divBdr>
                    <w:top w:val="none" w:sz="0" w:space="0" w:color="auto"/>
                    <w:left w:val="none" w:sz="0" w:space="0" w:color="auto"/>
                    <w:bottom w:val="none" w:sz="0" w:space="0" w:color="auto"/>
                    <w:right w:val="none" w:sz="0" w:space="0" w:color="auto"/>
                  </w:divBdr>
                </w:div>
              </w:divsChild>
            </w:div>
            <w:div w:id="1419518683">
              <w:marLeft w:val="0"/>
              <w:marRight w:val="0"/>
              <w:marTop w:val="0"/>
              <w:marBottom w:val="0"/>
              <w:divBdr>
                <w:top w:val="none" w:sz="0" w:space="0" w:color="auto"/>
                <w:left w:val="none" w:sz="0" w:space="0" w:color="auto"/>
                <w:bottom w:val="none" w:sz="0" w:space="0" w:color="auto"/>
                <w:right w:val="none" w:sz="0" w:space="0" w:color="auto"/>
              </w:divBdr>
              <w:divsChild>
                <w:div w:id="6618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55948">
      <w:bodyDiv w:val="1"/>
      <w:marLeft w:val="0"/>
      <w:marRight w:val="0"/>
      <w:marTop w:val="0"/>
      <w:marBottom w:val="0"/>
      <w:divBdr>
        <w:top w:val="none" w:sz="0" w:space="0" w:color="auto"/>
        <w:left w:val="none" w:sz="0" w:space="0" w:color="auto"/>
        <w:bottom w:val="none" w:sz="0" w:space="0" w:color="auto"/>
        <w:right w:val="none" w:sz="0" w:space="0" w:color="auto"/>
      </w:divBdr>
      <w:divsChild>
        <w:div w:id="946044494">
          <w:marLeft w:val="0"/>
          <w:marRight w:val="0"/>
          <w:marTop w:val="0"/>
          <w:marBottom w:val="0"/>
          <w:divBdr>
            <w:top w:val="none" w:sz="0" w:space="0" w:color="auto"/>
            <w:left w:val="none" w:sz="0" w:space="0" w:color="auto"/>
            <w:bottom w:val="none" w:sz="0" w:space="0" w:color="auto"/>
            <w:right w:val="none" w:sz="0" w:space="0" w:color="auto"/>
          </w:divBdr>
          <w:divsChild>
            <w:div w:id="46927341">
              <w:marLeft w:val="0"/>
              <w:marRight w:val="0"/>
              <w:marTop w:val="0"/>
              <w:marBottom w:val="0"/>
              <w:divBdr>
                <w:top w:val="none" w:sz="0" w:space="0" w:color="auto"/>
                <w:left w:val="none" w:sz="0" w:space="0" w:color="auto"/>
                <w:bottom w:val="none" w:sz="0" w:space="0" w:color="auto"/>
                <w:right w:val="none" w:sz="0" w:space="0" w:color="auto"/>
              </w:divBdr>
              <w:divsChild>
                <w:div w:id="142746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248590">
      <w:bodyDiv w:val="1"/>
      <w:marLeft w:val="0"/>
      <w:marRight w:val="0"/>
      <w:marTop w:val="0"/>
      <w:marBottom w:val="0"/>
      <w:divBdr>
        <w:top w:val="none" w:sz="0" w:space="0" w:color="auto"/>
        <w:left w:val="none" w:sz="0" w:space="0" w:color="auto"/>
        <w:bottom w:val="none" w:sz="0" w:space="0" w:color="auto"/>
        <w:right w:val="none" w:sz="0" w:space="0" w:color="auto"/>
      </w:divBdr>
    </w:div>
    <w:div w:id="839151829">
      <w:bodyDiv w:val="1"/>
      <w:marLeft w:val="0"/>
      <w:marRight w:val="0"/>
      <w:marTop w:val="0"/>
      <w:marBottom w:val="0"/>
      <w:divBdr>
        <w:top w:val="none" w:sz="0" w:space="0" w:color="auto"/>
        <w:left w:val="none" w:sz="0" w:space="0" w:color="auto"/>
        <w:bottom w:val="none" w:sz="0" w:space="0" w:color="auto"/>
        <w:right w:val="none" w:sz="0" w:space="0" w:color="auto"/>
      </w:divBdr>
      <w:divsChild>
        <w:div w:id="1998413238">
          <w:marLeft w:val="0"/>
          <w:marRight w:val="0"/>
          <w:marTop w:val="0"/>
          <w:marBottom w:val="0"/>
          <w:divBdr>
            <w:top w:val="none" w:sz="0" w:space="0" w:color="auto"/>
            <w:left w:val="none" w:sz="0" w:space="0" w:color="auto"/>
            <w:bottom w:val="none" w:sz="0" w:space="0" w:color="auto"/>
            <w:right w:val="none" w:sz="0" w:space="0" w:color="auto"/>
          </w:divBdr>
          <w:divsChild>
            <w:div w:id="217204651">
              <w:marLeft w:val="0"/>
              <w:marRight w:val="0"/>
              <w:marTop w:val="0"/>
              <w:marBottom w:val="0"/>
              <w:divBdr>
                <w:top w:val="none" w:sz="0" w:space="0" w:color="auto"/>
                <w:left w:val="none" w:sz="0" w:space="0" w:color="auto"/>
                <w:bottom w:val="none" w:sz="0" w:space="0" w:color="auto"/>
                <w:right w:val="none" w:sz="0" w:space="0" w:color="auto"/>
              </w:divBdr>
              <w:divsChild>
                <w:div w:id="9554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33648">
      <w:bodyDiv w:val="1"/>
      <w:marLeft w:val="0"/>
      <w:marRight w:val="0"/>
      <w:marTop w:val="0"/>
      <w:marBottom w:val="0"/>
      <w:divBdr>
        <w:top w:val="none" w:sz="0" w:space="0" w:color="auto"/>
        <w:left w:val="none" w:sz="0" w:space="0" w:color="auto"/>
        <w:bottom w:val="none" w:sz="0" w:space="0" w:color="auto"/>
        <w:right w:val="none" w:sz="0" w:space="0" w:color="auto"/>
      </w:divBdr>
    </w:div>
    <w:div w:id="915751781">
      <w:bodyDiv w:val="1"/>
      <w:marLeft w:val="0"/>
      <w:marRight w:val="0"/>
      <w:marTop w:val="0"/>
      <w:marBottom w:val="0"/>
      <w:divBdr>
        <w:top w:val="none" w:sz="0" w:space="0" w:color="auto"/>
        <w:left w:val="none" w:sz="0" w:space="0" w:color="auto"/>
        <w:bottom w:val="none" w:sz="0" w:space="0" w:color="auto"/>
        <w:right w:val="none" w:sz="0" w:space="0" w:color="auto"/>
      </w:divBdr>
    </w:div>
    <w:div w:id="931085992">
      <w:bodyDiv w:val="1"/>
      <w:marLeft w:val="0"/>
      <w:marRight w:val="0"/>
      <w:marTop w:val="0"/>
      <w:marBottom w:val="0"/>
      <w:divBdr>
        <w:top w:val="none" w:sz="0" w:space="0" w:color="auto"/>
        <w:left w:val="none" w:sz="0" w:space="0" w:color="auto"/>
        <w:bottom w:val="none" w:sz="0" w:space="0" w:color="auto"/>
        <w:right w:val="none" w:sz="0" w:space="0" w:color="auto"/>
      </w:divBdr>
    </w:div>
    <w:div w:id="985740857">
      <w:bodyDiv w:val="1"/>
      <w:marLeft w:val="0"/>
      <w:marRight w:val="0"/>
      <w:marTop w:val="0"/>
      <w:marBottom w:val="0"/>
      <w:divBdr>
        <w:top w:val="none" w:sz="0" w:space="0" w:color="auto"/>
        <w:left w:val="none" w:sz="0" w:space="0" w:color="auto"/>
        <w:bottom w:val="none" w:sz="0" w:space="0" w:color="auto"/>
        <w:right w:val="none" w:sz="0" w:space="0" w:color="auto"/>
      </w:divBdr>
    </w:div>
    <w:div w:id="997922196">
      <w:bodyDiv w:val="1"/>
      <w:marLeft w:val="0"/>
      <w:marRight w:val="0"/>
      <w:marTop w:val="0"/>
      <w:marBottom w:val="0"/>
      <w:divBdr>
        <w:top w:val="none" w:sz="0" w:space="0" w:color="auto"/>
        <w:left w:val="none" w:sz="0" w:space="0" w:color="auto"/>
        <w:bottom w:val="none" w:sz="0" w:space="0" w:color="auto"/>
        <w:right w:val="none" w:sz="0" w:space="0" w:color="auto"/>
      </w:divBdr>
    </w:div>
    <w:div w:id="1022705361">
      <w:bodyDiv w:val="1"/>
      <w:marLeft w:val="0"/>
      <w:marRight w:val="0"/>
      <w:marTop w:val="0"/>
      <w:marBottom w:val="0"/>
      <w:divBdr>
        <w:top w:val="none" w:sz="0" w:space="0" w:color="auto"/>
        <w:left w:val="none" w:sz="0" w:space="0" w:color="auto"/>
        <w:bottom w:val="none" w:sz="0" w:space="0" w:color="auto"/>
        <w:right w:val="none" w:sz="0" w:space="0" w:color="auto"/>
      </w:divBdr>
    </w:div>
    <w:div w:id="1054474990">
      <w:bodyDiv w:val="1"/>
      <w:marLeft w:val="0"/>
      <w:marRight w:val="0"/>
      <w:marTop w:val="0"/>
      <w:marBottom w:val="0"/>
      <w:divBdr>
        <w:top w:val="none" w:sz="0" w:space="0" w:color="auto"/>
        <w:left w:val="none" w:sz="0" w:space="0" w:color="auto"/>
        <w:bottom w:val="none" w:sz="0" w:space="0" w:color="auto"/>
        <w:right w:val="none" w:sz="0" w:space="0" w:color="auto"/>
      </w:divBdr>
    </w:div>
    <w:div w:id="1148134831">
      <w:bodyDiv w:val="1"/>
      <w:marLeft w:val="0"/>
      <w:marRight w:val="0"/>
      <w:marTop w:val="0"/>
      <w:marBottom w:val="0"/>
      <w:divBdr>
        <w:top w:val="none" w:sz="0" w:space="0" w:color="auto"/>
        <w:left w:val="none" w:sz="0" w:space="0" w:color="auto"/>
        <w:bottom w:val="none" w:sz="0" w:space="0" w:color="auto"/>
        <w:right w:val="none" w:sz="0" w:space="0" w:color="auto"/>
      </w:divBdr>
      <w:divsChild>
        <w:div w:id="87429930">
          <w:marLeft w:val="0"/>
          <w:marRight w:val="0"/>
          <w:marTop w:val="0"/>
          <w:marBottom w:val="0"/>
          <w:divBdr>
            <w:top w:val="none" w:sz="0" w:space="0" w:color="auto"/>
            <w:left w:val="none" w:sz="0" w:space="0" w:color="auto"/>
            <w:bottom w:val="none" w:sz="0" w:space="0" w:color="auto"/>
            <w:right w:val="none" w:sz="0" w:space="0" w:color="auto"/>
          </w:divBdr>
          <w:divsChild>
            <w:div w:id="1819764890">
              <w:marLeft w:val="0"/>
              <w:marRight w:val="0"/>
              <w:marTop w:val="0"/>
              <w:marBottom w:val="0"/>
              <w:divBdr>
                <w:top w:val="none" w:sz="0" w:space="0" w:color="auto"/>
                <w:left w:val="none" w:sz="0" w:space="0" w:color="auto"/>
                <w:bottom w:val="none" w:sz="0" w:space="0" w:color="auto"/>
                <w:right w:val="none" w:sz="0" w:space="0" w:color="auto"/>
              </w:divBdr>
              <w:divsChild>
                <w:div w:id="14207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534488">
      <w:bodyDiv w:val="1"/>
      <w:marLeft w:val="0"/>
      <w:marRight w:val="0"/>
      <w:marTop w:val="0"/>
      <w:marBottom w:val="0"/>
      <w:divBdr>
        <w:top w:val="none" w:sz="0" w:space="0" w:color="auto"/>
        <w:left w:val="none" w:sz="0" w:space="0" w:color="auto"/>
        <w:bottom w:val="none" w:sz="0" w:space="0" w:color="auto"/>
        <w:right w:val="none" w:sz="0" w:space="0" w:color="auto"/>
      </w:divBdr>
    </w:div>
    <w:div w:id="1205288954">
      <w:bodyDiv w:val="1"/>
      <w:marLeft w:val="0"/>
      <w:marRight w:val="0"/>
      <w:marTop w:val="0"/>
      <w:marBottom w:val="0"/>
      <w:divBdr>
        <w:top w:val="none" w:sz="0" w:space="0" w:color="auto"/>
        <w:left w:val="none" w:sz="0" w:space="0" w:color="auto"/>
        <w:bottom w:val="none" w:sz="0" w:space="0" w:color="auto"/>
        <w:right w:val="none" w:sz="0" w:space="0" w:color="auto"/>
      </w:divBdr>
    </w:div>
    <w:div w:id="1218930650">
      <w:bodyDiv w:val="1"/>
      <w:marLeft w:val="0"/>
      <w:marRight w:val="0"/>
      <w:marTop w:val="0"/>
      <w:marBottom w:val="0"/>
      <w:divBdr>
        <w:top w:val="none" w:sz="0" w:space="0" w:color="auto"/>
        <w:left w:val="none" w:sz="0" w:space="0" w:color="auto"/>
        <w:bottom w:val="none" w:sz="0" w:space="0" w:color="auto"/>
        <w:right w:val="none" w:sz="0" w:space="0" w:color="auto"/>
      </w:divBdr>
    </w:div>
    <w:div w:id="1224563537">
      <w:bodyDiv w:val="1"/>
      <w:marLeft w:val="0"/>
      <w:marRight w:val="0"/>
      <w:marTop w:val="0"/>
      <w:marBottom w:val="0"/>
      <w:divBdr>
        <w:top w:val="none" w:sz="0" w:space="0" w:color="auto"/>
        <w:left w:val="none" w:sz="0" w:space="0" w:color="auto"/>
        <w:bottom w:val="none" w:sz="0" w:space="0" w:color="auto"/>
        <w:right w:val="none" w:sz="0" w:space="0" w:color="auto"/>
      </w:divBdr>
    </w:div>
    <w:div w:id="1264849130">
      <w:bodyDiv w:val="1"/>
      <w:marLeft w:val="0"/>
      <w:marRight w:val="0"/>
      <w:marTop w:val="0"/>
      <w:marBottom w:val="0"/>
      <w:divBdr>
        <w:top w:val="none" w:sz="0" w:space="0" w:color="auto"/>
        <w:left w:val="none" w:sz="0" w:space="0" w:color="auto"/>
        <w:bottom w:val="none" w:sz="0" w:space="0" w:color="auto"/>
        <w:right w:val="none" w:sz="0" w:space="0" w:color="auto"/>
      </w:divBdr>
    </w:div>
    <w:div w:id="1415207650">
      <w:bodyDiv w:val="1"/>
      <w:marLeft w:val="0"/>
      <w:marRight w:val="0"/>
      <w:marTop w:val="0"/>
      <w:marBottom w:val="0"/>
      <w:divBdr>
        <w:top w:val="none" w:sz="0" w:space="0" w:color="auto"/>
        <w:left w:val="none" w:sz="0" w:space="0" w:color="auto"/>
        <w:bottom w:val="none" w:sz="0" w:space="0" w:color="auto"/>
        <w:right w:val="none" w:sz="0" w:space="0" w:color="auto"/>
      </w:divBdr>
    </w:div>
    <w:div w:id="1491870237">
      <w:bodyDiv w:val="1"/>
      <w:marLeft w:val="0"/>
      <w:marRight w:val="0"/>
      <w:marTop w:val="0"/>
      <w:marBottom w:val="0"/>
      <w:divBdr>
        <w:top w:val="none" w:sz="0" w:space="0" w:color="auto"/>
        <w:left w:val="none" w:sz="0" w:space="0" w:color="auto"/>
        <w:bottom w:val="none" w:sz="0" w:space="0" w:color="auto"/>
        <w:right w:val="none" w:sz="0" w:space="0" w:color="auto"/>
      </w:divBdr>
      <w:divsChild>
        <w:div w:id="1333141295">
          <w:marLeft w:val="0"/>
          <w:marRight w:val="0"/>
          <w:marTop w:val="0"/>
          <w:marBottom w:val="0"/>
          <w:divBdr>
            <w:top w:val="none" w:sz="0" w:space="0" w:color="auto"/>
            <w:left w:val="none" w:sz="0" w:space="0" w:color="auto"/>
            <w:bottom w:val="none" w:sz="0" w:space="0" w:color="auto"/>
            <w:right w:val="none" w:sz="0" w:space="0" w:color="auto"/>
          </w:divBdr>
          <w:divsChild>
            <w:div w:id="1909415481">
              <w:marLeft w:val="0"/>
              <w:marRight w:val="0"/>
              <w:marTop w:val="0"/>
              <w:marBottom w:val="0"/>
              <w:divBdr>
                <w:top w:val="none" w:sz="0" w:space="0" w:color="auto"/>
                <w:left w:val="none" w:sz="0" w:space="0" w:color="auto"/>
                <w:bottom w:val="none" w:sz="0" w:space="0" w:color="auto"/>
                <w:right w:val="none" w:sz="0" w:space="0" w:color="auto"/>
              </w:divBdr>
              <w:divsChild>
                <w:div w:id="9646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3165">
      <w:bodyDiv w:val="1"/>
      <w:marLeft w:val="0"/>
      <w:marRight w:val="0"/>
      <w:marTop w:val="0"/>
      <w:marBottom w:val="0"/>
      <w:divBdr>
        <w:top w:val="none" w:sz="0" w:space="0" w:color="auto"/>
        <w:left w:val="none" w:sz="0" w:space="0" w:color="auto"/>
        <w:bottom w:val="none" w:sz="0" w:space="0" w:color="auto"/>
        <w:right w:val="none" w:sz="0" w:space="0" w:color="auto"/>
      </w:divBdr>
    </w:div>
    <w:div w:id="1509059167">
      <w:bodyDiv w:val="1"/>
      <w:marLeft w:val="0"/>
      <w:marRight w:val="0"/>
      <w:marTop w:val="0"/>
      <w:marBottom w:val="0"/>
      <w:divBdr>
        <w:top w:val="none" w:sz="0" w:space="0" w:color="auto"/>
        <w:left w:val="none" w:sz="0" w:space="0" w:color="auto"/>
        <w:bottom w:val="none" w:sz="0" w:space="0" w:color="auto"/>
        <w:right w:val="none" w:sz="0" w:space="0" w:color="auto"/>
      </w:divBdr>
      <w:divsChild>
        <w:div w:id="1695688072">
          <w:marLeft w:val="0"/>
          <w:marRight w:val="0"/>
          <w:marTop w:val="0"/>
          <w:marBottom w:val="0"/>
          <w:divBdr>
            <w:top w:val="none" w:sz="0" w:space="0" w:color="auto"/>
            <w:left w:val="none" w:sz="0" w:space="0" w:color="auto"/>
            <w:bottom w:val="none" w:sz="0" w:space="0" w:color="auto"/>
            <w:right w:val="none" w:sz="0" w:space="0" w:color="auto"/>
          </w:divBdr>
          <w:divsChild>
            <w:div w:id="1912352163">
              <w:marLeft w:val="0"/>
              <w:marRight w:val="0"/>
              <w:marTop w:val="0"/>
              <w:marBottom w:val="0"/>
              <w:divBdr>
                <w:top w:val="none" w:sz="0" w:space="0" w:color="auto"/>
                <w:left w:val="none" w:sz="0" w:space="0" w:color="auto"/>
                <w:bottom w:val="none" w:sz="0" w:space="0" w:color="auto"/>
                <w:right w:val="none" w:sz="0" w:space="0" w:color="auto"/>
              </w:divBdr>
              <w:divsChild>
                <w:div w:id="165945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442501">
      <w:bodyDiv w:val="1"/>
      <w:marLeft w:val="0"/>
      <w:marRight w:val="0"/>
      <w:marTop w:val="0"/>
      <w:marBottom w:val="0"/>
      <w:divBdr>
        <w:top w:val="none" w:sz="0" w:space="0" w:color="auto"/>
        <w:left w:val="none" w:sz="0" w:space="0" w:color="auto"/>
        <w:bottom w:val="none" w:sz="0" w:space="0" w:color="auto"/>
        <w:right w:val="none" w:sz="0" w:space="0" w:color="auto"/>
      </w:divBdr>
    </w:div>
    <w:div w:id="1762287879">
      <w:bodyDiv w:val="1"/>
      <w:marLeft w:val="0"/>
      <w:marRight w:val="0"/>
      <w:marTop w:val="0"/>
      <w:marBottom w:val="0"/>
      <w:divBdr>
        <w:top w:val="none" w:sz="0" w:space="0" w:color="auto"/>
        <w:left w:val="none" w:sz="0" w:space="0" w:color="auto"/>
        <w:bottom w:val="none" w:sz="0" w:space="0" w:color="auto"/>
        <w:right w:val="none" w:sz="0" w:space="0" w:color="auto"/>
      </w:divBdr>
    </w:div>
    <w:div w:id="1763991897">
      <w:bodyDiv w:val="1"/>
      <w:marLeft w:val="0"/>
      <w:marRight w:val="0"/>
      <w:marTop w:val="0"/>
      <w:marBottom w:val="0"/>
      <w:divBdr>
        <w:top w:val="none" w:sz="0" w:space="0" w:color="auto"/>
        <w:left w:val="none" w:sz="0" w:space="0" w:color="auto"/>
        <w:bottom w:val="none" w:sz="0" w:space="0" w:color="auto"/>
        <w:right w:val="none" w:sz="0" w:space="0" w:color="auto"/>
      </w:divBdr>
    </w:div>
    <w:div w:id="1767077320">
      <w:bodyDiv w:val="1"/>
      <w:marLeft w:val="0"/>
      <w:marRight w:val="0"/>
      <w:marTop w:val="0"/>
      <w:marBottom w:val="0"/>
      <w:divBdr>
        <w:top w:val="none" w:sz="0" w:space="0" w:color="auto"/>
        <w:left w:val="none" w:sz="0" w:space="0" w:color="auto"/>
        <w:bottom w:val="none" w:sz="0" w:space="0" w:color="auto"/>
        <w:right w:val="none" w:sz="0" w:space="0" w:color="auto"/>
      </w:divBdr>
    </w:div>
    <w:div w:id="1849250568">
      <w:bodyDiv w:val="1"/>
      <w:marLeft w:val="0"/>
      <w:marRight w:val="0"/>
      <w:marTop w:val="0"/>
      <w:marBottom w:val="0"/>
      <w:divBdr>
        <w:top w:val="none" w:sz="0" w:space="0" w:color="auto"/>
        <w:left w:val="none" w:sz="0" w:space="0" w:color="auto"/>
        <w:bottom w:val="none" w:sz="0" w:space="0" w:color="auto"/>
        <w:right w:val="none" w:sz="0" w:space="0" w:color="auto"/>
      </w:divBdr>
      <w:divsChild>
        <w:div w:id="1728648983">
          <w:marLeft w:val="0"/>
          <w:marRight w:val="0"/>
          <w:marTop w:val="0"/>
          <w:marBottom w:val="0"/>
          <w:divBdr>
            <w:top w:val="none" w:sz="0" w:space="0" w:color="auto"/>
            <w:left w:val="none" w:sz="0" w:space="0" w:color="auto"/>
            <w:bottom w:val="none" w:sz="0" w:space="0" w:color="auto"/>
            <w:right w:val="none" w:sz="0" w:space="0" w:color="auto"/>
          </w:divBdr>
          <w:divsChild>
            <w:div w:id="298149598">
              <w:marLeft w:val="0"/>
              <w:marRight w:val="0"/>
              <w:marTop w:val="0"/>
              <w:marBottom w:val="0"/>
              <w:divBdr>
                <w:top w:val="none" w:sz="0" w:space="0" w:color="auto"/>
                <w:left w:val="none" w:sz="0" w:space="0" w:color="auto"/>
                <w:bottom w:val="none" w:sz="0" w:space="0" w:color="auto"/>
                <w:right w:val="none" w:sz="0" w:space="0" w:color="auto"/>
              </w:divBdr>
              <w:divsChild>
                <w:div w:id="12343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784094">
      <w:bodyDiv w:val="1"/>
      <w:marLeft w:val="0"/>
      <w:marRight w:val="0"/>
      <w:marTop w:val="0"/>
      <w:marBottom w:val="0"/>
      <w:divBdr>
        <w:top w:val="none" w:sz="0" w:space="0" w:color="auto"/>
        <w:left w:val="none" w:sz="0" w:space="0" w:color="auto"/>
        <w:bottom w:val="none" w:sz="0" w:space="0" w:color="auto"/>
        <w:right w:val="none" w:sz="0" w:space="0" w:color="auto"/>
      </w:divBdr>
    </w:div>
    <w:div w:id="1990019380">
      <w:bodyDiv w:val="1"/>
      <w:marLeft w:val="0"/>
      <w:marRight w:val="0"/>
      <w:marTop w:val="0"/>
      <w:marBottom w:val="0"/>
      <w:divBdr>
        <w:top w:val="none" w:sz="0" w:space="0" w:color="auto"/>
        <w:left w:val="none" w:sz="0" w:space="0" w:color="auto"/>
        <w:bottom w:val="none" w:sz="0" w:space="0" w:color="auto"/>
        <w:right w:val="none" w:sz="0" w:space="0" w:color="auto"/>
      </w:divBdr>
    </w:div>
    <w:div w:id="2034189790">
      <w:bodyDiv w:val="1"/>
      <w:marLeft w:val="0"/>
      <w:marRight w:val="0"/>
      <w:marTop w:val="0"/>
      <w:marBottom w:val="0"/>
      <w:divBdr>
        <w:top w:val="none" w:sz="0" w:space="0" w:color="auto"/>
        <w:left w:val="none" w:sz="0" w:space="0" w:color="auto"/>
        <w:bottom w:val="none" w:sz="0" w:space="0" w:color="auto"/>
        <w:right w:val="none" w:sz="0" w:space="0" w:color="auto"/>
      </w:divBdr>
    </w:div>
    <w:div w:id="2045014184">
      <w:bodyDiv w:val="1"/>
      <w:marLeft w:val="0"/>
      <w:marRight w:val="0"/>
      <w:marTop w:val="0"/>
      <w:marBottom w:val="0"/>
      <w:divBdr>
        <w:top w:val="none" w:sz="0" w:space="0" w:color="auto"/>
        <w:left w:val="none" w:sz="0" w:space="0" w:color="auto"/>
        <w:bottom w:val="none" w:sz="0" w:space="0" w:color="auto"/>
        <w:right w:val="none" w:sz="0" w:space="0" w:color="auto"/>
      </w:divBdr>
      <w:divsChild>
        <w:div w:id="1013147348">
          <w:marLeft w:val="0"/>
          <w:marRight w:val="0"/>
          <w:marTop w:val="0"/>
          <w:marBottom w:val="0"/>
          <w:divBdr>
            <w:top w:val="none" w:sz="0" w:space="0" w:color="auto"/>
            <w:left w:val="none" w:sz="0" w:space="0" w:color="auto"/>
            <w:bottom w:val="none" w:sz="0" w:space="0" w:color="auto"/>
            <w:right w:val="none" w:sz="0" w:space="0" w:color="auto"/>
          </w:divBdr>
          <w:divsChild>
            <w:div w:id="684942595">
              <w:marLeft w:val="0"/>
              <w:marRight w:val="0"/>
              <w:marTop w:val="0"/>
              <w:marBottom w:val="0"/>
              <w:divBdr>
                <w:top w:val="none" w:sz="0" w:space="0" w:color="auto"/>
                <w:left w:val="none" w:sz="0" w:space="0" w:color="auto"/>
                <w:bottom w:val="none" w:sz="0" w:space="0" w:color="auto"/>
                <w:right w:val="none" w:sz="0" w:space="0" w:color="auto"/>
              </w:divBdr>
              <w:divsChild>
                <w:div w:id="7064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5501">
      <w:bodyDiv w:val="1"/>
      <w:marLeft w:val="0"/>
      <w:marRight w:val="0"/>
      <w:marTop w:val="0"/>
      <w:marBottom w:val="0"/>
      <w:divBdr>
        <w:top w:val="none" w:sz="0" w:space="0" w:color="auto"/>
        <w:left w:val="none" w:sz="0" w:space="0" w:color="auto"/>
        <w:bottom w:val="none" w:sz="0" w:space="0" w:color="auto"/>
        <w:right w:val="none" w:sz="0" w:space="0" w:color="auto"/>
      </w:divBdr>
    </w:div>
    <w:div w:id="211354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edpb.europa.eu/our-work-tools/our-documents/other/contribution-edpb-evaluation-gdpr-under-article-97_pl" TargetMode="External"/><Relationship Id="rId13" Type="http://schemas.openxmlformats.org/officeDocument/2006/relationships/hyperlink" Target="https://ec.europa.eu/info/law/law-topic/data-protection/eu-data-protection-rules/eu-funding-supporting-implementation-gdpr_en" TargetMode="External"/><Relationship Id="rId3" Type="http://schemas.openxmlformats.org/officeDocument/2006/relationships/hyperlink" Target="https://www.cisco.com/c/dam/en/us/products/collateral/security/cybersecurity-series-2019-cps.pdf" TargetMode="External"/><Relationship Id="rId7" Type="http://schemas.openxmlformats.org/officeDocument/2006/relationships/hyperlink" Target="https://data.consilium.europa.eu/doc/document/ST-14994-2019-REV-2/pl/pdf" TargetMode="External"/><Relationship Id="rId12" Type="http://schemas.openxmlformats.org/officeDocument/2006/relationships/hyperlink" Target="https://ec.europa.eu/commission/presscorner/detail/pl/ip_20_962" TargetMode="External"/><Relationship Id="rId2" Type="http://schemas.openxmlformats.org/officeDocument/2006/relationships/hyperlink" Target="https://ec.europa.eu/info/strategy/priorities-2019-2024/europe-fit-digital-age/european-data-strategy_pl" TargetMode="External"/><Relationship Id="rId16" Type="http://schemas.openxmlformats.org/officeDocument/2006/relationships/hyperlink" Target="https://trade.ec.europa.eu/doclib/docs/2019/may/tradoc_157880.pdf" TargetMode="External"/><Relationship Id="rId1" Type="http://schemas.openxmlformats.org/officeDocument/2006/relationships/hyperlink" Target="https://ec.europa.eu/info/publications/white-paper-artificial-intelligence-european-approach-excellence-and-trust_en" TargetMode="External"/><Relationship Id="rId6" Type="http://schemas.openxmlformats.org/officeDocument/2006/relationships/hyperlink" Target="https://ec.europa.eu/health/sites/health/files/ehealth/docs/covid-19_apps_en.pdf" TargetMode="External"/><Relationship Id="rId11" Type="http://schemas.openxmlformats.org/officeDocument/2006/relationships/hyperlink" Target="https://ec.europa.eu/info/law/better-regulation/have-your-say/initiatives/12322-Report-on-the-application-of-the-General-Data-Protection-Regulation/feedback?p_id=7669437" TargetMode="External"/><Relationship Id="rId5" Type="http://schemas.openxmlformats.org/officeDocument/2006/relationships/hyperlink" Target="https://ec.europa.eu/health/ehealth/key_documents_pl" TargetMode="External"/><Relationship Id="rId15" Type="http://schemas.openxmlformats.org/officeDocument/2006/relationships/hyperlink" Target="https://trade.ec.europa.eu/doclib/docs/2018/may/tradoc_156884.pdf" TargetMode="External"/><Relationship Id="rId10" Type="http://schemas.openxmlformats.org/officeDocument/2006/relationships/hyperlink" Target="https://ec.europa.eu/transparency/regexpert/index.cfm?do=groupDetail.groupDetail&amp;groupID=3537" TargetMode="External"/><Relationship Id="rId4" Type="http://schemas.openxmlformats.org/officeDocument/2006/relationships/hyperlink" Target="https://www.un.org/press/en/2019/sgsm19916.doc.htm" TargetMode="External"/><Relationship Id="rId9" Type="http://schemas.openxmlformats.org/officeDocument/2006/relationships/hyperlink" Target="https://edpb.europa.eu/individual-replies-data-protection-supervisory-authorities_pl" TargetMode="External"/><Relationship Id="rId14" Type="http://schemas.openxmlformats.org/officeDocument/2006/relationships/hyperlink" Target="https://www.consilium.europa.eu/media/40124/final_g20_osaka_leaders_declaration.pdf"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78501346EF8C1F428D51701339F71ED3" ma:contentTypeVersion="0" ma:contentTypeDescription="Create a new document in this library." ma:contentTypeScope="" ma:versionID="d4014f0839388433f6409400e4209923">
  <xsd:schema xmlns:xsd="http://www.w3.org/2001/XMLSchema" xmlns:xs="http://www.w3.org/2001/XMLSchema" xmlns:p="http://schemas.microsoft.com/office/2006/metadata/properties" xmlns:ns2="http://schemas.microsoft.com/sharepoint/v3/fields" xmlns:ns3="6dfd25d6-bb28-4a4c-8c5a-9e04de995006" targetNamespace="http://schemas.microsoft.com/office/2006/metadata/properties" ma:root="true" ma:fieldsID="03e987dc2ddf1a0996e6ceda765616a3" ns2:_="" ns3:_="">
    <xsd:import namespace="http://schemas.microsoft.com/sharepoint/v3/fields"/>
    <xsd:import namespace="6dfd25d6-bb28-4a4c-8c5a-9e04de99500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dfd25d6-bb28-4a4c-8c5a-9e04de99500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6dfd25d6-bb28-4a4c-8c5a-9e04de995006">Not Started</EC_Collab_Status>
    <EC_Collab_Reference xmlns="6dfd25d6-bb28-4a4c-8c5a-9e04de995006" xsi:nil="true"/>
    <EC_Collab_DocumentLanguage xmlns="6dfd25d6-bb28-4a4c-8c5a-9e04de995006">EN</EC_Collab_DocumentLanguag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88A1E-886A-4343-B024-7304D18DE4D6}">
  <ds:schemaRefs>
    <ds:schemaRef ds:uri="http://schemas.microsoft.com/sharepoint/v3/contenttype/forms"/>
  </ds:schemaRefs>
</ds:datastoreItem>
</file>

<file path=customXml/itemProps2.xml><?xml version="1.0" encoding="utf-8"?>
<ds:datastoreItem xmlns:ds="http://schemas.openxmlformats.org/officeDocument/2006/customXml" ds:itemID="{FBD4C713-1427-4B22-8253-E715ED58C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dfd25d6-bb28-4a4c-8c5a-9e04de995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7E0081-2F1B-4865-A5AF-C7C66A983B41}">
  <ds:schemaRefs>
    <ds:schemaRef ds:uri="http://schemas.microsoft.com/office/2006/metadata/properties"/>
    <ds:schemaRef ds:uri="http://schemas.microsoft.com/office/infopath/2007/PartnerControls"/>
    <ds:schemaRef ds:uri="http://schemas.microsoft.com/sharepoint/v3/fields"/>
    <ds:schemaRef ds:uri="6dfd25d6-bb28-4a4c-8c5a-9e04de995006"/>
  </ds:schemaRefs>
</ds:datastoreItem>
</file>

<file path=customXml/itemProps4.xml><?xml version="1.0" encoding="utf-8"?>
<ds:datastoreItem xmlns:ds="http://schemas.openxmlformats.org/officeDocument/2006/customXml" ds:itemID="{BE244205-D406-4FCC-81FE-4F6535884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6482</Words>
  <Characters>43760</Characters>
  <Application>Microsoft Office Word</Application>
  <DocSecurity>0</DocSecurity>
  <Lines>754</Lines>
  <Paragraphs>147</Paragraphs>
  <ScaleCrop>false</ScaleCrop>
  <HeadingPairs>
    <vt:vector size="8" baseType="variant">
      <vt:variant>
        <vt:lpstr>Title</vt:lpstr>
      </vt:variant>
      <vt:variant>
        <vt:i4>1</vt:i4>
      </vt:variant>
      <vt:variant>
        <vt:lpstr>Titolo</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50095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ROUBI Vasiliki (SG)</cp:lastModifiedBy>
  <cp:revision>9</cp:revision>
  <cp:lastPrinted>2020-06-16T15:49:00Z</cp:lastPrinted>
  <dcterms:created xsi:type="dcterms:W3CDTF">2020-06-22T17:57:00Z</dcterms:created>
  <dcterms:modified xsi:type="dcterms:W3CDTF">2020-07-03T10:32:00Z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CP-012</vt:lpwstr>
  </property>
  <property fmtid="{D5CDD505-2E9C-101B-9397-08002B2CF9AE}" pid="8" name="Last edited using">
    <vt:lpwstr>LW 7.0.1, Build 20190916</vt:lpwstr>
  </property>
  <property fmtid="{D5CDD505-2E9C-101B-9397-08002B2CF9AE}" pid="9" name="Created using">
    <vt:lpwstr>LW 7.0, Build 20190717</vt:lpwstr>
  </property>
  <property fmtid="{D5CDD505-2E9C-101B-9397-08002B2CF9AE}" pid="10" name="_LW_INVALIDATED__LW_INVALIDATED__LW_INVALIDATED__LW_INVALIDATED__LW_INVALIDATED__LW_INVALIDATED__LW_INVALIDATED__LW_INVALIDATED__LW_INVALIDATED_ContentTypeId">
    <vt:lpwstr>0x010100C650EC2956CC6F4AAA37FAB8FBE852E1</vt:lpwstr>
  </property>
  <property fmtid="{D5CDD505-2E9C-101B-9397-08002B2CF9AE}" pid="11" name="_LW_INVALIDATED__LW_INVALIDATED__LW_INVALIDATED__LW_INVALIDATED__LW_INVALIDATED__LW_INVALIDATED__LW_INVALIDATED_ContentTypeId">
    <vt:lpwstr>0x010100258AA79CEB83498886A3A086811232500078501346EF8C1F428D51701339F71ED3</vt:lpwstr>
  </property>
  <property fmtid="{D5CDD505-2E9C-101B-9397-08002B2CF9AE}" pid="12" name="_LW_INVALIDATED__LW_INVALIDATED__LW_INVALIDATED__LW_INVALIDATED__LW_INVALIDATED__LW_INVALIDATED_ContentTypeId">
    <vt:lpwstr>0x010100258AA79CEB83498886A3A086811232500078501346EF8C1F428D51701339F71ED3</vt:lpwstr>
  </property>
</Properties>
</file>