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A92" w:rsidRDefault="00110FC7">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34CF4AA-2B73-4A7C-9C9B-0B6459FB2BDE" style="width:450.6pt;height:415.85pt">
            <v:imagedata r:id="rId9" o:title=""/>
          </v:shape>
        </w:pict>
      </w:r>
    </w:p>
    <w:bookmarkEnd w:id="0"/>
    <w:p w:rsidR="00622A92" w:rsidRDefault="00622A92">
      <w:pPr>
        <w:rPr>
          <w:rFonts w:ascii="Times New Roman" w:hAnsi="Times New Roman" w:cs="Times New Roman"/>
          <w:noProof/>
        </w:rPr>
        <w:sectPr w:rsidR="00622A92">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622A92" w:rsidRDefault="00110FC7">
      <w:pPr>
        <w:pStyle w:val="Heading1"/>
        <w:rPr>
          <w:rFonts w:ascii="Times New Roman" w:hAnsi="Times New Roman" w:cs="Times New Roman"/>
          <w:noProof/>
          <w:color w:val="006B75"/>
          <w:sz w:val="40"/>
          <w:szCs w:val="40"/>
        </w:rPr>
      </w:pPr>
      <w:r>
        <w:rPr>
          <w:rFonts w:ascii="Times New Roman" w:hAnsi="Times New Roman"/>
          <w:noProof/>
          <w:color w:val="006B75"/>
          <w:sz w:val="40"/>
        </w:rPr>
        <w:lastRenderedPageBreak/>
        <w:t>UM ORÇAMENTO PARA A NOSSA UNIÃO A 27</w:t>
      </w:r>
    </w:p>
    <w:p w:rsidR="00622A92" w:rsidRDefault="00110FC7">
      <w:pPr>
        <w:pStyle w:val="Heading1"/>
        <w:spacing w:before="120" w:after="240"/>
        <w:jc w:val="both"/>
        <w:rPr>
          <w:rFonts w:ascii="Times New Roman" w:eastAsia="Calibri" w:hAnsi="Times New Roman" w:cs="Times New Roman"/>
          <w:b w:val="0"/>
          <w:bCs w:val="0"/>
          <w:noProof/>
          <w:color w:val="auto"/>
        </w:rPr>
      </w:pPr>
      <w:r>
        <w:rPr>
          <w:rFonts w:ascii="Times New Roman" w:hAnsi="Times New Roman"/>
          <w:b w:val="0"/>
          <w:noProof/>
          <w:color w:val="auto"/>
        </w:rPr>
        <w:t>«</w:t>
      </w:r>
      <w:r>
        <w:rPr>
          <w:rFonts w:ascii="Times New Roman" w:hAnsi="Times New Roman"/>
          <w:b w:val="0"/>
          <w:i/>
          <w:noProof/>
          <w:color w:val="auto"/>
        </w:rPr>
        <w:t xml:space="preserve">Os orçamentos não são meros exercícios contabilísticos — refletem as nossas prioridades e a nossa ambição. </w:t>
      </w:r>
      <w:r>
        <w:rPr>
          <w:rFonts w:ascii="Times New Roman" w:hAnsi="Times New Roman"/>
          <w:b w:val="0"/>
          <w:i/>
          <w:noProof/>
          <w:color w:val="auto"/>
        </w:rPr>
        <w:t>Comecemos assim por debater que tipo de Europa queremos</w:t>
      </w:r>
      <w:r>
        <w:rPr>
          <w:rFonts w:ascii="Times New Roman" w:hAnsi="Times New Roman"/>
          <w:b w:val="0"/>
          <w:noProof/>
          <w:color w:val="auto"/>
        </w:rPr>
        <w:t xml:space="preserve">.» </w:t>
      </w:r>
    </w:p>
    <w:p w:rsidR="00622A92" w:rsidRDefault="00110FC7">
      <w:pPr>
        <w:pStyle w:val="Heading1"/>
        <w:spacing w:before="120"/>
        <w:jc w:val="right"/>
        <w:rPr>
          <w:rFonts w:ascii="Times New Roman" w:eastAsia="Calibri" w:hAnsi="Times New Roman" w:cs="Times New Roman"/>
          <w:b w:val="0"/>
          <w:bCs w:val="0"/>
          <w:i/>
          <w:noProof/>
          <w:color w:val="auto"/>
          <w:sz w:val="24"/>
          <w:szCs w:val="24"/>
        </w:rPr>
      </w:pPr>
      <w:r>
        <w:rPr>
          <w:rFonts w:ascii="Times New Roman" w:hAnsi="Times New Roman"/>
          <w:b w:val="0"/>
          <w:i/>
          <w:noProof/>
          <w:color w:val="auto"/>
          <w:sz w:val="24"/>
        </w:rPr>
        <w:t>Jean-Claude Juncker</w:t>
      </w:r>
    </w:p>
    <w:p w:rsidR="00622A92" w:rsidRDefault="00110FC7">
      <w:pPr>
        <w:spacing w:after="0"/>
        <w:jc w:val="right"/>
        <w:rPr>
          <w:rFonts w:ascii="Times New Roman" w:hAnsi="Times New Roman" w:cs="Times New Roman"/>
          <w:i/>
          <w:noProof/>
        </w:rPr>
      </w:pPr>
      <w:r>
        <w:rPr>
          <w:rFonts w:ascii="Times New Roman" w:hAnsi="Times New Roman"/>
          <w:i/>
          <w:noProof/>
          <w:sz w:val="24"/>
        </w:rPr>
        <w:t>Presidente da Comissão Europeia</w:t>
      </w:r>
    </w:p>
    <w:p w:rsidR="00622A92" w:rsidRDefault="00110FC7">
      <w:pPr>
        <w:pStyle w:val="Heading1"/>
        <w:spacing w:before="0" w:after="240"/>
        <w:jc w:val="right"/>
        <w:rPr>
          <w:rFonts w:ascii="Times New Roman" w:eastAsia="Calibri" w:hAnsi="Times New Roman" w:cs="Times New Roman"/>
          <w:b w:val="0"/>
          <w:bCs w:val="0"/>
          <w:noProof/>
          <w:color w:val="auto"/>
          <w:sz w:val="24"/>
          <w:szCs w:val="24"/>
        </w:rPr>
      </w:pPr>
      <w:r>
        <w:rPr>
          <w:rFonts w:ascii="Times New Roman" w:hAnsi="Times New Roman"/>
          <w:b w:val="0"/>
          <w:i/>
          <w:noProof/>
          <w:color w:val="auto"/>
          <w:sz w:val="24"/>
        </w:rPr>
        <w:t>8 de janeiro de 2018</w:t>
      </w:r>
    </w:p>
    <w:p w:rsidR="00622A92" w:rsidRDefault="00110FC7">
      <w:pPr>
        <w:pStyle w:val="Heading1"/>
        <w:spacing w:before="120" w:after="240"/>
        <w:ind w:left="709" w:hanging="709"/>
        <w:rPr>
          <w:rFonts w:ascii="Times New Roman" w:hAnsi="Times New Roman" w:cs="Times New Roman"/>
          <w:b w:val="0"/>
          <w:noProof/>
          <w:color w:val="006B75"/>
        </w:rPr>
      </w:pPr>
      <w:r>
        <w:rPr>
          <w:rFonts w:ascii="Times New Roman" w:hAnsi="Times New Roman"/>
          <w:noProof/>
          <w:color w:val="006B75"/>
        </w:rPr>
        <w:t xml:space="preserve">1. Um orçamento para uma Europa mais unida, mais forte e mais democrática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 sete em sete anos, a União decide o que irão ser as suas finanças futuras. Este é o momento em que os líderes se comprometem financeiramente com o tipo de União que pretendem. É um momento sempre importante, mas mais ainda num período em que a Europa es</w:t>
      </w:r>
      <w:r>
        <w:rPr>
          <w:rFonts w:ascii="Times New Roman" w:hAnsi="Times New Roman"/>
          <w:noProof/>
          <w:sz w:val="24"/>
        </w:rPr>
        <w:t xml:space="preserve">tá a atravessar um debate fundamental sobre a forma como a União Europeia deve evoluir nos próximos anos. Temos agora a oportunidade de escolher a Europa que queremos e de decidir um orçamento que nos ajude a construi-la.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reunião informal dos líderes em</w:t>
      </w:r>
      <w:r>
        <w:rPr>
          <w:rFonts w:ascii="Times New Roman" w:hAnsi="Times New Roman"/>
          <w:noProof/>
          <w:sz w:val="24"/>
        </w:rPr>
        <w:t xml:space="preserve"> 23 de fevereiro é portanto oportuna e essencial. Esta primeira etapa servirá para definir o que a Europa quer fazer em conjunto e chegar a acordo sobre as suas prioridades. A segunda consiste em dar à União os meios para agir. São duas etapas indissociáve</w:t>
      </w:r>
      <w:r>
        <w:rPr>
          <w:rFonts w:ascii="Times New Roman" w:hAnsi="Times New Roman"/>
          <w:noProof/>
          <w:sz w:val="24"/>
        </w:rPr>
        <w:t>is. As escolhas que fizermos quanto às prioridades e às áreas em que queremos que a União atue irão moldar o tipo de orçamento de que necessitamos. O orçamento da UE é um meio para alcançar os nossos objetivos políticos.</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O Livro Branco da Comissão sobre o </w:t>
      </w:r>
      <w:r>
        <w:rPr>
          <w:rFonts w:ascii="Times New Roman" w:hAnsi="Times New Roman"/>
          <w:noProof/>
          <w:sz w:val="24"/>
        </w:rPr>
        <w:t>Futuro da Europa , de 1 de março de 2017, definiu uma série de cenários possíveis para o futuro da Europa. O documento de reflexão sobre o futuro das finanças da UE, de 28 de junho de 2017, debruçou-se sobre o que cada um destes cenários poderia significar</w:t>
      </w:r>
      <w:r>
        <w:rPr>
          <w:rFonts w:ascii="Times New Roman" w:hAnsi="Times New Roman"/>
          <w:noProof/>
          <w:sz w:val="24"/>
        </w:rPr>
        <w:t xml:space="preserve"> para o orçamento da União. Uma Europa limitada ao Mercado Único não precisará de grandes programas de financiamento. Uma Europa que opte por trabalhar mais em conjunto precisará dos recursos necessários para conseguir realizar esta ambição mais vasta. Ind</w:t>
      </w:r>
      <w:r>
        <w:rPr>
          <w:rFonts w:ascii="Times New Roman" w:hAnsi="Times New Roman"/>
          <w:noProof/>
          <w:sz w:val="24"/>
        </w:rPr>
        <w:t>ependentemente do caminho que escolhermos, uma coisa é certa: a futura União a 27 deve estar equipada com um orçamento fiável e duradouro, que lhe permita desempenhar eficientemente as suas prioridades.</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atual quadro financeiro foi acordado no contexto da</w:t>
      </w:r>
      <w:r>
        <w:rPr>
          <w:rFonts w:ascii="Times New Roman" w:hAnsi="Times New Roman"/>
          <w:noProof/>
          <w:sz w:val="24"/>
        </w:rPr>
        <w:t xml:space="preserve"> mais grave crise financeira e económica das últimas gerações. As finanças públicas de muitos Estados-Membros estavam sob pressão. Graças aos esforços concertados da União e dos seus Estados-Membros, o contexto atual é diferente. Agora que a retoma económi</w:t>
      </w:r>
      <w:r>
        <w:rPr>
          <w:rFonts w:ascii="Times New Roman" w:hAnsi="Times New Roman"/>
          <w:noProof/>
          <w:sz w:val="24"/>
        </w:rPr>
        <w:t>ca ganhou ritmo, a ênfase passou para os desafios atuais e futuros:</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Os líderes chegaram a acordo, em 16 de setembro de 2016 em Bratislava e em 25 de março de 2017, na Declaração de Roma, sobre uma agenda positiva para a Europa a 27. Os cidadãos esperam ago</w:t>
      </w:r>
      <w:r>
        <w:rPr>
          <w:rFonts w:ascii="Times New Roman" w:hAnsi="Times New Roman"/>
          <w:noProof/>
          <w:sz w:val="24"/>
        </w:rPr>
        <w:t xml:space="preserve">ra que a União cumpra este acordo. O próximo quadro financeiro plurianual é um momento decisivo para assegurar os meios necessários para cumprir as aspirações aí expressas.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lastRenderedPageBreak/>
        <w:t>A saída do Reino Unido da União implica a perda de um contribuinte significativo p</w:t>
      </w:r>
      <w:r>
        <w:rPr>
          <w:rFonts w:ascii="Times New Roman" w:hAnsi="Times New Roman"/>
          <w:noProof/>
          <w:sz w:val="24"/>
        </w:rPr>
        <w:t>ara o financiamento das políticas e dos programas da União. Como tal, teremos de fazer uma reflexão crítica sobre os temas nos quais será possível fazer economias e aqueles em que as prioridades podem ser alcançadas de forma mais eficiente. Esse processo é</w:t>
      </w:r>
      <w:r>
        <w:rPr>
          <w:rFonts w:ascii="Times New Roman" w:hAnsi="Times New Roman"/>
          <w:noProof/>
          <w:sz w:val="24"/>
        </w:rPr>
        <w:t xml:space="preserve"> parte essencial da preparação de qualquer proposta de orçamento e, onde possível, a Comissão está plenamente empenhada em modernizar e racionalizar. No entanto, será também necessário que haja a vontade de avaliar, com um espírito aberto, quais serão os r</w:t>
      </w:r>
      <w:r>
        <w:rPr>
          <w:rFonts w:ascii="Times New Roman" w:hAnsi="Times New Roman"/>
          <w:noProof/>
          <w:sz w:val="24"/>
        </w:rPr>
        <w:t>ecursos necessários para alcançar resultados concretos em relação a estas novas prioridades.</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Com base em consultas aprofundadas com os Estados-Membros, o Parlamento Europeu e o público em geral, a Comissão tenciona apresentar as suas propostas para o próxi</w:t>
      </w:r>
      <w:r>
        <w:rPr>
          <w:rFonts w:ascii="Times New Roman" w:hAnsi="Times New Roman"/>
          <w:noProof/>
          <w:sz w:val="24"/>
        </w:rPr>
        <w:t>mo quadro financeiro plurianual o mais tardar até ao início de maio de 2018. Estas propostas serão justas, equilibradas e claramente centradas numa realização eficiente. Caberá então aos Estados-Membros e ao Parlamento Europeu decidir, tanto sobre o futuro</w:t>
      </w:r>
      <w:r>
        <w:rPr>
          <w:rFonts w:ascii="Times New Roman" w:hAnsi="Times New Roman"/>
          <w:noProof/>
          <w:sz w:val="24"/>
        </w:rPr>
        <w:t xml:space="preserve"> orçamento como, a um nível mais fundamental, sobre o tipo de Europa que queremos.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Um acordo sobre um novo quadro financeiro plurianual para o período de 2021 a 2027 será uma ocasião importante para que os líderes da UE renovem os seus compromissos no que</w:t>
      </w:r>
      <w:r>
        <w:rPr>
          <w:rFonts w:ascii="Times New Roman" w:hAnsi="Times New Roman"/>
          <w:noProof/>
          <w:sz w:val="24"/>
        </w:rPr>
        <w:t xml:space="preserve"> respeita a uma agenda positiva e à própria Europa. Será um importante teste para a unidade da nossa União e para a nossa capacidade de agir num mundo em mudança. Os líderes têm agora uma janela de oportunidade para optarem por uma União mais unida, mais f</w:t>
      </w:r>
      <w:r>
        <w:rPr>
          <w:rFonts w:ascii="Times New Roman" w:hAnsi="Times New Roman"/>
          <w:noProof/>
          <w:sz w:val="24"/>
        </w:rPr>
        <w:t>orte e mais democrática - com o orçamento que tal implica.</w:t>
      </w:r>
    </w:p>
    <w:p w:rsidR="00622A92" w:rsidRDefault="00110FC7">
      <w:pPr>
        <w:pStyle w:val="Heading1"/>
        <w:spacing w:before="120" w:after="240"/>
        <w:ind w:left="709" w:hanging="709"/>
        <w:rPr>
          <w:rFonts w:ascii="Times New Roman" w:hAnsi="Times New Roman" w:cs="Times New Roman"/>
          <w:b w:val="0"/>
          <w:noProof/>
          <w:color w:val="006B75"/>
        </w:rPr>
      </w:pPr>
      <w:r>
        <w:rPr>
          <w:rFonts w:ascii="Times New Roman" w:hAnsi="Times New Roman"/>
          <w:noProof/>
          <w:color w:val="006B75"/>
        </w:rPr>
        <w:t xml:space="preserve">2. O orçamento da UE: um motor fundamental para o valor acrescentado europeu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orçamento da UE é único. Contrariamente aos orçamentos nacionais, utilizados em grande medida para a prestação de ser</w:t>
      </w:r>
      <w:r>
        <w:rPr>
          <w:rFonts w:ascii="Times New Roman" w:hAnsi="Times New Roman"/>
          <w:noProof/>
          <w:sz w:val="24"/>
        </w:rPr>
        <w:t>viços públicos e para o financiamento dos sistemas de segurança social, o orçamento da UE é primordialmente um orçamento de investimento. O quadro financeiro plurianual, com uma duração de sete anos, constitui um horizonte de planeamento a longo prazo e po</w:t>
      </w:r>
      <w:r>
        <w:rPr>
          <w:rFonts w:ascii="Times New Roman" w:hAnsi="Times New Roman"/>
          <w:noProof/>
          <w:sz w:val="24"/>
        </w:rPr>
        <w:t xml:space="preserve">ssibilita a estabilidade necessária para o planeamento dos investimentos. O orçamento da UE deve ser sempre equilibrado.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orçamento da UE ajuda a União a implementar políticas comuns e a abordar um vasto leque de desafios, tanto a nível nacional como mun</w:t>
      </w:r>
      <w:r>
        <w:rPr>
          <w:rFonts w:ascii="Times New Roman" w:hAnsi="Times New Roman"/>
          <w:noProof/>
          <w:sz w:val="24"/>
        </w:rPr>
        <w:t xml:space="preserve">dial. Representa uma pequena parte do total das despesas públicas da União, equivalente a cerca de 1 % do Rendimento Nacional Bruto (RNB) combinado dos atuais 28 Estados-Membros e apenas a cerca de 2 % da despesa pública na UE. Isto significa que todos os </w:t>
      </w:r>
      <w:r>
        <w:rPr>
          <w:rFonts w:ascii="Times New Roman" w:hAnsi="Times New Roman"/>
          <w:noProof/>
          <w:sz w:val="24"/>
        </w:rPr>
        <w:t>cidadãos aproveitam os grandes benefícios da União por um valor inferior ao preço de um café por dia.</w:t>
      </w:r>
      <w:r>
        <w:rPr>
          <w:noProof/>
        </w:rPr>
        <w:t xml:space="preserve"> </w:t>
      </w:r>
    </w:p>
    <w:p w:rsidR="00622A92" w:rsidRDefault="00110FC7">
      <w:pPr>
        <w:keepNext/>
        <w:spacing w:after="240" w:line="240" w:lineRule="auto"/>
        <w:jc w:val="center"/>
        <w:rPr>
          <w:rFonts w:ascii="Times New Roman" w:eastAsia="Calibri" w:hAnsi="Times New Roman" w:cs="Times New Roman"/>
          <w:b/>
          <w:noProof/>
          <w:sz w:val="24"/>
          <w:szCs w:val="24"/>
        </w:rPr>
      </w:pPr>
      <w:r>
        <w:rPr>
          <w:rFonts w:ascii="Times New Roman" w:hAnsi="Times New Roman"/>
          <w:b/>
          <w:noProof/>
          <w:sz w:val="24"/>
        </w:rPr>
        <w:lastRenderedPageBreak/>
        <w:t>Dimensão do orçamento da UE em percentagem do Rendimento Nacional Bruto</w:t>
      </w:r>
    </w:p>
    <w:p w:rsidR="00622A92" w:rsidRDefault="00110FC7">
      <w:pPr>
        <w:spacing w:after="240" w:line="240" w:lineRule="auto"/>
        <w:jc w:val="center"/>
        <w:rPr>
          <w:rFonts w:ascii="Times New Roman" w:eastAsia="Calibri" w:hAnsi="Times New Roman" w:cs="Times New Roman"/>
          <w:noProof/>
          <w:sz w:val="24"/>
          <w:szCs w:val="24"/>
          <w:u w:val="single"/>
        </w:rPr>
      </w:pPr>
      <w:r>
        <w:rPr>
          <w:noProof/>
          <w:lang w:val="en-GB" w:eastAsia="en-GB" w:bidi="ar-SA"/>
        </w:rPr>
        <mc:AlternateContent>
          <mc:Choice Requires="wps">
            <w:drawing>
              <wp:anchor distT="0" distB="0" distL="114300" distR="114300" simplePos="0" relativeHeight="251786752" behindDoc="0" locked="0" layoutInCell="1" allowOverlap="1">
                <wp:simplePos x="0" y="0"/>
                <wp:positionH relativeFrom="column">
                  <wp:posOffset>4622165</wp:posOffset>
                </wp:positionH>
                <wp:positionV relativeFrom="paragraph">
                  <wp:posOffset>3020695</wp:posOffset>
                </wp:positionV>
                <wp:extent cx="647700"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622A92" w:rsidRDefault="00110FC7">
                            <w:pPr>
                              <w:ind w:left="14"/>
                              <w:jc w:val="center"/>
                              <w:rPr>
                                <w:rFonts w:ascii="Times New Roman" w:hAnsi="Times New Roman"/>
                                <w:color w:val="000000"/>
                                <w:sz w:val="20"/>
                                <w:szCs w:val="20"/>
                              </w:rPr>
                            </w:pPr>
                            <w:r>
                              <w:rPr>
                                <w:rFonts w:ascii="Times New Roman" w:hAnsi="Times New Roman"/>
                                <w:color w:val="000000"/>
                                <w:spacing w:val="-1"/>
                                <w:kern w:val="24"/>
                                <w:sz w:val="20"/>
                              </w:rPr>
                              <w:t>Média 2014-2020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63.95pt;margin-top:237.85pt;width:51pt;height:2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Média 2014-2020</w:t>
                      </w:r>
                    </w:p>
                  </w:txbxContent>
                </v:textbox>
              </v:shape>
            </w:pict>
          </mc:Fallback>
        </mc:AlternateContent>
      </w:r>
      <w:r>
        <w:rPr>
          <w:noProof/>
          <w:lang w:val="en-GB" w:eastAsia="en-GB" w:bidi="ar-SA"/>
        </w:rPr>
        <mc:AlternateContent>
          <mc:Choice Requires="wps">
            <w:drawing>
              <wp:anchor distT="0" distB="0" distL="114300" distR="114300" simplePos="0" relativeHeight="251784704" behindDoc="0" locked="0" layoutInCell="1" allowOverlap="1">
                <wp:simplePos x="0" y="0"/>
                <wp:positionH relativeFrom="column">
                  <wp:posOffset>3193415</wp:posOffset>
                </wp:positionH>
                <wp:positionV relativeFrom="paragraph">
                  <wp:posOffset>3039745</wp:posOffset>
                </wp:positionV>
                <wp:extent cx="647700"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622A92" w:rsidRDefault="00110FC7">
                            <w:pPr>
                              <w:ind w:left="14"/>
                              <w:jc w:val="center"/>
                              <w:rPr>
                                <w:rFonts w:ascii="Times New Roman" w:hAnsi="Times New Roman"/>
                                <w:color w:val="000000"/>
                                <w:sz w:val="20"/>
                                <w:szCs w:val="20"/>
                              </w:rPr>
                            </w:pPr>
                            <w:r>
                              <w:rPr>
                                <w:rFonts w:ascii="Times New Roman" w:hAnsi="Times New Roman"/>
                                <w:color w:val="000000"/>
                                <w:spacing w:val="-1"/>
                                <w:kern w:val="24"/>
                                <w:sz w:val="20"/>
                              </w:rPr>
                              <w:t>Média 2007-2013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1.45pt;margin-top:239.35pt;width:51pt;height: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rPr>
                        <w:t>Média 2007-2013</w:t>
                      </w:r>
                    </w:p>
                  </w:txbxContent>
                </v:textbox>
              </v:shape>
            </w:pict>
          </mc:Fallback>
        </mc:AlternateContent>
      </w:r>
      <w:r>
        <w:rPr>
          <w:noProof/>
          <w:lang w:val="en-GB" w:eastAsia="en-GB" w:bidi="ar-SA"/>
        </w:rPr>
        <mc:AlternateContent>
          <mc:Choice Requires="wps">
            <w:drawing>
              <wp:anchor distT="0" distB="0" distL="114300" distR="114300" simplePos="0" relativeHeight="251782656" behindDoc="0" locked="0" layoutInCell="1" allowOverlap="1">
                <wp:simplePos x="0" y="0"/>
                <wp:positionH relativeFrom="column">
                  <wp:posOffset>1824990</wp:posOffset>
                </wp:positionH>
                <wp:positionV relativeFrom="paragraph">
                  <wp:posOffset>3036570</wp:posOffset>
                </wp:positionV>
                <wp:extent cx="647700"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622A92" w:rsidRDefault="00110FC7">
                            <w:pPr>
                              <w:pStyle w:val="NormalWeb"/>
                              <w:ind w:left="14"/>
                              <w:jc w:val="center"/>
                              <w:rPr>
                                <w:rFonts w:ascii="Times New Roman" w:hAnsi="Times New Roman"/>
                                <w:color w:val="000000"/>
                              </w:rPr>
                            </w:pPr>
                            <w:r>
                              <w:rPr>
                                <w:rFonts w:ascii="Times New Roman" w:hAnsi="Times New Roman"/>
                                <w:color w:val="000000"/>
                                <w:spacing w:val="-1"/>
                                <w:kern w:val="24"/>
                              </w:rPr>
                              <w:t>Média 2000-2006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3.7pt;margin-top:239.1pt;width:51pt;height: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Média 2000-2006</w:t>
                      </w:r>
                    </w:p>
                  </w:txbxContent>
                </v:textbox>
              </v:shape>
            </w:pict>
          </mc:Fallback>
        </mc:AlternateContent>
      </w:r>
      <w:r>
        <w:rPr>
          <w:noProof/>
          <w:lang w:val="en-GB" w:eastAsia="en-GB" w:bidi="ar-SA"/>
        </w:rPr>
        <mc:AlternateContent>
          <mc:Choice Requires="wps">
            <w:drawing>
              <wp:anchor distT="0" distB="0" distL="114300" distR="114300" simplePos="0" relativeHeight="251780608" behindDoc="0" locked="0" layoutInCell="1" allowOverlap="1">
                <wp:simplePos x="0" y="0"/>
                <wp:positionH relativeFrom="column">
                  <wp:posOffset>440055</wp:posOffset>
                </wp:positionH>
                <wp:positionV relativeFrom="paragraph">
                  <wp:posOffset>3039745</wp:posOffset>
                </wp:positionV>
                <wp:extent cx="647700" cy="304800"/>
                <wp:effectExtent l="0" t="0" r="0" b="0"/>
                <wp:wrapNone/>
                <wp:docPr id="3384"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622A92" w:rsidRDefault="00110FC7">
                            <w:pPr>
                              <w:pStyle w:val="NormalWeb"/>
                              <w:ind w:left="14"/>
                              <w:jc w:val="center"/>
                              <w:rPr>
                                <w:rFonts w:ascii="Times New Roman" w:hAnsi="Times New Roman"/>
                                <w:color w:val="000000"/>
                              </w:rPr>
                            </w:pPr>
                            <w:r>
                              <w:rPr>
                                <w:rFonts w:ascii="Times New Roman" w:hAnsi="Times New Roman"/>
                                <w:color w:val="000000"/>
                                <w:spacing w:val="-1"/>
                                <w:kern w:val="24"/>
                              </w:rPr>
                              <w:t>Média 1993-1999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65pt;margin-top:239.35pt;width:51pt;height: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rPr>
                        <w:t>Média 1993-1999</w:t>
                      </w:r>
                    </w:p>
                  </w:txbxContent>
                </v:textbox>
              </v:shape>
            </w:pict>
          </mc:Fallback>
        </mc:AlternateContent>
      </w:r>
      <w:r>
        <w:rPr>
          <w:noProof/>
          <w:lang w:val="en-GB" w:eastAsia="en-GB" w:bidi="ar-SA"/>
        </w:rPr>
        <mc:AlternateContent>
          <mc:Choice Requires="wps">
            <w:drawing>
              <wp:anchor distT="0" distB="0" distL="114300" distR="114300" simplePos="0" relativeHeight="251739648" behindDoc="0" locked="0" layoutInCell="1" allowOverlap="1">
                <wp:simplePos x="0" y="0"/>
                <wp:positionH relativeFrom="column">
                  <wp:posOffset>2681605</wp:posOffset>
                </wp:positionH>
                <wp:positionV relativeFrom="paragraph">
                  <wp:posOffset>19050</wp:posOffset>
                </wp:positionV>
                <wp:extent cx="3314700" cy="838200"/>
                <wp:effectExtent l="0" t="0" r="0" b="0"/>
                <wp:wrapNone/>
                <wp:docPr id="206" name="object 19"/>
                <wp:cNvGraphicFramePr/>
                <a:graphic xmlns:a="http://schemas.openxmlformats.org/drawingml/2006/main">
                  <a:graphicData uri="http://schemas.microsoft.com/office/word/2010/wordprocessingShape">
                    <wps:wsp>
                      <wps:cNvSpPr txBox="1"/>
                      <wps:spPr>
                        <a:xfrm>
                          <a:off x="0" y="0"/>
                          <a:ext cx="3314700" cy="838200"/>
                        </a:xfrm>
                        <a:prstGeom prst="rect">
                          <a:avLst/>
                        </a:prstGeom>
                        <a:solidFill>
                          <a:schemeClr val="bg1"/>
                        </a:solidFill>
                      </wps:spPr>
                      <wps:txbx>
                        <w:txbxContent>
                          <w:p w:rsidR="00622A92" w:rsidRDefault="00110FC7">
                            <w:pPr>
                              <w:pStyle w:val="NormalWeb"/>
                              <w:ind w:left="14"/>
                              <w:rPr>
                                <w:rFonts w:ascii="Times New Roman" w:hAnsi="Times New Roman"/>
                                <w:color w:val="000000"/>
                              </w:rPr>
                            </w:pPr>
                            <w:r>
                              <w:rPr>
                                <w:rFonts w:ascii="Times New Roman" w:hAnsi="Times New Roman"/>
                                <w:color w:val="000000"/>
                                <w:spacing w:val="-1"/>
                                <w:kern w:val="24"/>
                              </w:rPr>
                              <w:t>Limite máximo das autorizações em % do RNB da UE-28</w:t>
                            </w:r>
                            <w:r>
                              <w:rPr>
                                <w:rFonts w:ascii="Times New Roman" w:hAnsi="Times New Roman"/>
                                <w:color w:val="000000"/>
                                <w:spacing w:val="-1"/>
                                <w:kern w:val="24"/>
                              </w:rPr>
                              <w:br/>
                              <w:t>* autorizações previsionais para 2014-2020, excluídas as despesas do Reino Unido, em % do RNB da UE-27</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1.15pt;margin-top:1.5pt;width:261pt;height: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" fillcolor="white [3212]" stroked="f">
                <v:textbox inset="0,0,0,0">
                  <w:txbxContent>
                    <w:p>
                      <w:pPr>
                        <w:pStyle w:val="NormalWeb"/>
                        <w:ind w:left="14"/>
                        <w:rPr>
                          <w:rFonts w:ascii="Times New Roman" w:hAnsi="Times New Roman"/>
                          <w:color w:val="000000"/>
                        </w:rPr>
                      </w:pPr>
                      <w:r>
                        <w:rPr>
                          <w:rFonts w:ascii="Times New Roman" w:hAnsi="Times New Roman"/>
                          <w:color w:val="000000"/>
                          <w:spacing w:val="-1"/>
                          <w:kern w:val="24"/>
                        </w:rPr>
                        <w:t>Limite máximo das autorizações em % do RNB da UE-28</w:t>
                      </w:r>
                      <w:r>
                        <w:rPr>
                          <w:rFonts w:ascii="Times New Roman" w:hAnsi="Times New Roman"/>
                          <w:color w:val="000000"/>
                          <w:spacing w:val="-1"/>
                          <w:kern w:val="24"/>
                        </w:rPr>
                        <w:br/>
                        <w:t>* autorizações previsionais para 2014-2020, excluídas as despesas do Reino Unido, em % do RNB da UE-27</w:t>
                      </w:r>
                    </w:p>
                  </w:txbxContent>
                </v:textbox>
              </v:shape>
            </w:pict>
          </mc:Fallback>
        </mc:AlternateContent>
      </w:r>
      <w:r>
        <w:rPr>
          <w:noProof/>
          <w:lang w:val="en-GB" w:eastAsia="en-GB" w:bidi="ar-SA"/>
        </w:rPr>
        <mc:AlternateContent>
          <mc:Choice Requires="wps">
            <w:drawing>
              <wp:anchor distT="0" distB="0" distL="114300" distR="114300" simplePos="0" relativeHeight="251743744" behindDoc="0" locked="0" layoutInCell="1" allowOverlap="1">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rsidR="00622A92" w:rsidRDefault="00110FC7">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v:textbox>
              </v:shape>
            </w:pict>
          </mc:Fallback>
        </mc:AlternateContent>
      </w:r>
      <w:r>
        <w:rPr>
          <w:noProof/>
          <w:lang w:val="en-GB" w:eastAsia="en-GB" w:bidi="ar-SA"/>
        </w:rPr>
        <mc:AlternateContent>
          <mc:Choice Requires="wps">
            <w:drawing>
              <wp:anchor distT="0" distB="0" distL="114300" distR="114300" simplePos="0" relativeHeight="251741696" behindDoc="0" locked="0" layoutInCell="1" allowOverlap="1">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734CC40" id="object 19" o:spid="_x0000_s1026" type="#_x0000_t202" style="position:absolute;margin-left:428.95pt;margin-top:191.2pt;width:43.5pt;height:21.1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val="en-GB" w:eastAsia="en-GB" w:bidi="ar-SA"/>
        </w:rPr>
        <w:drawing>
          <wp:inline distT="0" distB="0" distL="0" distR="0">
            <wp:extent cx="5762625" cy="3448050"/>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composição do orçamento da UE tem vindo a evoluir. A percentagem das despesas com a</w:t>
      </w:r>
      <w:r>
        <w:rPr>
          <w:rFonts w:ascii="Times New Roman" w:hAnsi="Times New Roman"/>
          <w:noProof/>
          <w:sz w:val="24"/>
        </w:rPr>
        <w:t xml:space="preserve"> agricultura e com a coesão diminuiu, mas continua a representar cerca de 70 % do total. O investimento está cada vez mais centrado nos programas diretamente geridos a nível europeu em domínios como a investigação e a inovação, as redes transeuropeias de t</w:t>
      </w:r>
      <w:r>
        <w:rPr>
          <w:rFonts w:ascii="Times New Roman" w:hAnsi="Times New Roman"/>
          <w:noProof/>
          <w:sz w:val="24"/>
        </w:rPr>
        <w:t>ransporte e de energia, os programas de mobilidade para jovens e a ação externa da Europa.</w:t>
      </w:r>
    </w:p>
    <w:p w:rsidR="00622A92" w:rsidRDefault="00110FC7">
      <w:pPr>
        <w:spacing w:before="120" w:after="1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mc:AlternateContent>
          <mc:Choice Requires="wpg">
            <w:drawing>
              <wp:inline distT="0" distB="0" distL="0" distR="0">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8479" y="249923"/>
                            <a:ext cx="2090420" cy="131445"/>
                          </a:xfrm>
                          <a:prstGeom prst="rect">
                            <a:avLst/>
                          </a:prstGeom>
                        </wps:spPr>
                        <wps:txbx>
                          <w:txbxContent>
                            <w:p w:rsidR="00622A92" w:rsidRDefault="00110FC7">
                              <w:pPr>
                                <w:pStyle w:val="NormalWeb"/>
                                <w:ind w:left="14"/>
                                <w:rPr>
                                  <w:rFonts w:ascii="Times New Roman" w:hAnsi="Times New Roman"/>
                                </w:rPr>
                              </w:pPr>
                              <w:r>
                                <w:rPr>
                                  <w:rFonts w:ascii="Times New Roman" w:hAnsi="Times New Roman"/>
                                  <w:color w:val="034EA2"/>
                                  <w:kern w:val="24"/>
                                  <w:sz w:val="18"/>
                                </w:rPr>
                                <w:t>Política agrícola comum e política das pescas</w:t>
                              </w:r>
                            </w:p>
                          </w:txbxContent>
                        </wps:txbx>
                        <wps:bodyPr vert="horz" wrap="square" lIns="0" tIns="0" rIns="0" bIns="0" rtlCol="0">
                          <a:spAutoFit/>
                        </wps:bodyPr>
                      </wps:wsp>
                      <wps:wsp>
                        <wps:cNvPr id="288" name="object 3"/>
                        <wps:cNvSpPr txBox="1"/>
                        <wps:spPr>
                          <a:xfrm>
                            <a:off x="459930" y="657333"/>
                            <a:ext cx="2002155" cy="131445"/>
                          </a:xfrm>
                          <a:prstGeom prst="rect">
                            <a:avLst/>
                          </a:prstGeom>
                        </wps:spPr>
                        <wps:txbx>
                          <w:txbxContent>
                            <w:p w:rsidR="00622A92" w:rsidRDefault="00110FC7">
                              <w:pPr>
                                <w:pStyle w:val="NormalWeb"/>
                                <w:ind w:left="14"/>
                                <w:rPr>
                                  <w:rFonts w:ascii="Times New Roman" w:hAnsi="Times New Roman"/>
                                </w:rPr>
                              </w:pPr>
                              <w:r>
                                <w:rPr>
                                  <w:rFonts w:ascii="Times New Roman" w:hAnsi="Times New Roman"/>
                                  <w:color w:val="F47932"/>
                                  <w:kern w:val="24"/>
                                  <w:sz w:val="18"/>
                                </w:rPr>
                                <w:t>Coesão económica, social e territorial</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rsidR="00622A92" w:rsidRDefault="00110FC7">
                              <w:pPr>
                                <w:pStyle w:val="NormalWeb"/>
                                <w:ind w:left="14"/>
                                <w:rPr>
                                  <w:rFonts w:ascii="Times New Roman" w:hAnsi="Times New Roman"/>
                                </w:rPr>
                              </w:pPr>
                              <w:r>
                                <w:rPr>
                                  <w:rFonts w:ascii="Times New Roman" w:hAnsi="Times New Roman"/>
                                  <w:color w:val="49C0B6"/>
                                  <w:spacing w:val="-1"/>
                                  <w:kern w:val="24"/>
                                  <w:sz w:val="18"/>
                                </w:rPr>
                                <w:t>Outros programas</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rsidR="00622A92" w:rsidRDefault="00110FC7">
                              <w:pPr>
                                <w:pStyle w:val="NormalWeb"/>
                                <w:ind w:left="14"/>
                                <w:rPr>
                                  <w:rFonts w:ascii="Times New Roman" w:hAnsi="Times New Roman"/>
                                </w:rPr>
                              </w:pPr>
                              <w:r>
                                <w:rPr>
                                  <w:rFonts w:ascii="Times New Roman" w:hAnsi="Times New Roman"/>
                                  <w:color w:val="982280"/>
                                  <w:kern w:val="24"/>
                                  <w:sz w:val="18"/>
                                </w:rPr>
                                <w:t>Administração</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1988-1992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1993-1999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1995-1999*</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2000-2006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2007-2013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rsidR="00622A92" w:rsidRDefault="00110FC7">
                              <w:pPr>
                                <w:pStyle w:val="NormalWeb"/>
                                <w:rPr>
                                  <w:rFonts w:ascii="Times New Roman" w:hAnsi="Times New Roman"/>
                                </w:rPr>
                              </w:pPr>
                              <w:r>
                                <w:rPr>
                                  <w:rFonts w:ascii="Times New Roman" w:hAnsi="Times New Roman"/>
                                  <w:color w:val="939598"/>
                                  <w:kern w:val="24"/>
                                  <w:sz w:val="18"/>
                                </w:rPr>
                                <w:t>2014-2020</w:t>
                              </w:r>
                            </w:p>
                          </w:txbxContent>
                        </wps:txbx>
                        <wps:bodyPr vert="horz" wrap="square" lIns="0" tIns="0" rIns="0" bIns="0" rtlCol="0">
                          <a:spAutoFit/>
                        </wps:bodyPr>
                      </wps:wsp>
                      <wps:wsp>
                        <wps:cNvPr id="306" name="object 19"/>
                        <wps:cNvSpPr txBox="1"/>
                        <wps:spPr>
                          <a:xfrm>
                            <a:off x="76869" y="2309228"/>
                            <a:ext cx="1209040" cy="262890"/>
                          </a:xfrm>
                          <a:prstGeom prst="rect">
                            <a:avLst/>
                          </a:prstGeom>
                        </wps:spPr>
                        <wps:txbx>
                          <w:txbxContent>
                            <w:p w:rsidR="00622A92" w:rsidRDefault="00110FC7">
                              <w:pPr>
                                <w:pStyle w:val="NormalWeb"/>
                                <w:ind w:left="14"/>
                                <w:rPr>
                                  <w:rFonts w:ascii="Times New Roman" w:hAnsi="Times New Roman"/>
                                </w:rPr>
                              </w:pPr>
                              <w:r>
                                <w:rPr>
                                  <w:rFonts w:ascii="Times New Roman" w:hAnsi="Times New Roman"/>
                                  <w:color w:val="939598"/>
                                  <w:spacing w:val="-1"/>
                                  <w:kern w:val="24"/>
                                  <w:sz w:val="18"/>
                                </w:rPr>
                                <w:t>* Ajustado para o alargamento de 1995</w:t>
                              </w:r>
                            </w:p>
                          </w:txbxContent>
                        </wps:txbx>
                        <wps:bodyPr vert="horz" wrap="square" lIns="0" tIns="0" rIns="0" bIns="0" rtlCol="0">
                          <a:spAutoFit/>
                        </wps:bodyPr>
                      </wps:wsp>
                    </wpg:wgp>
                  </a:graphicData>
                </a:graphic>
              </wp:inline>
            </w:drawing>
          </mc:Choice>
          <mc:Fallback>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84;top:2499;width:209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pPr>
                          <w:pStyle w:val="NormalWeb"/>
                          <w:ind w:left="14"/>
                          <w:rPr>
                            <w:rFonts w:ascii="Times New Roman" w:hAnsi="Times New Roman"/>
                          </w:rPr>
                        </w:pPr>
                        <w:r>
                          <w:rPr>
                            <w:rFonts w:ascii="Times New Roman" w:hAnsi="Times New Roman"/>
                            <w:color w:val="034EA2"/>
                            <w:kern w:val="24"/>
                            <w:sz w:val="18"/>
                          </w:rPr>
                          <w:t>Política agrícola comum e política das pescas</w:t>
                        </w:r>
                      </w:p>
                    </w:txbxContent>
                  </v:textbox>
                </v:shape>
                <v:shape id="object 3" o:spid="_x0000_s1035" type="#_x0000_t202" style="position:absolute;left:4599;top:6573;width:2002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pPr>
                          <w:pStyle w:val="NormalWeb"/>
                          <w:ind w:left="14"/>
                          <w:rPr>
                            <w:rFonts w:ascii="Times New Roman" w:hAnsi="Times New Roman"/>
                          </w:rPr>
                        </w:pPr>
                        <w:r>
                          <w:rPr>
                            <w:rFonts w:ascii="Times New Roman" w:hAnsi="Times New Roman"/>
                            <w:color w:val="F47932"/>
                            <w:kern w:val="24"/>
                            <w:sz w:val="18"/>
                          </w:rPr>
                          <w:t>Coesão económica, social e territorial</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49C0B6"/>
                            <w:spacing w:val="-1"/>
                            <w:kern w:val="24"/>
                            <w:sz w:val="18"/>
                          </w:rPr>
                          <w:t>Outros programas</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pPr>
                          <w:pStyle w:val="NormalWeb"/>
                          <w:ind w:left="14"/>
                          <w:rPr>
                            <w:rFonts w:ascii="Times New Roman" w:hAnsi="Times New Roman"/>
                          </w:rPr>
                        </w:pPr>
                        <w:r>
                          <w:rPr>
                            <w:rFonts w:ascii="Times New Roman" w:hAnsi="Times New Roman"/>
                            <w:color w:val="982280"/>
                            <w:kern w:val="24"/>
                            <w:sz w:val="18"/>
                          </w:rPr>
                          <w:t>Administração</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1995-1999*</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2014-2020</w:t>
                        </w:r>
                      </w:p>
                    </w:txbxContent>
                  </v:textbox>
                </v:shape>
                <v:shape id="_x0000_s1044" type="#_x0000_t202" style="position:absolute;left:768;top:23092;width:1209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pPr>
                          <w:pStyle w:val="NormalWeb"/>
                          <w:ind w:left="14"/>
                          <w:rPr>
                            <w:rFonts w:ascii="Times New Roman" w:hAnsi="Times New Roman"/>
                          </w:rPr>
                        </w:pPr>
                        <w:r>
                          <w:rPr>
                            <w:rFonts w:ascii="Times New Roman" w:hAnsi="Times New Roman"/>
                            <w:color w:val="939598"/>
                            <w:spacing w:val="-1"/>
                            <w:kern w:val="24"/>
                            <w:sz w:val="18"/>
                          </w:rPr>
                          <w:t>* Ajustado para o alargamento de 1995</w:t>
                        </w:r>
                      </w:p>
                    </w:txbxContent>
                  </v:textbox>
                </v:shape>
                <w10:anchorlock/>
              </v:group>
            </w:pict>
          </mc:Fallback>
        </mc:AlternateContent>
      </w:r>
    </w:p>
    <w:p w:rsidR="00110FC7" w:rsidRDefault="00110FC7">
      <w:pPr>
        <w:rPr>
          <w:rFonts w:ascii="Times New Roman" w:hAnsi="Times New Roman"/>
          <w:noProof/>
          <w:sz w:val="24"/>
        </w:rPr>
      </w:pPr>
      <w:r>
        <w:rPr>
          <w:rFonts w:ascii="Times New Roman" w:hAnsi="Times New Roman"/>
          <w:noProof/>
          <w:sz w:val="24"/>
        </w:rPr>
        <w:br w:type="page"/>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Durante a crise económica e financeira, os orçamentos nacionais de muitos Estados-Membros estiveram sujeitos a uma pressão intensa. Nesse momento, o orçamento da UE, nomeadamente po</w:t>
      </w:r>
      <w:r>
        <w:rPr>
          <w:rFonts w:ascii="Times New Roman" w:hAnsi="Times New Roman"/>
          <w:noProof/>
          <w:sz w:val="24"/>
        </w:rPr>
        <w:t>r via dos Fundos Europeus Estruturais e de Investimento, foi uma importante fonte de investimento estável e promotor de crescimento. O Fundo Europeu para Investimentos Estratégicos (FEIE) tem, desde então, desempenhado um papel relevante enquanto mobilizad</w:t>
      </w:r>
      <w:r>
        <w:rPr>
          <w:rFonts w:ascii="Times New Roman" w:hAnsi="Times New Roman"/>
          <w:noProof/>
          <w:sz w:val="24"/>
        </w:rPr>
        <w:t>or do investimento privado em toda a Europa. Mais recentemente, o orçamento da UE apoiou a resposta europeia à crise dos refugiados e à ameaça da criminalidade organizada e do terrorismo, o que testou os limites de flexibilidade do orçamento.</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Em todos estes domínios, o agrupamento dos recursos a nível europeu pode proporcionar resultados que não poderiam ser alcançados apenas a nível nacional. É esse o valor acrescentado do orçamento da UE. Um euro gasto através do orçamento europeu deve ter um</w:t>
      </w:r>
      <w:r>
        <w:rPr>
          <w:rFonts w:ascii="Times New Roman" w:hAnsi="Times New Roman"/>
          <w:noProof/>
          <w:sz w:val="24"/>
        </w:rPr>
        <w:t xml:space="preserve"> valor superior para os nossos cidadãos do que um euro gasto a nível nacional. Em muitos domínios, o financiamento a nível nacional, regional ou local é a abordagem correta. Noutros casos, a natureza transfronteiriça dos desafios significa que os programas</w:t>
      </w:r>
      <w:r>
        <w:rPr>
          <w:rFonts w:ascii="Times New Roman" w:hAnsi="Times New Roman"/>
          <w:noProof/>
          <w:sz w:val="24"/>
        </w:rPr>
        <w:t xml:space="preserve"> pan-europeus são mais eficazes e mais eficientes. Colocando a tónica nas áreas certas, mesmo um orçamento da UE relativamente modesto poderá ter um forte impacto no terreno. E poderá até permitir ao mesmo tempo a realização de poupanças nos orçamentos nac</w:t>
      </w:r>
      <w:r>
        <w:rPr>
          <w:rFonts w:ascii="Times New Roman" w:hAnsi="Times New Roman"/>
          <w:noProof/>
          <w:sz w:val="24"/>
        </w:rPr>
        <w:t xml:space="preserve">ionais.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Os benefícios de programas orçamentais da UE bem concebidos são sentidos por todos os europeus. A prossecução da convergência económica das regiões menos desenvolvidas através da política de coesão reforça o mercado único e cria oportunidades para</w:t>
      </w:r>
      <w:r>
        <w:rPr>
          <w:rFonts w:ascii="Times New Roman" w:hAnsi="Times New Roman"/>
          <w:noProof/>
          <w:sz w:val="24"/>
        </w:rPr>
        <w:t xml:space="preserve"> as empresas, trabalhadores e consumidores em toda a União. Os avanços científicos alcançados ao abrigo de programas de investigação financiados pela UE melhoram a qualidade de vida de todos os cidadãos. Os programas de mobilidade, como o Erasmus+, dotam o</w:t>
      </w:r>
      <w:r>
        <w:rPr>
          <w:rFonts w:ascii="Times New Roman" w:hAnsi="Times New Roman"/>
          <w:noProof/>
          <w:sz w:val="24"/>
        </w:rPr>
        <w:t>s jovens de competências para o mercado de trabalho, melhoram a compreensão intercultural e reforçam o tecido social da nossa União.</w:t>
      </w:r>
    </w:p>
    <w:p w:rsidR="00622A92" w:rsidRDefault="00110FC7">
      <w:pPr>
        <w:keepLines/>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debate comum sobre os «saldos líquidos» do orçamento da UE é, portanto, enganador. O cálculo do balanço líquido contribui</w:t>
      </w:r>
      <w:r>
        <w:rPr>
          <w:rFonts w:ascii="Times New Roman" w:hAnsi="Times New Roman"/>
          <w:noProof/>
          <w:sz w:val="24"/>
        </w:rPr>
        <w:t>u para a perceção de que as negociações do orçamento da UE são um simples jogo de soma nula entre os contribuintes líquidos e os beneficiários líquidos. Esta linha de pensamento esquece-se da essência do orçamento da UE. As despesas afetadas a um Estado-Me</w:t>
      </w:r>
      <w:r>
        <w:rPr>
          <w:rFonts w:ascii="Times New Roman" w:hAnsi="Times New Roman"/>
          <w:noProof/>
          <w:sz w:val="24"/>
        </w:rPr>
        <w:t>mbro beneficiam, na realidade, muitos outros, através da criação de oportunidades de mercado ou da melhoria das infraestruturas. Por exemplo, estima-se que um quarto do crescimento adicional nos países não abrangidos pelo Fundo de Coesão se deve a benefíci</w:t>
      </w:r>
      <w:r>
        <w:rPr>
          <w:rFonts w:ascii="Times New Roman" w:hAnsi="Times New Roman"/>
          <w:noProof/>
          <w:sz w:val="24"/>
        </w:rPr>
        <w:t>os indiretos do aumento das vendas e do comércio com os países beneficiários do Fundo de Coesão, graças aos programas de coesão de 2007-2013. Estes efeitos são amplificados pelo efeito de alavanca dos empréstimos ou de outros instrumentos financeiros garan</w:t>
      </w:r>
      <w:r>
        <w:rPr>
          <w:rFonts w:ascii="Times New Roman" w:hAnsi="Times New Roman"/>
          <w:noProof/>
          <w:sz w:val="24"/>
        </w:rPr>
        <w:t>tidos pelo orçamento da UE.</w:t>
      </w:r>
    </w:p>
    <w:p w:rsidR="00622A92" w:rsidRDefault="00110FC7">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 xml:space="preserve">A Europa em termos contabilísticos </w:t>
      </w:r>
    </w:p>
    <w:p w:rsidR="00622A92" w:rsidRDefault="00110FC7">
      <w:pPr>
        <w:keepNext/>
        <w:jc w:val="center"/>
        <w:rPr>
          <w:rFonts w:ascii="Times New Roman" w:eastAsia="Calibri" w:hAnsi="Times New Roman" w:cs="Times New Roman"/>
          <w:noProof/>
          <w:sz w:val="20"/>
          <w:szCs w:val="20"/>
        </w:rPr>
      </w:pPr>
      <w:r>
        <w:rPr>
          <w:rFonts w:ascii="Times New Roman" w:hAnsi="Times New Roman"/>
          <w:noProof/>
          <w:sz w:val="20"/>
        </w:rPr>
        <w:t>Orçamento da UE: saldo médio anual 2014-2016* (em milhares de milhões de EUR)</w:t>
      </w:r>
    </w:p>
    <w:p w:rsidR="00622A92" w:rsidRDefault="00110FC7">
      <w:pPr>
        <w:keepNext/>
        <w:ind w:left="-426"/>
        <w:jc w:val="center"/>
        <w:rPr>
          <w:rFonts w:ascii="Times New Roman" w:eastAsia="Calibri" w:hAnsi="Times New Roman" w:cs="Times New Roman"/>
          <w:noProof/>
          <w:sz w:val="20"/>
          <w:szCs w:val="20"/>
        </w:rPr>
      </w:pPr>
      <w:r>
        <w:rPr>
          <w:noProof/>
          <w:lang w:val="en-GB" w:eastAsia="en-GB" w:bidi="ar-SA"/>
        </w:rPr>
        <w:drawing>
          <wp:inline distT="0" distB="0" distL="0" distR="0">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2A92" w:rsidRDefault="00110FC7">
      <w:pPr>
        <w:spacing w:after="240" w:line="240" w:lineRule="auto"/>
        <w:jc w:val="both"/>
        <w:rPr>
          <w:rFonts w:ascii="Times New Roman" w:eastAsia="Calibri" w:hAnsi="Times New Roman" w:cs="Times New Roman"/>
          <w:noProof/>
          <w:sz w:val="16"/>
          <w:szCs w:val="16"/>
        </w:rPr>
      </w:pPr>
      <w:r>
        <w:rPr>
          <w:rFonts w:ascii="Times New Roman" w:hAnsi="Times New Roman"/>
          <w:noProof/>
          <w:sz w:val="16"/>
        </w:rPr>
        <w:t>* saldos orçamentais operacionais médios 2014-2016 em milhares de milhões de EUR. Os valores podem variar de ano</w:t>
      </w:r>
      <w:r>
        <w:rPr>
          <w:rFonts w:ascii="Times New Roman" w:hAnsi="Times New Roman"/>
          <w:noProof/>
          <w:sz w:val="16"/>
        </w:rPr>
        <w:t xml:space="preserve"> para ano.</w:t>
      </w:r>
    </w:p>
    <w:p w:rsidR="00622A92" w:rsidRDefault="00622A92">
      <w:pPr>
        <w:spacing w:after="240" w:line="240" w:lineRule="auto"/>
        <w:jc w:val="center"/>
        <w:rPr>
          <w:rFonts w:ascii="Times New Roman" w:eastAsia="Calibri" w:hAnsi="Times New Roman" w:cs="Times New Roman"/>
          <w:noProof/>
          <w:sz w:val="24"/>
          <w:szCs w:val="24"/>
          <w:u w:val="single"/>
        </w:rPr>
      </w:pP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As despesas da UE também criam bens públicos europeus, de que todos beneficiam. Os benefícios decorrentes da estabilidade, da paz, dos valores comuns, da igualdade de condições de concorrência no Mercado único europeu ou de uma capacidade negoc</w:t>
      </w:r>
      <w:r>
        <w:rPr>
          <w:rFonts w:ascii="Times New Roman" w:hAnsi="Times New Roman"/>
          <w:noProof/>
          <w:sz w:val="24"/>
        </w:rPr>
        <w:t>ial que rivaliza com as maiores potências mundiais não entram nos cálculos relativos ao saldo líquido. O Mercado Único, por exemplo, tem um impacto positivo direto e significativo no crescimento e no emprego. Permite às empresas operar de forma mais eficie</w:t>
      </w:r>
      <w:r>
        <w:rPr>
          <w:rFonts w:ascii="Times New Roman" w:hAnsi="Times New Roman"/>
          <w:noProof/>
          <w:sz w:val="24"/>
        </w:rPr>
        <w:t xml:space="preserve">nte, cria postos de trabalho e oferece preços mais baixos para os consumidores. Dá aos cidadãos a liberdade de viver, estudar e trabalhar onde quiserem. </w:t>
      </w:r>
    </w:p>
    <w:p w:rsidR="00622A92" w:rsidRDefault="00110FC7">
      <w:pPr>
        <w:keepNext/>
        <w:spacing w:after="120" w:line="240" w:lineRule="auto"/>
        <w:jc w:val="center"/>
        <w:rPr>
          <w:rFonts w:ascii="Times New Roman" w:eastAsia="Calibri" w:hAnsi="Times New Roman" w:cs="Times New Roman"/>
          <w:b/>
          <w:noProof/>
          <w:sz w:val="24"/>
          <w:szCs w:val="24"/>
        </w:rPr>
      </w:pPr>
      <w:r>
        <w:rPr>
          <w:rFonts w:ascii="Times New Roman" w:hAnsi="Times New Roman"/>
          <w:b/>
          <w:noProof/>
          <w:sz w:val="24"/>
        </w:rPr>
        <w:t xml:space="preserve">Benefícios da integração do Mercado Único </w:t>
      </w:r>
    </w:p>
    <w:p w:rsidR="00622A92" w:rsidRDefault="00110FC7">
      <w:pPr>
        <w:keepNext/>
        <w:jc w:val="center"/>
        <w:rPr>
          <w:rFonts w:ascii="Times New Roman" w:eastAsia="Calibri" w:hAnsi="Times New Roman" w:cs="Times New Roman"/>
          <w:noProof/>
          <w:sz w:val="20"/>
          <w:szCs w:val="20"/>
        </w:rPr>
      </w:pPr>
      <w:r>
        <w:rPr>
          <w:rFonts w:ascii="Times New Roman" w:hAnsi="Times New Roman"/>
          <w:noProof/>
          <w:sz w:val="20"/>
        </w:rPr>
        <w:t>Ganhos de rendimento (em milhares de milhões de EUR, ano de</w:t>
      </w:r>
      <w:r>
        <w:rPr>
          <w:rFonts w:ascii="Times New Roman" w:hAnsi="Times New Roman"/>
          <w:noProof/>
          <w:sz w:val="20"/>
        </w:rPr>
        <w:t xml:space="preserve"> referência 2014)</w:t>
      </w:r>
      <w:r>
        <w:rPr>
          <w:rStyle w:val="FootnoteReference"/>
          <w:rFonts w:ascii="Times New Roman" w:hAnsi="Times New Roman"/>
          <w:noProof/>
        </w:rPr>
        <w:footnoteReference w:id="1"/>
      </w:r>
    </w:p>
    <w:p w:rsidR="00622A92" w:rsidRDefault="00110FC7">
      <w:pPr>
        <w:tabs>
          <w:tab w:val="left" w:pos="7088"/>
        </w:tabs>
        <w:ind w:right="2268"/>
        <w:jc w:val="center"/>
        <w:rPr>
          <w:rFonts w:ascii="Times New Roman" w:eastAsia="Calibri" w:hAnsi="Times New Roman" w:cs="Times New Roman"/>
          <w:b/>
          <w:noProof/>
          <w:sz w:val="24"/>
          <w:szCs w:val="24"/>
        </w:rPr>
      </w:pPr>
      <w:r>
        <w:rPr>
          <w:noProof/>
          <w:lang w:val="en-GB" w:eastAsia="en-GB" w:bidi="ar-SA"/>
        </w:rPr>
        <mc:AlternateContent>
          <mc:Choice Requires="wps">
            <w:drawing>
              <wp:anchor distT="0" distB="0" distL="114300" distR="114300" simplePos="0" relativeHeight="251778560" behindDoc="0" locked="0" layoutInCell="1" allowOverlap="1">
                <wp:simplePos x="0" y="0"/>
                <wp:positionH relativeFrom="column">
                  <wp:posOffset>40005</wp:posOffset>
                </wp:positionH>
                <wp:positionV relativeFrom="paragraph">
                  <wp:posOffset>2956560</wp:posOffset>
                </wp:positionV>
                <wp:extent cx="5791200" cy="984250"/>
                <wp:effectExtent l="0" t="0" r="0" b="6350"/>
                <wp:wrapNone/>
                <wp:docPr id="3391" name="object 19"/>
                <wp:cNvGraphicFramePr/>
                <a:graphic xmlns:a="http://schemas.openxmlformats.org/drawingml/2006/main">
                  <a:graphicData uri="http://schemas.microsoft.com/office/word/2010/wordprocessingShape">
                    <wps:wsp>
                      <wps:cNvSpPr txBox="1"/>
                      <wps:spPr>
                        <a:xfrm>
                          <a:off x="0" y="0"/>
                          <a:ext cx="5791200" cy="984250"/>
                        </a:xfrm>
                        <a:prstGeom prst="rect">
                          <a:avLst/>
                        </a:prstGeom>
                        <a:solidFill>
                          <a:schemeClr val="bg1"/>
                        </a:solidFill>
                      </wps:spPr>
                      <wps:txbx>
                        <w:txbxContent>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Alemanha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França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Reino Unido</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Países Baixos</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Itália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Bélgica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Espanha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Polónia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Áustria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Suécia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Irlanda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República Checa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Dinamarca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Hungria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Luxemburgo</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Finlândia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Roménia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Eslováquia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Portugal</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Grécia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Eslovénia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Bulgária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Croácia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Lituânia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Estónia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Letónia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rsidR="00622A92" w:rsidRDefault="00110FC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Chipre</w:t>
                            </w:r>
                          </w:p>
                          <w:p w:rsidR="00622A92" w:rsidRDefault="00622A92">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232.8pt;width:456pt;height: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" fillcolor="white [3212]" stroked="f">
                <v:textbox style="layout-flow:vertical;mso-layout-flow-alt:bottom-to-top" inset="0,0,0,0">
                  <w:txbxContent>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Alemanha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França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Reino Unido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Países Baixos</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Itália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Bélgica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Espanha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Polónia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Áustria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Suécia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Irlanda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República Checa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Dinamarca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Hungria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Luxemburgo</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Finlândia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Roménia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Eslováquia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Portugal</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Grécia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Eslovénia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Bulgária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Croácia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Lituânia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Estónia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Letónia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Chipre</w:t>
                      </w:r>
                    </w:p>
                    <w:p>
                      <w:pPr>
                        <w:pStyle w:val="NormalWeb"/>
                        <w:spacing w:after="60"/>
                        <w:ind w:left="14"/>
                        <w:jc w:val="right"/>
                        <w:rPr>
                          <w:rFonts w:ascii="Times New Roman" w:hAnsi="Times New Roman"/>
                          <w:color w:val="000000"/>
                        </w:rPr>
                      </w:pPr>
                    </w:p>
                  </w:txbxContent>
                </v:textbox>
              </v:shape>
            </w:pict>
          </mc:Fallback>
        </mc:AlternateContent>
      </w:r>
      <w:r>
        <w:rPr>
          <w:noProof/>
          <w:lang w:val="en-GB" w:eastAsia="en-GB" w:bidi="ar-SA"/>
        </w:rPr>
        <w:drawing>
          <wp:inline distT="0" distB="0" distL="0" distR="0">
            <wp:extent cx="5762625" cy="38195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As propostas da Comissão relativas ao futuro quadro financeiro serão moldadas pelo princípio do </w:t>
      </w:r>
      <w:r>
        <w:rPr>
          <w:rFonts w:ascii="Times New Roman" w:hAnsi="Times New Roman"/>
          <w:b/>
          <w:noProof/>
          <w:sz w:val="24"/>
        </w:rPr>
        <w:t>valor acrescentado europeu</w:t>
      </w:r>
      <w:r>
        <w:rPr>
          <w:rFonts w:ascii="Times New Roman" w:hAnsi="Times New Roman"/>
          <w:noProof/>
          <w:sz w:val="24"/>
        </w:rPr>
        <w:t>. Centrando-se em políticas e prioridades comuns e nos domínios em que o orçamento da UE pode oferecer bens pú</w:t>
      </w:r>
      <w:r>
        <w:rPr>
          <w:rFonts w:ascii="Times New Roman" w:hAnsi="Times New Roman"/>
          <w:noProof/>
          <w:sz w:val="24"/>
        </w:rPr>
        <w:t>blicos que a despesa nacional não permitiria obter, podemos ir além do debate dos «saldos líquidos». Com um orçamento da UE moderno e bem concebido, todos os Estados-Membros serão beneficiários líquidos.</w:t>
      </w:r>
    </w:p>
    <w:p w:rsidR="00622A92" w:rsidRDefault="00110FC7">
      <w:pPr>
        <w:pStyle w:val="Heading1"/>
        <w:spacing w:before="120" w:after="240"/>
        <w:ind w:left="709" w:hanging="709"/>
        <w:rPr>
          <w:rFonts w:ascii="Times New Roman" w:hAnsi="Times New Roman" w:cs="Times New Roman"/>
          <w:b w:val="0"/>
          <w:noProof/>
        </w:rPr>
      </w:pPr>
      <w:r>
        <w:rPr>
          <w:rFonts w:ascii="Times New Roman" w:hAnsi="Times New Roman"/>
          <w:noProof/>
          <w:color w:val="006B75"/>
        </w:rPr>
        <w:t>3. Rumo às nossas prioridades futuras</w:t>
      </w:r>
      <w:r>
        <w:rPr>
          <w:rFonts w:ascii="Times New Roman" w:hAnsi="Times New Roman"/>
          <w:noProof/>
        </w:rPr>
        <w:t xml:space="preserve">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O próximo </w:t>
      </w:r>
      <w:r>
        <w:rPr>
          <w:rFonts w:ascii="Times New Roman" w:hAnsi="Times New Roman"/>
          <w:noProof/>
          <w:sz w:val="24"/>
        </w:rPr>
        <w:t>quadro financeiro plurianual deverá alinhar melhor o financiamento disponível com as nossas prioridades políticas. Deverá, por isso, basear-se naquilo que funciona bem, mas sem esquecer os desafios futuros. Em consonância com a Declaração de Roma, o orçame</w:t>
      </w:r>
      <w:r>
        <w:rPr>
          <w:rFonts w:ascii="Times New Roman" w:hAnsi="Times New Roman"/>
          <w:noProof/>
          <w:sz w:val="24"/>
        </w:rPr>
        <w:t>nto deverá assegurar uma Europa mais segura e protegida. Uma Europa próspera e sustentável. Uma Europa social. E uma Europa mais forte na cena mundial.</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Os europeus apontam invariavelmente </w:t>
      </w:r>
      <w:r>
        <w:rPr>
          <w:rFonts w:ascii="Times New Roman" w:hAnsi="Times New Roman"/>
          <w:b/>
          <w:noProof/>
          <w:sz w:val="24"/>
        </w:rPr>
        <w:t>a segurança e a proteção como uma das principais prioridades</w:t>
      </w:r>
      <w:r>
        <w:rPr>
          <w:rFonts w:ascii="Times New Roman" w:hAnsi="Times New Roman"/>
          <w:noProof/>
          <w:sz w:val="24"/>
        </w:rPr>
        <w:t xml:space="preserve"> para a </w:t>
      </w:r>
      <w:r>
        <w:rPr>
          <w:rFonts w:ascii="Times New Roman" w:hAnsi="Times New Roman"/>
          <w:noProof/>
          <w:sz w:val="24"/>
        </w:rPr>
        <w:t>União a que querem pertencer</w:t>
      </w:r>
      <w:r>
        <w:rPr>
          <w:rFonts w:ascii="Times New Roman" w:hAnsi="Times New Roman"/>
          <w:noProof/>
          <w:sz w:val="24"/>
          <w:vertAlign w:val="superscript"/>
        </w:rPr>
        <w:footnoteReference w:id="2"/>
      </w:r>
      <w:r>
        <w:rPr>
          <w:rFonts w:ascii="Times New Roman" w:hAnsi="Times New Roman"/>
          <w:noProof/>
          <w:sz w:val="24"/>
        </w:rPr>
        <w:t xml:space="preserve">. Isto acontece num momento em que a instabilidade na vizinhança da Europa coloca sérios desafios, tanto dentro como fora das nossas fronteiras. O orçamento da UE é fundamental para garantir uma gestão eficaz das migrações, da </w:t>
      </w:r>
      <w:r>
        <w:rPr>
          <w:rFonts w:ascii="Times New Roman" w:hAnsi="Times New Roman"/>
          <w:noProof/>
          <w:sz w:val="24"/>
        </w:rPr>
        <w:t xml:space="preserve">luta contra o terrorismo e da resposta às ciberameaças. Tem um papel crucial a desempenhar no reforço do controlo das fronteiras externas. O orçamento pós-2020 irá, por exemplo, determinar se se conseguirá realizar a visão de Guarda Europeia de Fronteiras </w:t>
      </w:r>
      <w:r>
        <w:rPr>
          <w:rFonts w:ascii="Times New Roman" w:hAnsi="Times New Roman"/>
          <w:noProof/>
          <w:sz w:val="24"/>
        </w:rPr>
        <w:t>e Costeira reforçada e plenamente operacional.</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581952" behindDoc="0" locked="0" layoutInCell="1" allowOverlap="1">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2.2pt;margin-top:2pt;width:45.25pt;height:45.25pt;z-index:2515819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r>
              <w:rPr>
                <w:rStyle w:val="FootnoteReference"/>
                <w:rFonts w:ascii="Times New Roman" w:hAnsi="Times New Roman"/>
                <w:b/>
                <w:noProof/>
                <w:color w:val="FFFFFF"/>
                <w:spacing w:val="5"/>
                <w:sz w:val="24"/>
              </w:rPr>
              <w:footnoteReference w:id="3"/>
            </w:r>
          </w:p>
        </w:tc>
      </w:tr>
      <w:tr w:rsidR="00622A92">
        <w:trPr>
          <w:trHeight w:val="794"/>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Como pode o orçamento da UE apoiar uma melhor gestão </w:t>
            </w:r>
            <w:r>
              <w:rPr>
                <w:rFonts w:ascii="Times New Roman" w:hAnsi="Times New Roman"/>
                <w:b/>
                <w:i/>
                <w:noProof/>
                <w:color w:val="2AA19F"/>
                <w:spacing w:val="-2"/>
                <w:sz w:val="24"/>
              </w:rPr>
              <w:br/>
              <w:t>das fronteiras externas da UE?</w:t>
            </w:r>
          </w:p>
        </w:tc>
      </w:tr>
      <w:tr w:rsidR="00622A92">
        <w:trPr>
          <w:cantSplit/>
        </w:trPr>
        <w:tc>
          <w:tcPr>
            <w:tcW w:w="9288" w:type="dxa"/>
            <w:shd w:val="clear" w:color="auto" w:fill="CBE7E5"/>
          </w:tcPr>
          <w:p w:rsidR="00622A92" w:rsidRDefault="00110FC7">
            <w:pPr>
              <w:pStyle w:val="BodyText"/>
              <w:ind w:left="306" w:right="431"/>
              <w:jc w:val="both"/>
              <w:rPr>
                <w:rFonts w:ascii="Times New Roman" w:hAnsi="Times New Roman"/>
                <w:noProof/>
                <w:color w:val="231F20"/>
                <w:sz w:val="20"/>
                <w:szCs w:val="20"/>
              </w:rPr>
            </w:pPr>
            <w:r>
              <w:rPr>
                <w:rFonts w:ascii="Times New Roman" w:hAnsi="Times New Roman"/>
                <w:noProof/>
                <w:color w:val="231F20"/>
                <w:sz w:val="20"/>
              </w:rPr>
              <w:t xml:space="preserve">Os líderes europeus apelaram ao reforço das fronteiras externas como condição prévia para a supressão das fronteiras internas. Em 2016, foi criada a </w:t>
            </w:r>
            <w:r>
              <w:rPr>
                <w:rFonts w:ascii="Times New Roman" w:hAnsi="Times New Roman"/>
                <w:b/>
                <w:noProof/>
                <w:color w:val="231F20"/>
                <w:sz w:val="20"/>
              </w:rPr>
              <w:t>Guarda Europeia de Fronteiras e Costeira</w:t>
            </w:r>
            <w:r>
              <w:rPr>
                <w:rFonts w:ascii="Times New Roman" w:hAnsi="Times New Roman"/>
                <w:noProof/>
                <w:color w:val="231F20"/>
                <w:sz w:val="20"/>
              </w:rPr>
              <w:t>, com base numa proposta da Comissão Europeia. Em 2020, a Guarda Europeia de Fronteiras e Costeira contará com 1 015 membros do pessoal, incluindo os agentes operacionais no terreno, para além de pelo menos 1 500 membros do pessoal dos serviços nacionais d</w:t>
            </w:r>
            <w:r>
              <w:rPr>
                <w:rFonts w:ascii="Times New Roman" w:hAnsi="Times New Roman"/>
                <w:noProof/>
                <w:color w:val="231F20"/>
                <w:sz w:val="20"/>
              </w:rPr>
              <w:t>e assistência, numa reserva de reação rápida. Até essa data, o atual orçamento anual de 292 milhões de EUR deverá aumentar para 335 milhões de EUR. A UE concede também cofinanciamento para a gestão nacional das fronteiras externas da Europa por 96 000 guar</w:t>
            </w:r>
            <w:r>
              <w:rPr>
                <w:rFonts w:ascii="Times New Roman" w:hAnsi="Times New Roman"/>
                <w:noProof/>
                <w:color w:val="231F20"/>
                <w:sz w:val="20"/>
              </w:rPr>
              <w:t xml:space="preserve">das de fronteira nacionais, bem como ajuda de emergência, através do Fundo para a Segurança Interna (Fronteiras). Combinadas, estas atividades ascendem a cerca de 4 mil milhões de EUR durante um período de sete anos, representando 0,4 % do orçamento total </w:t>
            </w:r>
            <w:r>
              <w:rPr>
                <w:rFonts w:ascii="Times New Roman" w:hAnsi="Times New Roman"/>
                <w:noProof/>
                <w:color w:val="231F20"/>
                <w:sz w:val="20"/>
              </w:rPr>
              <w:t xml:space="preserve">da UE. </w:t>
            </w:r>
          </w:p>
          <w:p w:rsidR="00622A92" w:rsidRDefault="00110FC7">
            <w:pPr>
              <w:pStyle w:val="BodyText"/>
              <w:spacing w:before="160"/>
              <w:ind w:left="305" w:right="433"/>
              <w:jc w:val="both"/>
              <w:rPr>
                <w:rFonts w:ascii="Times New Roman" w:hAnsi="Times New Roman"/>
                <w:noProof/>
                <w:sz w:val="20"/>
                <w:szCs w:val="20"/>
              </w:rPr>
            </w:pPr>
            <w:r>
              <w:rPr>
                <w:rFonts w:ascii="Times New Roman" w:hAnsi="Times New Roman"/>
                <w:noProof/>
                <w:color w:val="231F20"/>
                <w:sz w:val="20"/>
              </w:rPr>
              <w:t>O desenvolvimento futuro da Guarda Europeia de Fronteiras e Costeira dependerá das decisões tomadas sobre o futuro quadro financeiro. Em função do nível de ambição, são possíveis vários cenários:</w:t>
            </w:r>
          </w:p>
          <w:p w:rsidR="00622A92" w:rsidRDefault="00110FC7">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792896" behindDoc="0" locked="0" layoutInCell="1" allowOverlap="1">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5pt;width:7.1pt;height:7.1pt;z-index:251792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sz w:val="20"/>
              </w:rPr>
              <w:t>Explorar a Guarda Europeia de Fronteiras e Costeira</w:t>
            </w:r>
            <w:r>
              <w:rPr>
                <w:rFonts w:ascii="Times New Roman" w:hAnsi="Times New Roman"/>
                <w:b/>
                <w:noProof/>
                <w:sz w:val="20"/>
              </w:rPr>
              <w:t xml:space="preserve"> ao máximo</w:t>
            </w:r>
            <w:r>
              <w:rPr>
                <w:rFonts w:ascii="Times New Roman" w:hAnsi="Times New Roman"/>
                <w:noProof/>
                <w:sz w:val="20"/>
              </w:rPr>
              <w:t xml:space="preserve"> apoiaria o desenvolvimento contínuo do sistema de troca de informações (Eurosur), bem como as capacidades de investimento dos Estados-Membros em termos de gestão das fronteiras. Garantiria ainda que a Guarda Europeia de Fronteiras e Costeira pos</w:t>
            </w:r>
            <w:r>
              <w:rPr>
                <w:rFonts w:ascii="Times New Roman" w:hAnsi="Times New Roman"/>
                <w:noProof/>
                <w:sz w:val="20"/>
              </w:rPr>
              <w:t xml:space="preserve">sa ter acesso ao equipamento de que necessita. Tal exige um orçamento de </w:t>
            </w:r>
            <w:r>
              <w:rPr>
                <w:rFonts w:ascii="Times New Roman" w:hAnsi="Times New Roman"/>
                <w:b/>
                <w:noProof/>
                <w:sz w:val="20"/>
              </w:rPr>
              <w:t>cerca de 8 mil milhões de EUR durante um período de sete anos</w:t>
            </w:r>
            <w:r>
              <w:rPr>
                <w:rFonts w:ascii="Times New Roman" w:hAnsi="Times New Roman"/>
                <w:noProof/>
                <w:sz w:val="20"/>
              </w:rPr>
              <w:t xml:space="preserve">, o que corresponde a aproximadamente 0,8 % do atual quadro financeiro plurianual. </w:t>
            </w:r>
          </w:p>
          <w:p w:rsidR="00622A92" w:rsidRDefault="00110FC7">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790848" behindDoc="0" locked="0" layoutInCell="1" allowOverlap="1">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45pt;margin-top:5.5pt;width:7.1pt;height:7.1pt;z-index:251790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Uma </w:t>
            </w:r>
            <w:r>
              <w:rPr>
                <w:rFonts w:ascii="Times New Roman" w:hAnsi="Times New Roman"/>
                <w:b/>
                <w:noProof/>
                <w:sz w:val="20"/>
              </w:rPr>
              <w:t>Guarda Europeia de Fronteiras e C</w:t>
            </w:r>
            <w:r>
              <w:rPr>
                <w:rFonts w:ascii="Times New Roman" w:hAnsi="Times New Roman"/>
                <w:b/>
                <w:noProof/>
                <w:sz w:val="20"/>
              </w:rPr>
              <w:t>osteira melhorada</w:t>
            </w:r>
            <w:r>
              <w:rPr>
                <w:rFonts w:ascii="Times New Roman" w:hAnsi="Times New Roman"/>
                <w:noProof/>
                <w:sz w:val="20"/>
              </w:rPr>
              <w:t xml:space="preserve"> permitiria apoiar um sistema de gestão das fronteiras da UE plenamente integrado. Isto teria por base um quadro jurídico revisto, com um mandato alargado, reunindo e reforçando os instrumentos existentes para a avaliação dos riscos e das </w:t>
            </w:r>
            <w:r>
              <w:rPr>
                <w:rFonts w:ascii="Times New Roman" w:hAnsi="Times New Roman"/>
                <w:noProof/>
                <w:sz w:val="20"/>
              </w:rPr>
              <w:t>diferentes situações; um reforço da capacidade operacional da agência, com um corpo permanente de guardas fronteiriços europeus que contaria com pelo menos 3 000 elementos; a prestação de apoio financeiro e de formação para o aumento da componente dos guar</w:t>
            </w:r>
            <w:r>
              <w:rPr>
                <w:rFonts w:ascii="Times New Roman" w:hAnsi="Times New Roman"/>
                <w:noProof/>
                <w:sz w:val="20"/>
              </w:rPr>
              <w:t>das de fronteira nacionais nos Estados-Membros vulneráveis; reservas de peritos com maior dimensão e operacionalidade; e um reforço dos equipamentos próprios. Tal implica uma maior intervenção da UE nas políticas de regresso dos migrantes, bem como a reduç</w:t>
            </w:r>
            <w:r>
              <w:rPr>
                <w:rFonts w:ascii="Times New Roman" w:hAnsi="Times New Roman"/>
                <w:noProof/>
                <w:sz w:val="20"/>
              </w:rPr>
              <w:t xml:space="preserve">ão dos limiares de intervenção, para que a Agência possa ajudar a evitar falhas graves no controlo nas fronteiras externas que poderiam conduzir a uma situação de crise. Este cenário exige um orçamento de </w:t>
            </w:r>
            <w:r>
              <w:rPr>
                <w:rFonts w:ascii="Times New Roman" w:hAnsi="Times New Roman"/>
                <w:b/>
                <w:noProof/>
                <w:sz w:val="20"/>
              </w:rPr>
              <w:t>cerca de 20 – 25 mil milhões de EUR durante um perí</w:t>
            </w:r>
            <w:r>
              <w:rPr>
                <w:rFonts w:ascii="Times New Roman" w:hAnsi="Times New Roman"/>
                <w:b/>
                <w:noProof/>
                <w:sz w:val="20"/>
              </w:rPr>
              <w:t>odo de sete anos</w:t>
            </w:r>
            <w:r>
              <w:rPr>
                <w:rFonts w:ascii="Times New Roman" w:hAnsi="Times New Roman"/>
                <w:noProof/>
                <w:sz w:val="20"/>
              </w:rPr>
              <w:t xml:space="preserve">, o que corresponde a aproximadamente 1,8 – 2,3 % do atual quadro financeiro plurianual. </w:t>
            </w:r>
          </w:p>
          <w:p w:rsidR="00622A92" w:rsidRDefault="00110FC7">
            <w:pPr>
              <w:pStyle w:val="BodyText"/>
              <w:spacing w:before="71"/>
              <w:ind w:left="306" w:right="363"/>
              <w:jc w:val="both"/>
              <w:rPr>
                <w:rFonts w:ascii="Times New Roman" w:hAnsi="Times New Roman"/>
                <w:noProof/>
                <w:sz w:val="20"/>
                <w:szCs w:val="20"/>
              </w:rPr>
            </w:pPr>
            <w:r>
              <w:rPr>
                <w:rFonts w:ascii="Times New Roman" w:hAnsi="Times New Roman"/>
                <w:noProof/>
                <w:sz w:val="20"/>
                <w:lang w:val="en-GB" w:eastAsia="en-GB" w:bidi="ar-SA"/>
              </w:rPr>
              <mc:AlternateContent>
                <mc:Choice Requires="wps">
                  <w:drawing>
                    <wp:anchor distT="0" distB="0" distL="114300" distR="114300" simplePos="0" relativeHeight="251584000" behindDoc="0" locked="0" layoutInCell="1" allowOverlap="1">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xmlns:o="urn:schemas-microsoft-com:office:office" xmlns:v="urn:schemas-microsoft-com:vml" id="object 12" o:spid="_x0000_s1026" style="position:absolute;margin-left:3.7pt;margin-top:5.35pt;width:7.1pt;height:7.1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Um </w:t>
            </w:r>
            <w:r>
              <w:rPr>
                <w:rFonts w:ascii="Times New Roman" w:hAnsi="Times New Roman"/>
                <w:b/>
                <w:noProof/>
                <w:sz w:val="20"/>
              </w:rPr>
              <w:t>sistema integral de gestão das fronteiras da UE</w:t>
            </w:r>
            <w:r>
              <w:rPr>
                <w:rFonts w:ascii="Times New Roman" w:hAnsi="Times New Roman"/>
                <w:noProof/>
                <w:sz w:val="20"/>
              </w:rPr>
              <w:t xml:space="preserve"> implicaria 100 000 funcionários da UE e uma importante reserva de equipamentos da UE, comparável à</w:t>
            </w:r>
            <w:r>
              <w:rPr>
                <w:rFonts w:ascii="Times New Roman" w:hAnsi="Times New Roman"/>
                <w:noProof/>
                <w:sz w:val="20"/>
              </w:rPr>
              <w:t xml:space="preserve"> dos EUA ou do sistema canadiano. Seriam necessários </w:t>
            </w:r>
            <w:r>
              <w:rPr>
                <w:rFonts w:ascii="Times New Roman" w:hAnsi="Times New Roman"/>
                <w:b/>
                <w:noProof/>
                <w:sz w:val="20"/>
              </w:rPr>
              <w:t>cerca de 150 mil milhões de EUR durante um período de sete anos,</w:t>
            </w:r>
            <w:r>
              <w:rPr>
                <w:rFonts w:ascii="Times New Roman" w:hAnsi="Times New Roman"/>
                <w:noProof/>
                <w:sz w:val="20"/>
              </w:rPr>
              <w:t xml:space="preserve"> tendo em conta todas as despesas nacionais com a proteção das fronteiras. Este valor corresponde a aproximadamente 14 % do atual quadro fi</w:t>
            </w:r>
            <w:r>
              <w:rPr>
                <w:rFonts w:ascii="Times New Roman" w:hAnsi="Times New Roman"/>
                <w:noProof/>
                <w:sz w:val="20"/>
              </w:rPr>
              <w:t xml:space="preserve">nanceiro plurianual e equivalente a um orçamento anual da UE. A título de exemplo, a </w:t>
            </w:r>
            <w:r>
              <w:rPr>
                <w:rFonts w:ascii="Times New Roman" w:hAnsi="Times New Roman"/>
                <w:i/>
                <w:noProof/>
                <w:sz w:val="20"/>
              </w:rPr>
              <w:t>US Customs and Border Protection Agency</w:t>
            </w:r>
            <w:r>
              <w:rPr>
                <w:rFonts w:ascii="Times New Roman" w:hAnsi="Times New Roman"/>
                <w:noProof/>
                <w:sz w:val="20"/>
              </w:rPr>
              <w:t xml:space="preserve"> dispõe de um orçamento anual de 13,56 mil milhões de USD e conta com mais de 62 000 trabalhadores. A </w:t>
            </w:r>
            <w:r>
              <w:rPr>
                <w:rFonts w:ascii="Times New Roman" w:hAnsi="Times New Roman"/>
                <w:i/>
                <w:noProof/>
                <w:sz w:val="20"/>
              </w:rPr>
              <w:t>Canadian Border Services Agenc</w:t>
            </w:r>
            <w:r>
              <w:rPr>
                <w:rFonts w:ascii="Times New Roman" w:hAnsi="Times New Roman"/>
                <w:i/>
                <w:noProof/>
                <w:sz w:val="20"/>
              </w:rPr>
              <w:t>y</w:t>
            </w:r>
            <w:r>
              <w:rPr>
                <w:rFonts w:ascii="Times New Roman" w:hAnsi="Times New Roman"/>
                <w:noProof/>
                <w:sz w:val="20"/>
              </w:rPr>
              <w:t xml:space="preserve"> está dotada de um orçamento anual de cerca de 2 mil milhões de CAD e conta com mais de 14 000 funcionários.</w:t>
            </w:r>
          </w:p>
          <w:p w:rsidR="00622A92" w:rsidRDefault="00622A92">
            <w:pPr>
              <w:spacing w:line="231" w:lineRule="exact"/>
              <w:ind w:left="200"/>
              <w:rPr>
                <w:rFonts w:ascii="Times New Roman" w:eastAsia="EC Square Sans Pro" w:hAnsi="Times New Roman"/>
                <w:noProof/>
              </w:rPr>
            </w:pPr>
          </w:p>
        </w:tc>
      </w:tr>
    </w:tbl>
    <w:p w:rsidR="00622A92" w:rsidRDefault="00110FC7">
      <w:pPr>
        <w:spacing w:before="12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nossa União também irá necessitar de instrumentos bem concebidos, flexíveis e simples em matéria de </w:t>
      </w:r>
      <w:r>
        <w:rPr>
          <w:rFonts w:ascii="Times New Roman" w:hAnsi="Times New Roman"/>
          <w:b/>
          <w:noProof/>
          <w:sz w:val="24"/>
        </w:rPr>
        <w:t>defesa</w:t>
      </w:r>
      <w:r>
        <w:rPr>
          <w:rFonts w:ascii="Times New Roman" w:hAnsi="Times New Roman"/>
          <w:noProof/>
          <w:sz w:val="24"/>
        </w:rPr>
        <w:t xml:space="preserve">. Enfrentamos desafios de segurança </w:t>
      </w:r>
      <w:r>
        <w:rPr>
          <w:rFonts w:ascii="Times New Roman" w:hAnsi="Times New Roman"/>
          <w:noProof/>
          <w:sz w:val="24"/>
        </w:rPr>
        <w:t>complexos, que nenhum Estado-Membro pode enfrentar isoladamente. Para proteger os seus valores e interesses e o modo de vida europeu, a Europa, em sinergia com a Organização do Tratado do Atlântico Norte, terá de assumir maiores responsabilidades. Embora a</w:t>
      </w:r>
      <w:r>
        <w:rPr>
          <w:rFonts w:ascii="Times New Roman" w:hAnsi="Times New Roman"/>
          <w:noProof/>
          <w:sz w:val="24"/>
        </w:rPr>
        <w:t xml:space="preserve"> União não possa substituir os esforços dos Estados-Membros no domínio da defesa, pode complementá-los e aproveitar a sua colaboração no desenvolvimento das capacidades de defesa necessárias para enfrentar os nossos desafios comuns no domínio da segurança.</w:t>
      </w:r>
      <w:r>
        <w:rPr>
          <w:rFonts w:ascii="Times New Roman" w:hAnsi="Times New Roman"/>
          <w:noProof/>
          <w:sz w:val="24"/>
        </w:rPr>
        <w:t xml:space="preserve"> Isto permitiria evitar a duplicação de esforços e assegurar uma utilização mais eficiente do dinheiro dos contribuintes.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15744" behindDoc="0" locked="0" layoutInCell="1" allowOverlap="1">
                      <wp:simplePos x="0" y="0"/>
                      <wp:positionH relativeFrom="column">
                        <wp:posOffset>41275</wp:posOffset>
                      </wp:positionH>
                      <wp:positionV relativeFrom="paragraph">
                        <wp:posOffset>27940</wp:posOffset>
                      </wp:positionV>
                      <wp:extent cx="572770" cy="586740"/>
                      <wp:effectExtent l="0" t="0" r="17780" b="22860"/>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 cy="58674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3.25pt;margin-top:2.2pt;width:45.1pt;height:46.2pt;z-index:25161574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zGChs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">
                      <v:shape id="Freeform 53"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XMMA&#10;AADbAAAADwAAAGRycy9kb3ducmV2LnhtbESP3YrCMBSE74V9h3AW9k5TFX/oGkUUwYu90NoHODRn&#10;29rmpCRRu2+/EQQvh5n5hlltetOKOzlfW1YwHiUgiAuray4V5JfDcAnCB2SNrWVS8EceNuuPwQpT&#10;bR98pnsWShEh7FNUUIXQpVL6oiKDfmQ74uj9WmcwROlKqR0+Ity0cpIkc2mw5rhQYUe7ioomuxkF&#10;btfsJ81s7xaJuW6PP1nuTodcqa/PfvsNIlAf3uFX+6g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YX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dcUA&#10;AADbAAAADwAAAGRycy9kb3ducmV2LnhtbESPT2vCQBDF74V+h2WE3upGUSnRVUS09iBa/4HHITsm&#10;qdnZmF01fvuuIHh8vHm/N28wqk0hrlS53LKCVjMCQZxYnXOqYLedfX6BcB5ZY2GZFNzJwWj4/jbA&#10;WNsbr+m68akIEHYxKsi8L2MpXZKRQde0JXHwjrYy6IOsUqkrvAW4KWQ7inrSYM6hIcOSJhklp83F&#10;hDcOv0vnV2u8R/PF9Pu83f9Rp6XUR6Me90F4qv3r+Jn+0Qq6H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Z1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cQA&#10;AADbAAAADwAAAGRycy9kb3ducmV2LnhtbESPT2sCMRTE74LfIbyCF6lZpbayNYoISqGHsv65Pzev&#10;m6Wbl7iJun57Uyj0OMzMb5j5srONuFIbascKxqMMBHHpdM2VgsN+8zwDESKyxsYxKbhTgOWi35tj&#10;rt2NC7ruYiUShEOOCkyMPpcylIYshpHzxMn7dq3FmGRbSd3iLcFtIydZ9iot1pwWDHpaGyp/dher&#10;4G3mbXGWL9utX30Nj3gyrv4slBo8dat3EJG6+B/+a39o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p/nEAAAA2w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0cYA&#10;AADbAAAADwAAAGRycy9kb3ducmV2LnhtbESPT2vCQBTE7wW/w/IEb80mAf80dRWxLerB0tpCr4/s&#10;axKTfRuyW43f3hWEHoeZ+Q0zX/amESfqXGVZQRLFIIhzqysuFHx/vT3OQDiPrLGxTAou5GC5GDzM&#10;MdP2zJ90OvhCBAi7DBWU3reZlC4vyaCLbEscvF/bGfRBdoXUHZ4D3DQyjeOJNFhxWCixpXVJeX34&#10;Mwr6+vjyM5O7ZPpBLtm8p9Xr/mmt1GjYr55BeOr9f/je3moF4wn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W0cYAAADb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YsAA&#10;AADbAAAADwAAAGRycy9kb3ducmV2LnhtbERPzWqDQBC+F/oOyxRya1YLL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AYs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Tr8A&#10;AADbAAAADwAAAGRycy9kb3ducmV2LnhtbERPS2sCMRC+F/wPYQq91WwfLLI1ioiCh/ZQtfdhM+4u&#10;JpOQRF3/fedQ6PHje8+Xo3fqSikPgQ28TCtQxG2wA3cGjoft8wxULsgWXWAycKcMy8XkYY6NDTf+&#10;puu+dEpCODdooC8lNlrntiePeRoisXCnkDwWganTNuFNwr3Tr1VVa48DS0OPkdY9tef9xUvJ+Z4u&#10;4avevP1Ua7d1cfcZ7bsxT4/j6gNUobH8i//cO2uglvXyRX6AX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V9OvwAAANsAAAAPAAAAAAAAAAAAAAAAAJgCAABkcnMvZG93bnJl&#10;di54bWxQSwUGAAAAAAQABAD1AAAAhA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ind w:left="68"/>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 xml:space="preserve">        Qual a melhor forma de apoiar uma verdadeira União Europeia da Defesa?</w:t>
            </w:r>
          </w:p>
        </w:tc>
      </w:tr>
      <w:tr w:rsidR="00622A92">
        <w:trPr>
          <w:cantSplit/>
          <w:trHeight w:val="6607"/>
        </w:trPr>
        <w:tc>
          <w:tcPr>
            <w:tcW w:w="9288" w:type="dxa"/>
            <w:shd w:val="clear" w:color="auto" w:fill="CBE7E5"/>
          </w:tcPr>
          <w:p w:rsidR="00622A92" w:rsidRDefault="00110FC7">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noProof/>
                <w:sz w:val="20"/>
              </w:rPr>
              <w:t xml:space="preserve">O Fundo </w:t>
            </w:r>
            <w:r>
              <w:rPr>
                <w:rFonts w:ascii="Times New Roman" w:hAnsi="Times New Roman"/>
                <w:noProof/>
                <w:sz w:val="20"/>
              </w:rPr>
              <w:t xml:space="preserve">Europeu de Defesa foi lançado em junho de 2017 e está a ser gradualmente implementado. Um orçamento inicial de 90 milhões de EUR para a investigação em matéria de defesa e de 500 milhões de EUR para o desenvolvimento industrial nesse mesmo contexto para o </w:t>
            </w:r>
            <w:r>
              <w:rPr>
                <w:rFonts w:ascii="Times New Roman" w:hAnsi="Times New Roman"/>
                <w:noProof/>
                <w:sz w:val="20"/>
              </w:rPr>
              <w:t>período 2017-2020 (o que, no conjunto, representa aproximadamente 0,05 % do atual quadro financeiro) só permitirá, numa primeira fase, apoiar um número limitado de projetos colaborativos de investigação e de desenvolvimento.</w:t>
            </w:r>
          </w:p>
          <w:p w:rsidR="00622A92" w:rsidRDefault="00110FC7">
            <w:pPr>
              <w:pStyle w:val="BodyText"/>
              <w:spacing w:before="71" w:line="242" w:lineRule="auto"/>
              <w:ind w:left="284" w:right="363"/>
              <w:jc w:val="both"/>
              <w:rPr>
                <w:rFonts w:ascii="Times New Roman" w:eastAsia="EC Square Sans Cond Pro" w:hAnsi="Times New Roman"/>
                <w:noProof/>
                <w:sz w:val="20"/>
                <w:szCs w:val="20"/>
              </w:rPr>
            </w:pPr>
            <w:r>
              <w:rPr>
                <w:rFonts w:ascii="Times New Roman" w:hAnsi="Times New Roman"/>
                <w:noProof/>
                <w:sz w:val="20"/>
              </w:rPr>
              <w:t>Que tipo de fundo de defesa que</w:t>
            </w:r>
            <w:r>
              <w:rPr>
                <w:rFonts w:ascii="Times New Roman" w:hAnsi="Times New Roman"/>
                <w:noProof/>
                <w:sz w:val="20"/>
              </w:rPr>
              <w:t>remos para o futuro? Uma verdadeira União Europeia da Defesa exigiria um investimento orçamental significativo.</w:t>
            </w:r>
          </w:p>
          <w:p w:rsidR="00622A92" w:rsidRDefault="00110FC7">
            <w:pPr>
              <w:pStyle w:val="BodyText"/>
              <w:spacing w:before="71"/>
              <w:ind w:left="306" w:right="363"/>
              <w:jc w:val="both"/>
              <w:rPr>
                <w:rFonts w:ascii="Times New Roman" w:eastAsia="Times New Roman" w:hAnsi="Times New Roman"/>
                <w:noProof/>
                <w:sz w:val="20"/>
                <w:szCs w:val="20"/>
              </w:rPr>
            </w:pPr>
            <w:r>
              <w:rPr>
                <w:rFonts w:ascii="Times New Roman" w:hAnsi="Times New Roman"/>
                <w:noProof/>
                <w:sz w:val="20"/>
              </w:rPr>
              <w:t>Tendo em conta a dimensão dos orçamentos nacionais de investigação em matéria de defesa existentes – a França e a Alemanha gastam, individualmente, mais de mil milhões de EUR por ano em investigação em matéria de defesa – e os elevados custos do desenvolvi</w:t>
            </w:r>
            <w:r>
              <w:rPr>
                <w:rFonts w:ascii="Times New Roman" w:hAnsi="Times New Roman"/>
                <w:noProof/>
                <w:sz w:val="20"/>
              </w:rPr>
              <w:t xml:space="preserve">mento de tecnologias de ponta na área da defesa, incluindo a ciberdefesa, a </w:t>
            </w:r>
            <w:r>
              <w:rPr>
                <w:rFonts w:ascii="Times New Roman" w:hAnsi="Times New Roman"/>
                <w:b/>
                <w:noProof/>
                <w:sz w:val="20"/>
              </w:rPr>
              <w:t>janela de investigação</w:t>
            </w:r>
            <w:r>
              <w:rPr>
                <w:rFonts w:ascii="Times New Roman" w:hAnsi="Times New Roman"/>
                <w:noProof/>
                <w:sz w:val="20"/>
              </w:rPr>
              <w:t xml:space="preserve"> do Fundo teria de ter um orçamento estimado em </w:t>
            </w:r>
            <w:r>
              <w:rPr>
                <w:rFonts w:ascii="Times New Roman" w:hAnsi="Times New Roman"/>
                <w:b/>
                <w:noProof/>
                <w:sz w:val="20"/>
              </w:rPr>
              <w:t>pelo menos 3,5 mil milhões de EUR para o período</w:t>
            </w:r>
            <w:r>
              <w:rPr>
                <w:rFonts w:ascii="Times New Roman" w:hAnsi="Times New Roman"/>
                <w:noProof/>
                <w:sz w:val="20"/>
              </w:rPr>
              <w:t xml:space="preserve">, para poder fazer uma diferença substancial. </w:t>
            </w:r>
            <w:r>
              <w:rPr>
                <w:rFonts w:ascii="Times New Roman" w:hAnsi="Times New Roman"/>
                <w:noProof/>
                <w:sz w:val="20"/>
                <w:lang w:val="en-GB" w:eastAsia="en-GB" w:bidi="ar-SA"/>
              </w:rPr>
              <mc:AlternateContent>
                <mc:Choice Requires="wps">
                  <w:drawing>
                    <wp:anchor distT="0" distB="0" distL="114300" distR="114300" simplePos="0" relativeHeight="25162598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3E2822CF" id="object 12" o:spid="_x0000_s1026" style="position:absolute;margin-left:3.7pt;margin-top:5.4pt;width:7.1pt;height:7.1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rsidR="00622A92" w:rsidRDefault="00110FC7">
            <w:pPr>
              <w:pStyle w:val="BodyText"/>
              <w:spacing w:before="71"/>
              <w:ind w:left="306" w:right="363"/>
              <w:jc w:val="both"/>
              <w:rPr>
                <w:rFonts w:ascii="Times New Roman" w:eastAsia="Times New Roman" w:hAnsi="Times New Roman"/>
                <w:noProof/>
                <w:sz w:val="20"/>
                <w:szCs w:val="20"/>
              </w:rPr>
            </w:pPr>
            <w:r>
              <w:rPr>
                <w:rFonts w:ascii="Times New Roman" w:hAnsi="Times New Roman"/>
                <w:noProof/>
                <w:sz w:val="20"/>
              </w:rPr>
              <w:t>Do mesmo modo,</w:t>
            </w:r>
            <w:r>
              <w:rPr>
                <w:rFonts w:ascii="Times New Roman" w:hAnsi="Times New Roman"/>
                <w:noProof/>
                <w:sz w:val="20"/>
              </w:rPr>
              <w:t xml:space="preserve"> seriam necessários, no mínimo, cerca de 7 mil milhões de EUR entre 2021 e 2027 para cofinanciar parte dos custos do </w:t>
            </w:r>
            <w:r>
              <w:rPr>
                <w:rFonts w:ascii="Times New Roman" w:hAnsi="Times New Roman"/>
                <w:b/>
                <w:noProof/>
                <w:sz w:val="20"/>
              </w:rPr>
              <w:t>desenvolvimento industrial em matéria de defesa</w:t>
            </w:r>
            <w:r>
              <w:rPr>
                <w:rFonts w:ascii="Times New Roman" w:hAnsi="Times New Roman"/>
                <w:noProof/>
                <w:sz w:val="20"/>
              </w:rPr>
              <w:t>. Tal permitiria mobilizar um investimento total significativo para o desenvolvimento das ca</w:t>
            </w:r>
            <w:r>
              <w:rPr>
                <w:rFonts w:ascii="Times New Roman" w:hAnsi="Times New Roman"/>
                <w:noProof/>
                <w:sz w:val="20"/>
              </w:rPr>
              <w:t xml:space="preserve">pacidades de defesa, </w:t>
            </w:r>
            <w:r>
              <w:rPr>
                <w:rFonts w:ascii="Times New Roman" w:hAnsi="Times New Roman"/>
                <w:b/>
                <w:noProof/>
                <w:sz w:val="20"/>
              </w:rPr>
              <w:t>que ascenderia a pelo menos 35 mil milhões de EUR ao longo de sete anos</w:t>
            </w:r>
            <w:r>
              <w:rPr>
                <w:rFonts w:ascii="Times New Roman" w:hAnsi="Times New Roman"/>
                <w:noProof/>
                <w:sz w:val="20"/>
              </w:rPr>
              <w:t>, o que corresponderia a 14 % das despesas nacionais em capacidades de defesa. Seria um passo importante para o objetivo acordado pelos Estados-Membros no sentido d</w:t>
            </w:r>
            <w:r>
              <w:rPr>
                <w:rFonts w:ascii="Times New Roman" w:hAnsi="Times New Roman"/>
                <w:noProof/>
                <w:sz w:val="20"/>
              </w:rPr>
              <w:t>e que a Agência Europeia de Defesa utilize 35 % das suas despesas com equipamentos em projetos em regime de colaboração</w:t>
            </w:r>
            <w:r>
              <w:rPr>
                <w:rFonts w:ascii="Times New Roman" w:hAnsi="Times New Roman"/>
                <w:noProof/>
                <w:sz w:val="20"/>
                <w:lang w:val="en-GB" w:eastAsia="en-GB" w:bidi="ar-SA"/>
              </w:rPr>
              <mc:AlternateContent>
                <mc:Choice Requires="wps">
                  <w:drawing>
                    <wp:anchor distT="0" distB="0" distL="114300" distR="114300" simplePos="0" relativeHeight="2516177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D41F6B0" id="object 12" o:spid="_x0000_s1026" style="position:absolute;margin-left:3.7pt;margin-top:5.4pt;width:7.1pt;height:7.1pt;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rPr>
              <w:t xml:space="preserve">. </w:t>
            </w:r>
          </w:p>
          <w:p w:rsidR="00622A92" w:rsidRDefault="00110FC7">
            <w:pPr>
              <w:pStyle w:val="BodyText"/>
              <w:spacing w:before="120"/>
              <w:ind w:left="306" w:right="363"/>
              <w:jc w:val="both"/>
              <w:rPr>
                <w:rFonts w:ascii="Times New Roman" w:hAnsi="Times New Roman"/>
                <w:noProof/>
              </w:rPr>
            </w:pPr>
            <w:r>
              <w:rPr>
                <w:rFonts w:ascii="Times New Roman" w:hAnsi="Times New Roman"/>
                <w:noProof/>
                <w:sz w:val="20"/>
                <w:lang w:val="en-GB" w:eastAsia="en-GB" w:bidi="ar-SA"/>
              </w:rPr>
              <mc:AlternateContent>
                <mc:Choice Requires="wps">
                  <w:drawing>
                    <wp:anchor distT="0" distB="0" distL="114300" distR="114300" simplePos="0" relativeHeight="25161984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CDB02FC" id="object 12" o:spid="_x0000_s1026" style="position:absolute;margin-left:3.7pt;margin-top:5.4pt;width:7.1pt;height:7.1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rPr>
              <w:t>O Fundo Europeu de Defesa tem potencial para dar um impulso importante para a autonomia estratégica da UE e para a competitividade da indústria europeia da defesa. No entanto, devido a restrições decorrentes dos Tratados, o orçamento da UE não consegue cob</w:t>
            </w:r>
            <w:r>
              <w:rPr>
                <w:rFonts w:ascii="Times New Roman" w:hAnsi="Times New Roman"/>
                <w:noProof/>
                <w:sz w:val="20"/>
              </w:rPr>
              <w:t xml:space="preserve">rir todas as áreas de ação da UE no domínio da segurança e da defesa. Um mecanismo de financiamento distinto, de </w:t>
            </w:r>
            <w:r>
              <w:rPr>
                <w:rFonts w:ascii="Times New Roman" w:hAnsi="Times New Roman"/>
                <w:b/>
                <w:noProof/>
                <w:sz w:val="20"/>
              </w:rPr>
              <w:t>cerca de 10 mil milhões de EUR para o período de 2021-2027</w:t>
            </w:r>
            <w:r>
              <w:rPr>
                <w:rFonts w:ascii="Times New Roman" w:hAnsi="Times New Roman"/>
                <w:noProof/>
                <w:sz w:val="20"/>
              </w:rPr>
              <w:t>, permitiria aumentar significativamente a capacidade da UE para apoiar financeiramen</w:t>
            </w:r>
            <w:r>
              <w:rPr>
                <w:rFonts w:ascii="Times New Roman" w:hAnsi="Times New Roman"/>
                <w:noProof/>
                <w:sz w:val="20"/>
              </w:rPr>
              <w:t xml:space="preserve">te as </w:t>
            </w:r>
            <w:r>
              <w:rPr>
                <w:rFonts w:ascii="Times New Roman" w:hAnsi="Times New Roman"/>
                <w:b/>
                <w:noProof/>
                <w:sz w:val="20"/>
              </w:rPr>
              <w:t xml:space="preserve">operações com implicações no domínio da defesa. </w:t>
            </w:r>
            <w:r>
              <w:rPr>
                <w:rFonts w:ascii="Times New Roman" w:hAnsi="Times New Roman"/>
                <w:noProof/>
                <w:sz w:val="20"/>
              </w:rPr>
              <w:t>Esse valor é bastante superior aos 3,5 mil milhões de EUR do período atual.</w:t>
            </w: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Dois anos após o Acordo de Paris, a UE também necessita de manter a liderança na luta contra as </w:t>
      </w:r>
      <w:r>
        <w:rPr>
          <w:rFonts w:ascii="Times New Roman" w:hAnsi="Times New Roman"/>
          <w:b/>
          <w:noProof/>
          <w:sz w:val="24"/>
        </w:rPr>
        <w:t>alterações climáticas</w:t>
      </w:r>
      <w:r>
        <w:rPr>
          <w:rFonts w:ascii="Times New Roman" w:hAnsi="Times New Roman"/>
          <w:noProof/>
          <w:sz w:val="24"/>
        </w:rPr>
        <w:t xml:space="preserve"> e na ga</w:t>
      </w:r>
      <w:r>
        <w:rPr>
          <w:rFonts w:ascii="Times New Roman" w:hAnsi="Times New Roman"/>
          <w:noProof/>
          <w:sz w:val="24"/>
        </w:rPr>
        <w:t>rantia de uma transição harmoniosa para uma economia moderna, limpa e circular. A experiência adquirida com a integração da ação climática deve ser tida em conta. A UE deve também respeitar os seus compromissos para com os Objetivos de Desenvolvimento Sust</w:t>
      </w:r>
      <w:r>
        <w:rPr>
          <w:rFonts w:ascii="Times New Roman" w:hAnsi="Times New Roman"/>
          <w:noProof/>
          <w:sz w:val="24"/>
        </w:rPr>
        <w:t xml:space="preserve">entável das Nações Unidas. O orçamento da UE apoia também a </w:t>
      </w:r>
      <w:r>
        <w:rPr>
          <w:rFonts w:ascii="Times New Roman" w:hAnsi="Times New Roman"/>
          <w:b/>
          <w:noProof/>
          <w:sz w:val="24"/>
        </w:rPr>
        <w:t>economia social de mercado</w:t>
      </w:r>
      <w:r>
        <w:rPr>
          <w:rFonts w:ascii="Times New Roman" w:hAnsi="Times New Roman"/>
          <w:noProof/>
          <w:sz w:val="24"/>
        </w:rPr>
        <w:t xml:space="preserve"> na Europa. As realidades económicas e sociais não são iguais em toda a Europa, das taxas de emprego e de pobreza aos sistemas de proteção social. O orçamento da UE terá </w:t>
      </w:r>
      <w:r>
        <w:rPr>
          <w:rFonts w:ascii="Times New Roman" w:hAnsi="Times New Roman"/>
          <w:noProof/>
          <w:sz w:val="24"/>
        </w:rPr>
        <w:t xml:space="preserve">de dar cumprimento às promessas feitas pelos líderes políticos na Cimeira Social de Gotemburgo. Para tal, deve aprofundar-se a dimensão social da União, nomeadamente através da plena execução do Pilar Europeu dos Direitos Sociais e do apoio aos jovens e à </w:t>
      </w:r>
      <w:r>
        <w:rPr>
          <w:rFonts w:ascii="Times New Roman" w:hAnsi="Times New Roman"/>
          <w:noProof/>
          <w:sz w:val="24"/>
        </w:rPr>
        <w:t xml:space="preserve">mobilidade dos cidadãos europeus. Serão necessários recursos adequados para melhorar as oportunidades de emprego e dar resposta aos desafios em matéria de competências, incluindo os que estão relacionados com a digitalização.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0038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C158121" id="Group 34" o:spid="_x0000_s1026" style="position:absolute;margin-left:14.2pt;margin-top:2.25pt;width:45.25pt;height:45.25pt;z-index:2516003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B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0vAA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Cv4Njv8GgAA&#10;urIAAA4AAAAAAAAAAAAAAAAALgIAAGRycy9lMm9Eb2MueG1sUEsBAi0AFAAGAAgAAAAhANS9oUfe&#10;AAAABwEAAA8AAAAAAAAAAAAAAAAAVh0AAGRycy9kb3ducmV2LnhtbFBLBQYAAAAABAAEAPMAAABh&#10;HgAAAAA=&#10;">
                      <v:shape id="Freeform 98"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xml:space="preserve">OPÇÕES PARA O FUTURO QUADRO </w:t>
            </w:r>
            <w:r>
              <w:rPr>
                <w:rFonts w:ascii="Times New Roman" w:hAnsi="Times New Roman"/>
                <w:b/>
                <w:noProof/>
                <w:color w:val="FFFFFF"/>
                <w:spacing w:val="4"/>
                <w:sz w:val="24"/>
              </w:rPr>
              <w:t>FINANCEIRO</w:t>
            </w:r>
          </w:p>
        </w:tc>
      </w:tr>
      <w:tr w:rsidR="00622A92">
        <w:trPr>
          <w:trHeight w:val="567"/>
        </w:trPr>
        <w:tc>
          <w:tcPr>
            <w:tcW w:w="9288" w:type="dxa"/>
            <w:shd w:val="clear" w:color="auto" w:fill="CBE7E5"/>
            <w:vAlign w:val="center"/>
          </w:tcPr>
          <w:p w:rsidR="00622A92" w:rsidRDefault="00110FC7">
            <w:pPr>
              <w:keepNext/>
              <w:ind w:left="70"/>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Qual a melhor forma de apoiar a mobilidade dos jovens?</w:t>
            </w:r>
          </w:p>
        </w:tc>
      </w:tr>
      <w:tr w:rsidR="00622A92">
        <w:trPr>
          <w:cantSplit/>
          <w:trHeight w:val="3551"/>
        </w:trPr>
        <w:tc>
          <w:tcPr>
            <w:tcW w:w="9288" w:type="dxa"/>
            <w:shd w:val="clear" w:color="auto" w:fill="CBE7E5"/>
          </w:tcPr>
          <w:p w:rsidR="00622A92" w:rsidRDefault="00110FC7">
            <w:pPr>
              <w:pStyle w:val="BodyText"/>
              <w:spacing w:before="71"/>
              <w:ind w:left="306" w:right="363"/>
              <w:jc w:val="both"/>
              <w:rPr>
                <w:rFonts w:ascii="Times New Roman" w:eastAsia="EC Square Sans Cond Pro" w:hAnsi="Times New Roman"/>
                <w:noProof/>
                <w:color w:val="231F20"/>
                <w:sz w:val="20"/>
                <w:szCs w:val="20"/>
              </w:rPr>
            </w:pPr>
            <w:r>
              <w:rPr>
                <w:rFonts w:ascii="Times New Roman" w:hAnsi="Times New Roman"/>
                <w:noProof/>
                <w:color w:val="231F20"/>
                <w:sz w:val="20"/>
              </w:rPr>
              <w:t xml:space="preserve">Volvidos 30 anos, o programa Erasmus+ contribuiu para que nove milhões de jovens estudassem, recebessem formação, ensinassem ou fizessem voluntariado no estrangeiro, aumentando assim as suas possibilidades de êxito no mercado de trabalho. O atual programa </w:t>
            </w:r>
            <w:r>
              <w:rPr>
                <w:rFonts w:ascii="Times New Roman" w:hAnsi="Times New Roman"/>
                <w:noProof/>
                <w:color w:val="231F20"/>
                <w:sz w:val="20"/>
              </w:rPr>
              <w:t xml:space="preserve">Erasmus+ 2014-2020 dispõe de um orçamento de 14,7 mil milhões de EUR (cerca de 1,3 % do volume global do atual quadro financeiro plurianual), </w:t>
            </w:r>
            <w:r>
              <w:rPr>
                <w:rFonts w:ascii="Times New Roman" w:hAnsi="Times New Roman"/>
                <w:noProof/>
                <w:sz w:val="20"/>
                <w:u w:color="000000"/>
                <w:bdr w:val="nil"/>
              </w:rPr>
              <w:t xml:space="preserve">podendo apenas oferecer oportunidades de mobilidade para fins de aprendizagem a menos de 4 % dos jovens que vivem </w:t>
            </w:r>
            <w:r>
              <w:rPr>
                <w:rFonts w:ascii="Times New Roman" w:hAnsi="Times New Roman"/>
                <w:noProof/>
                <w:sz w:val="20"/>
                <w:u w:color="000000"/>
                <w:bdr w:val="nil"/>
              </w:rPr>
              <w:t>na Europa</w:t>
            </w:r>
            <w:r>
              <w:rPr>
                <w:rFonts w:ascii="Times New Roman" w:hAnsi="Times New Roman"/>
                <w:noProof/>
                <w:color w:val="231F20"/>
                <w:sz w:val="20"/>
              </w:rPr>
              <w:t xml:space="preserve">. </w:t>
            </w:r>
          </w:p>
          <w:p w:rsidR="00622A92" w:rsidRDefault="00110FC7">
            <w:pPr>
              <w:pStyle w:val="BodyText"/>
              <w:spacing w:before="71"/>
              <w:ind w:left="306" w:right="363"/>
              <w:jc w:val="both"/>
              <w:rPr>
                <w:rFonts w:ascii="Times New Roman" w:eastAsia="EC Square Sans Cond Pro" w:hAnsi="Times New Roman"/>
                <w:noProof/>
                <w:color w:val="231F20"/>
                <w:spacing w:val="-1"/>
                <w:sz w:val="20"/>
                <w:szCs w:val="20"/>
              </w:rPr>
            </w:pPr>
            <w:r>
              <w:rPr>
                <w:rFonts w:ascii="Times New Roman" w:hAnsi="Times New Roman"/>
                <w:noProof/>
                <w:color w:val="231F20"/>
                <w:sz w:val="20"/>
              </w:rPr>
              <w:t xml:space="preserve">Existe um forte consenso quanto à necessidade de intensificar a mobilidade e os intercâmbios, nomeadamente através de um programa Erasmus+ substancialmente mais </w:t>
            </w:r>
            <w:r>
              <w:rPr>
                <w:rFonts w:ascii="Times New Roman" w:hAnsi="Times New Roman"/>
                <w:noProof/>
                <w:sz w:val="20"/>
                <w:u w:color="000000"/>
                <w:bdr w:val="nil"/>
              </w:rPr>
              <w:t>reforçado</w:t>
            </w:r>
            <w:r>
              <w:rPr>
                <w:rFonts w:ascii="Times New Roman" w:hAnsi="Times New Roman"/>
                <w:noProof/>
                <w:color w:val="231F20"/>
                <w:sz w:val="20"/>
              </w:rPr>
              <w:t>, inclusivo e alargado. Em função do nível de ambição, são possíveis vário</w:t>
            </w:r>
            <w:r>
              <w:rPr>
                <w:rFonts w:ascii="Times New Roman" w:hAnsi="Times New Roman"/>
                <w:noProof/>
                <w:color w:val="231F20"/>
                <w:sz w:val="20"/>
              </w:rPr>
              <w:t>s cenários:</w:t>
            </w:r>
          </w:p>
          <w:p w:rsidR="00622A92" w:rsidRDefault="00110FC7">
            <w:pPr>
              <w:pStyle w:val="BodyText"/>
              <w:spacing w:before="71"/>
              <w:ind w:left="306" w:right="363"/>
              <w:jc w:val="both"/>
              <w:rPr>
                <w:rFonts w:ascii="Times New Roman" w:eastAsia="EC Square Sans Cond Pro" w:hAnsi="Times New Roman"/>
                <w:noProof/>
                <w:sz w:val="20"/>
                <w:szCs w:val="20"/>
              </w:rPr>
            </w:pPr>
            <w:r>
              <w:rPr>
                <w:rFonts w:ascii="Times New Roman" w:hAnsi="Times New Roman"/>
                <w:noProof/>
                <w:color w:val="231F20"/>
                <w:sz w:val="20"/>
              </w:rPr>
              <w:t xml:space="preserve">A </w:t>
            </w:r>
            <w:r>
              <w:rPr>
                <w:rFonts w:ascii="Times New Roman" w:hAnsi="Times New Roman"/>
                <w:b/>
                <w:noProof/>
                <w:color w:val="231F20"/>
                <w:sz w:val="20"/>
              </w:rPr>
              <w:t>duplicação do número de jovens</w:t>
            </w:r>
            <w:r>
              <w:rPr>
                <w:rFonts w:ascii="Times New Roman" w:hAnsi="Times New Roman"/>
                <w:noProof/>
                <w:color w:val="231F20"/>
                <w:sz w:val="20"/>
              </w:rPr>
              <w:t xml:space="preserve"> da UE que participam no programa Erasmus+, a fim de atingir 7,5 % dos jovens em toda a Europa, o que obrigaria a um investimento de </w:t>
            </w:r>
            <w:r>
              <w:rPr>
                <w:rFonts w:ascii="Times New Roman" w:hAnsi="Times New Roman"/>
                <w:b/>
                <w:noProof/>
                <w:color w:val="231F20"/>
                <w:sz w:val="20"/>
              </w:rPr>
              <w:t>30 mil milhões de EUR</w:t>
            </w:r>
            <w:r>
              <w:rPr>
                <w:rFonts w:ascii="Times New Roman" w:hAnsi="Times New Roman"/>
                <w:noProof/>
                <w:color w:val="231F20"/>
                <w:sz w:val="20"/>
              </w:rPr>
              <w:t xml:space="preserve"> no próximo quadro financeiro plurianual (ao longo de um p</w:t>
            </w:r>
            <w:r>
              <w:rPr>
                <w:rFonts w:ascii="Times New Roman" w:hAnsi="Times New Roman"/>
                <w:noProof/>
                <w:color w:val="231F20"/>
                <w:sz w:val="20"/>
              </w:rPr>
              <w:t>eríodo de sete anos)</w:t>
            </w:r>
            <w:r>
              <w:rPr>
                <w:rFonts w:ascii="Times New Roman" w:hAnsi="Times New Roman"/>
                <w:noProof/>
                <w:sz w:val="20"/>
                <w:lang w:val="en-GB" w:eastAsia="en-GB" w:bidi="ar-SA"/>
              </w:rPr>
              <mc:AlternateContent>
                <mc:Choice Requires="wps">
                  <w:drawing>
                    <wp:anchor distT="0" distB="0" distL="114300" distR="114300" simplePos="0" relativeHeight="25162393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227DE1D4" id="object 12" o:spid="_x0000_s1026" style="position:absolute;margin-left:3.7pt;margin-top:5.4pt;width:7.1pt;height:7.1pt;z-index:251623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color w:val="231F20"/>
                <w:sz w:val="20"/>
              </w:rPr>
              <w:t>.</w:t>
            </w:r>
          </w:p>
          <w:p w:rsidR="00622A92" w:rsidRDefault="00110FC7">
            <w:pPr>
              <w:pStyle w:val="BodyText"/>
              <w:spacing w:before="71" w:after="120" w:line="242" w:lineRule="auto"/>
              <w:ind w:left="306" w:right="363"/>
              <w:jc w:val="both"/>
              <w:rPr>
                <w:rFonts w:ascii="Times New Roman" w:hAnsi="Times New Roman"/>
                <w:noProof/>
              </w:rPr>
            </w:pPr>
            <w:r>
              <w:rPr>
                <w:rFonts w:ascii="Times New Roman" w:hAnsi="Times New Roman"/>
                <w:noProof/>
                <w:color w:val="231F20"/>
                <w:sz w:val="20"/>
              </w:rPr>
              <w:t xml:space="preserve">Oferecer a </w:t>
            </w:r>
            <w:r>
              <w:rPr>
                <w:rFonts w:ascii="Times New Roman" w:hAnsi="Times New Roman"/>
                <w:b/>
                <w:noProof/>
                <w:color w:val="231F20"/>
                <w:sz w:val="20"/>
              </w:rPr>
              <w:t>um em cada três jovens</w:t>
            </w:r>
            <w:r>
              <w:rPr>
                <w:rFonts w:ascii="Times New Roman" w:hAnsi="Times New Roman"/>
                <w:noProof/>
                <w:color w:val="231F20"/>
                <w:sz w:val="20"/>
              </w:rPr>
              <w:t xml:space="preserve"> a oportunidade de participar numa experiência de aprendizagem no estrangeiro do Erasmus+ exigiria um orçamento de </w:t>
            </w:r>
            <w:r>
              <w:rPr>
                <w:rFonts w:ascii="Times New Roman" w:hAnsi="Times New Roman"/>
                <w:b/>
                <w:noProof/>
                <w:color w:val="231F20"/>
                <w:sz w:val="20"/>
              </w:rPr>
              <w:t>90 mil milhões de EUR</w:t>
            </w:r>
            <w:r>
              <w:rPr>
                <w:rFonts w:ascii="Times New Roman" w:hAnsi="Times New Roman"/>
                <w:noProof/>
                <w:color w:val="231F20"/>
                <w:sz w:val="20"/>
              </w:rPr>
              <w:t xml:space="preserve"> para o período de 2021-2027. </w:t>
            </w:r>
            <w:r>
              <w:rPr>
                <w:rFonts w:ascii="Times New Roman" w:hAnsi="Times New Roman"/>
                <w:noProof/>
                <w:sz w:val="20"/>
                <w:lang w:val="en-GB" w:eastAsia="en-GB" w:bidi="ar-SA"/>
              </w:rPr>
              <mc:AlternateContent>
                <mc:Choice Requires="wps">
                  <w:drawing>
                    <wp:anchor distT="0" distB="0" distL="114300" distR="114300" simplePos="0" relativeHeight="25162188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909913A" id="object 12" o:spid="_x0000_s1026" style="position:absolute;margin-left:3.7pt;margin-top:5.4pt;width:7.1pt;height:7.1pt;z-index:251621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A conectividade avançada das infraestruturas digitais, energéticas e de transportes é fundamental para a coesão territorial, social e económica da Europa. A Europa deve explorar plenamente o potencial da inovação e tirar partido das oportunidades que propo</w:t>
      </w:r>
      <w:r>
        <w:rPr>
          <w:rFonts w:ascii="Times New Roman" w:hAnsi="Times New Roman"/>
          <w:noProof/>
          <w:sz w:val="24"/>
        </w:rPr>
        <w:t>rciona. A evolução tecnológica e a digitalização, em especial, estão a transformar a nossa indústria e a nossa forma de trabalhar, bem como os nossos sistemas de educação e de segurança social. A Europa regista algum atraso no caminho rumo a uma economia e</w:t>
      </w:r>
      <w:r>
        <w:rPr>
          <w:rFonts w:ascii="Times New Roman" w:hAnsi="Times New Roman"/>
          <w:noProof/>
          <w:sz w:val="24"/>
        </w:rPr>
        <w:t xml:space="preserve"> a uma sociedade digitais. O défice de investimento digital não só compromete a capacidade de crescimento e de inovação da Europa como também o seu potencial de resposta às necessidades societais emergentes. O desbloqueio das oportunidades do mundo digital</w:t>
      </w:r>
      <w:r>
        <w:rPr>
          <w:rFonts w:ascii="Times New Roman" w:hAnsi="Times New Roman"/>
          <w:noProof/>
          <w:sz w:val="24"/>
        </w:rPr>
        <w:t xml:space="preserve"> e a realização do </w:t>
      </w:r>
      <w:r>
        <w:rPr>
          <w:rFonts w:ascii="Times New Roman" w:hAnsi="Times New Roman"/>
          <w:b/>
          <w:noProof/>
          <w:sz w:val="24"/>
        </w:rPr>
        <w:t>Mercado Único Digital</w:t>
      </w:r>
      <w:r>
        <w:rPr>
          <w:rFonts w:ascii="Times New Roman" w:hAnsi="Times New Roman"/>
          <w:noProof/>
          <w:sz w:val="24"/>
        </w:rPr>
        <w:t xml:space="preserve"> são uma prioridade fundamental da União.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2905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7197586B" id="Group 34" o:spid="_x0000_s1026" style="position:absolute;margin-left:14.2pt;margin-top:2.25pt;width:45.25pt;height:45.25pt;z-index:2516290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R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">
                      <v:shape id="Freeform 117"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spacing w:before="240" w:after="240"/>
              <w:ind w:left="68"/>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 xml:space="preserve">Qual será a melhor forma de impulsionar </w:t>
            </w:r>
            <w:r>
              <w:rPr>
                <w:rFonts w:ascii="Times New Roman" w:hAnsi="Times New Roman"/>
                <w:b/>
                <w:i/>
                <w:noProof/>
                <w:color w:val="2AA19F"/>
                <w:spacing w:val="-2"/>
                <w:sz w:val="24"/>
              </w:rPr>
              <w:br/>
              <w:t>a transformação digital da Europa?</w:t>
            </w:r>
          </w:p>
        </w:tc>
      </w:tr>
      <w:tr w:rsidR="00622A92">
        <w:trPr>
          <w:cantSplit/>
          <w:trHeight w:val="5343"/>
        </w:trPr>
        <w:tc>
          <w:tcPr>
            <w:tcW w:w="9288" w:type="dxa"/>
            <w:shd w:val="clear" w:color="auto" w:fill="CBE7E5"/>
          </w:tcPr>
          <w:p w:rsidR="00622A92" w:rsidRDefault="00110FC7">
            <w:pPr>
              <w:pStyle w:val="BodyText"/>
              <w:tabs>
                <w:tab w:val="left" w:pos="8364"/>
              </w:tabs>
              <w:spacing w:before="71"/>
              <w:ind w:left="306" w:right="283"/>
              <w:jc w:val="both"/>
              <w:rPr>
                <w:rFonts w:ascii="Times New Roman" w:eastAsia="EC Square Sans Cond Pro" w:hAnsi="Times New Roman"/>
                <w:noProof/>
                <w:color w:val="231F20"/>
                <w:spacing w:val="-1"/>
                <w:sz w:val="20"/>
                <w:szCs w:val="20"/>
              </w:rPr>
            </w:pPr>
            <w:r>
              <w:rPr>
                <w:rFonts w:ascii="Times New Roman" w:hAnsi="Times New Roman"/>
                <w:noProof/>
                <w:color w:val="000000"/>
                <w:sz w:val="20"/>
              </w:rPr>
              <w:t xml:space="preserve">O apoio da UE às infraestruturas de dados da Europa, à </w:t>
            </w:r>
            <w:r>
              <w:rPr>
                <w:rFonts w:ascii="Times New Roman" w:hAnsi="Times New Roman"/>
                <w:noProof/>
                <w:color w:val="000000"/>
                <w:sz w:val="20"/>
              </w:rPr>
              <w:t>conectividade e às competências digitais ascende a cerca de 35 mil milhões de EUR</w:t>
            </w:r>
            <w:r>
              <w:rPr>
                <w:rFonts w:ascii="Times New Roman" w:hAnsi="Times New Roman"/>
                <w:noProof/>
                <w:color w:val="231F20"/>
                <w:spacing w:val="-2"/>
                <w:sz w:val="20"/>
              </w:rPr>
              <w:t xml:space="preserve"> </w:t>
            </w:r>
            <w:r>
              <w:rPr>
                <w:rFonts w:ascii="Times New Roman" w:hAnsi="Times New Roman"/>
                <w:noProof/>
                <w:color w:val="000000"/>
                <w:sz w:val="20"/>
              </w:rPr>
              <w:t>durante o período de sete anos. Este apoio é prestado através do Fundo Europeu de Desenvolvimento Regional (17 mil milhões de EUR), do Programa-Quadro de Investigação e Inova</w:t>
            </w:r>
            <w:r>
              <w:rPr>
                <w:rFonts w:ascii="Times New Roman" w:hAnsi="Times New Roman"/>
                <w:noProof/>
                <w:color w:val="000000"/>
                <w:sz w:val="20"/>
              </w:rPr>
              <w:t xml:space="preserve">ção (13 mil milhões de EUR), do Fundo Social Europeu (2,3 mil milhões de EUR), do Mecanismo Interligar a Europa (mil milhões de EUR) e do Programa Europa Criativa (mil milhões de EUR). </w:t>
            </w:r>
          </w:p>
          <w:p w:rsidR="00622A92" w:rsidRDefault="00110FC7">
            <w:pPr>
              <w:pStyle w:val="BodyText"/>
              <w:tabs>
                <w:tab w:val="left" w:pos="8364"/>
              </w:tabs>
              <w:spacing w:before="71" w:line="242" w:lineRule="auto"/>
              <w:ind w:left="305" w:right="283"/>
              <w:jc w:val="both"/>
              <w:rPr>
                <w:rFonts w:ascii="Times New Roman" w:eastAsia="EC Square Sans Cond Pro" w:hAnsi="Times New Roman"/>
                <w:noProof/>
                <w:sz w:val="20"/>
                <w:szCs w:val="20"/>
              </w:rPr>
            </w:pPr>
            <w:r>
              <w:rPr>
                <w:rFonts w:ascii="Times New Roman" w:hAnsi="Times New Roman"/>
                <w:b/>
                <w:noProof/>
                <w:color w:val="000000"/>
                <w:sz w:val="20"/>
              </w:rPr>
              <w:t>Manter ou mesmo reduzir os atuais níveis de investimento</w:t>
            </w:r>
            <w:r>
              <w:rPr>
                <w:rFonts w:ascii="Times New Roman" w:hAnsi="Times New Roman"/>
                <w:noProof/>
                <w:color w:val="000000"/>
                <w:sz w:val="20"/>
              </w:rPr>
              <w:t xml:space="preserve"> poderia pôr e</w:t>
            </w:r>
            <w:r>
              <w:rPr>
                <w:rFonts w:ascii="Times New Roman" w:hAnsi="Times New Roman"/>
                <w:noProof/>
                <w:color w:val="000000"/>
                <w:sz w:val="20"/>
              </w:rPr>
              <w:t>m causa a capacidade da União Europeia para manter a sua competitividade em setores industriais e de serviços essenciais como a produção industrial e maquinaria, os serviços financeiros, os cuidados de saúde, os transportes, a energia ou a indústria automó</w:t>
            </w:r>
            <w:r>
              <w:rPr>
                <w:rFonts w:ascii="Times New Roman" w:hAnsi="Times New Roman"/>
                <w:noProof/>
                <w:color w:val="000000"/>
                <w:sz w:val="20"/>
              </w:rPr>
              <w:t xml:space="preserve">vel. O subinvestimento em competências digitais alargaria ainda mais o fosso entre a procura e as competências disponíveis, ao mesmo tempo que a automatização irá substituindo as tarefas tradicionais. </w:t>
            </w:r>
            <w:r>
              <w:rPr>
                <w:rFonts w:ascii="Times New Roman" w:hAnsi="Times New Roman"/>
                <w:noProof/>
                <w:sz w:val="20"/>
                <w:szCs w:val="20"/>
                <w:lang w:val="en-GB" w:eastAsia="en-GB" w:bidi="ar-SA"/>
              </w:rPr>
              <mc:AlternateContent>
                <mc:Choice Requires="wps">
                  <w:drawing>
                    <wp:anchor distT="0" distB="0" distL="114300" distR="114300" simplePos="0" relativeHeight="25164441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B9C089A" id="object 12" o:spid="_x0000_s1026" style="position:absolute;margin-left:3.7pt;margin-top:5.4pt;width:7.1pt;height:7.1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rPr>
              <w:t xml:space="preserve">Traduzir-se-ia em menores perspetivas de crescimento, </w:t>
            </w:r>
            <w:r>
              <w:rPr>
                <w:rFonts w:ascii="Times New Roman" w:hAnsi="Times New Roman"/>
                <w:noProof/>
                <w:color w:val="000000"/>
                <w:sz w:val="20"/>
              </w:rPr>
              <w:t>de emprego e em serviços públicos de baixa qualidade e mais vulneráveis às ameaças de cibersegurança.</w:t>
            </w:r>
          </w:p>
          <w:p w:rsidR="00622A92" w:rsidRDefault="00110FC7">
            <w:pPr>
              <w:pStyle w:val="BodyText"/>
              <w:tabs>
                <w:tab w:val="left" w:pos="8364"/>
              </w:tabs>
              <w:spacing w:before="71" w:after="120" w:line="242" w:lineRule="auto"/>
              <w:ind w:left="306" w:right="283"/>
              <w:jc w:val="both"/>
              <w:rPr>
                <w:rFonts w:ascii="Times New Roman" w:hAnsi="Times New Roman"/>
                <w:noProof/>
              </w:rPr>
            </w:pPr>
            <w:r>
              <w:rPr>
                <w:rFonts w:ascii="Times New Roman" w:hAnsi="Times New Roman"/>
                <w:b/>
                <w:noProof/>
                <w:sz w:val="20"/>
                <w:szCs w:val="20"/>
                <w:lang w:val="en-GB" w:eastAsia="en-GB" w:bidi="ar-SA"/>
              </w:rPr>
              <mc:AlternateContent>
                <mc:Choice Requires="wps">
                  <w:drawing>
                    <wp:anchor distT="0" distB="0" distL="114300" distR="114300" simplePos="0" relativeHeight="25163827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5E510D30" id="object 12" o:spid="_x0000_s1026" style="position:absolute;margin-left:3.7pt;margin-top:5.4pt;width:7.1pt;height:7.1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val="en-GB" w:eastAsia="en-GB" w:bidi="ar-SA"/>
              </w:rPr>
              <mc:AlternateContent>
                <mc:Choice Requires="wps">
                  <w:drawing>
                    <wp:anchor distT="0" distB="0" distL="114300" distR="114300" simplePos="0" relativeHeight="25163520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6D604D56" id="object 12" o:spid="_x0000_s1026" style="position:absolute;margin-left:3.7pt;margin-top:5.4pt;width:7.1pt;height:7.1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rPr>
              <w:t>A duplicação dos montantes atualmente investidos na economia digital para cerca de 70 mil milhões de EUR</w:t>
            </w:r>
            <w:r>
              <w:rPr>
                <w:rFonts w:ascii="Times New Roman" w:hAnsi="Times New Roman"/>
                <w:noProof/>
                <w:sz w:val="20"/>
              </w:rPr>
              <w:t xml:space="preserve"> para o período de 2021-2027 permitiria obter im</w:t>
            </w:r>
            <w:r>
              <w:rPr>
                <w:rFonts w:ascii="Times New Roman" w:hAnsi="Times New Roman"/>
                <w:noProof/>
                <w:sz w:val="20"/>
              </w:rPr>
              <w:t>portantes progressos rumo a um crescimento inteligente em domínios como as infraestruturas de dados de alta qualidade, a conectividade e a cibersegurança. Permitiria a implantação de novos serviços fiáveis e seguros no domínio da saúde em linha, da adminis</w:t>
            </w:r>
            <w:r>
              <w:rPr>
                <w:rFonts w:ascii="Times New Roman" w:hAnsi="Times New Roman"/>
                <w:noProof/>
                <w:sz w:val="20"/>
              </w:rPr>
              <w:t>tração pública em linha ou da mobilidade. Contribuiria para garantir a liderança europeia em domínios como a supercomputação, a Internet da próxima geração, a inteligência artificial, a robótica e o tratamento de grandes volumes de dados, reforçando a posi</w:t>
            </w:r>
            <w:r>
              <w:rPr>
                <w:rFonts w:ascii="Times New Roman" w:hAnsi="Times New Roman"/>
                <w:noProof/>
                <w:sz w:val="20"/>
              </w:rPr>
              <w:t xml:space="preserve">ção competitiva da indústria e das empresas europeias na economia digital. Teria igualmente um impacto significativo na redução dos défices de competências em toda a União. </w:t>
            </w:r>
          </w:p>
        </w:tc>
      </w:tr>
    </w:tbl>
    <w:p w:rsidR="00622A92" w:rsidRDefault="00622A92">
      <w:pPr>
        <w:spacing w:after="0" w:line="240" w:lineRule="auto"/>
        <w:jc w:val="both"/>
        <w:rPr>
          <w:rFonts w:ascii="Times New Roman" w:eastAsia="Calibri" w:hAnsi="Times New Roman" w:cs="Times New Roman"/>
          <w:noProof/>
          <w:sz w:val="24"/>
          <w:szCs w:val="24"/>
        </w:rPr>
      </w:pP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O orçamento da UE proporciona uma plataforma de lançamento para os investigadores e as respetivas equipas de investigação e estimula a inovação. A Europa deve ajudar a criar condições para que as empresas possam crescer. O crescimento de empresas de média </w:t>
      </w:r>
      <w:r>
        <w:rPr>
          <w:rFonts w:ascii="Times New Roman" w:hAnsi="Times New Roman"/>
          <w:noProof/>
          <w:sz w:val="24"/>
        </w:rPr>
        <w:t xml:space="preserve">capitalização e das pequenas e médias empresas para além da fase de arranque continua a ser um desafio. Muitos empresários deixam a Europa em busca de melhores condições de crescimento. A </w:t>
      </w:r>
      <w:r>
        <w:rPr>
          <w:rFonts w:ascii="Times New Roman" w:hAnsi="Times New Roman"/>
          <w:b/>
          <w:noProof/>
          <w:sz w:val="24"/>
        </w:rPr>
        <w:t>investigação e a inovação</w:t>
      </w:r>
      <w:r>
        <w:rPr>
          <w:rFonts w:ascii="Times New Roman" w:hAnsi="Times New Roman"/>
          <w:noProof/>
          <w:sz w:val="24"/>
        </w:rPr>
        <w:t xml:space="preserve"> são fundamentais para o nosso futuro. Repr</w:t>
      </w:r>
      <w:r>
        <w:rPr>
          <w:rFonts w:ascii="Times New Roman" w:hAnsi="Times New Roman"/>
          <w:noProof/>
          <w:sz w:val="24"/>
        </w:rPr>
        <w:t xml:space="preserve">esentam a única forma de enfrentar simultaneamente e de forma sustentável o baixo crescimento económico, a fraca criação de emprego e os desafios globais em áreas como a saúde e a segurança, a alimentação ou os oceanos, o clima e a energia.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47488"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67854301" id="Group 34" o:spid="_x0000_s1026" style="position:absolute;margin-left:14.2pt;margin-top:2.25pt;width:45.25pt;height:45.25pt;z-index:25164748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Cw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Nq3aBr8GgAA&#10;vbIAAA4AAAAAAAAAAAAAAAAALgIAAGRycy9lMm9Eb2MueG1sUEsBAi0AFAAGAAgAAAAhANS9oUfe&#10;AAAABwEAAA8AAAAAAAAAAAAAAAAAVh0AAGRycy9kb3ducmV2LnhtbFBLBQYAAAAABAAEAPMAAABh&#10;HgAAAAA=&#10;">
                      <v:shape id="Freeform 135"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w:t>
            </w:r>
            <w:r>
              <w:rPr>
                <w:rFonts w:ascii="Times New Roman" w:hAnsi="Times New Roman"/>
                <w:b/>
                <w:noProof/>
                <w:color w:val="FFFFFF"/>
                <w:spacing w:val="4"/>
                <w:sz w:val="24"/>
              </w:rPr>
              <w:t xml:space="preserve"> FUTURO QUADRO FINANCEIRO</w:t>
            </w:r>
          </w:p>
        </w:tc>
      </w:tr>
      <w:tr w:rsidR="00622A92">
        <w:trPr>
          <w:trHeight w:val="794"/>
        </w:trPr>
        <w:tc>
          <w:tcPr>
            <w:tcW w:w="9288" w:type="dxa"/>
            <w:shd w:val="clear" w:color="auto" w:fill="CBE7E5"/>
            <w:vAlign w:val="center"/>
          </w:tcPr>
          <w:p w:rsidR="00622A92" w:rsidRDefault="00110FC7">
            <w:pPr>
              <w:keepNext/>
              <w:ind w:left="70"/>
              <w:jc w:val="center"/>
              <w:rPr>
                <w:rFonts w:ascii="Times New Roman" w:eastAsia="SimSun" w:hAnsi="Times New Roman"/>
                <w:b/>
                <w:i/>
                <w:noProof/>
                <w:color w:val="2AA19F"/>
                <w:sz w:val="24"/>
                <w:szCs w:val="24"/>
              </w:rPr>
            </w:pPr>
            <w:r>
              <w:rPr>
                <w:rFonts w:ascii="Times New Roman" w:hAnsi="Times New Roman"/>
                <w:b/>
                <w:i/>
                <w:noProof/>
                <w:color w:val="2AA19F"/>
                <w:sz w:val="24"/>
              </w:rPr>
              <w:t>Qual será a melhor forma de estimular a competitividade</w:t>
            </w:r>
            <w:r>
              <w:rPr>
                <w:rFonts w:ascii="Times New Roman" w:hAnsi="Times New Roman"/>
                <w:b/>
                <w:i/>
                <w:noProof/>
                <w:color w:val="2AA19F"/>
                <w:sz w:val="24"/>
              </w:rPr>
              <w:br/>
              <w:t>através da investigação e inovação?</w:t>
            </w:r>
          </w:p>
        </w:tc>
      </w:tr>
      <w:tr w:rsidR="00622A92">
        <w:trPr>
          <w:cantSplit/>
          <w:trHeight w:val="6021"/>
        </w:trPr>
        <w:tc>
          <w:tcPr>
            <w:tcW w:w="9288" w:type="dxa"/>
            <w:shd w:val="clear" w:color="auto" w:fill="CBE7E5"/>
          </w:tcPr>
          <w:p w:rsidR="00622A92" w:rsidRDefault="00110FC7">
            <w:pPr>
              <w:pStyle w:val="BodyText"/>
              <w:spacing w:before="120"/>
              <w:ind w:left="306" w:right="363"/>
              <w:jc w:val="both"/>
              <w:rPr>
                <w:rFonts w:ascii="Times New Roman" w:hAnsi="Times New Roman"/>
                <w:noProof/>
                <w:color w:val="231F20"/>
                <w:spacing w:val="-1"/>
                <w:sz w:val="20"/>
                <w:szCs w:val="20"/>
              </w:rPr>
            </w:pPr>
            <w:r>
              <w:rPr>
                <w:rFonts w:ascii="Times New Roman" w:hAnsi="Times New Roman"/>
                <w:noProof/>
                <w:sz w:val="20"/>
              </w:rPr>
              <w:t xml:space="preserve">Nas economias mais desenvolvidas, como a europeia, a investigação e a inovação fazem a diferença na melhoria da produtividade e da competitividade. </w:t>
            </w:r>
            <w:r>
              <w:rPr>
                <w:rFonts w:ascii="Times New Roman" w:hAnsi="Times New Roman"/>
                <w:noProof/>
                <w:color w:val="000000"/>
                <w:sz w:val="20"/>
              </w:rPr>
              <w:t>O futuro orçamento da UE deve, por conseguinte, possibilitar que a UE invista em motores</w:t>
            </w:r>
            <w:r>
              <w:rPr>
                <w:rFonts w:ascii="Times New Roman" w:hAnsi="Times New Roman"/>
                <w:noProof/>
                <w:color w:val="231F20"/>
                <w:spacing w:val="-1"/>
                <w:sz w:val="20"/>
              </w:rPr>
              <w:t xml:space="preserve"> da inovação que per</w:t>
            </w:r>
            <w:r>
              <w:rPr>
                <w:rFonts w:ascii="Times New Roman" w:hAnsi="Times New Roman"/>
                <w:noProof/>
                <w:color w:val="231F20"/>
                <w:spacing w:val="-1"/>
                <w:sz w:val="20"/>
              </w:rPr>
              <w:t>mitam à indústria europeia crescer e prosperar. A União Europeia consagra atualmente cerca de 80 mil milhões de EUR ao Programa-Quadro de Investigação e Inovação Horizonte 2020, para o período 2014-2020. Qual deverá ser o futuro orçamento para a investigaç</w:t>
            </w:r>
            <w:r>
              <w:rPr>
                <w:rFonts w:ascii="Times New Roman" w:hAnsi="Times New Roman"/>
                <w:noProof/>
                <w:color w:val="231F20"/>
                <w:spacing w:val="-1"/>
                <w:sz w:val="20"/>
              </w:rPr>
              <w:t>ão?</w:t>
            </w:r>
          </w:p>
          <w:p w:rsidR="00622A92" w:rsidRDefault="00110FC7">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b/>
                <w:noProof/>
                <w:color w:val="000000"/>
                <w:sz w:val="20"/>
              </w:rPr>
              <w:t>Manter ou mesmo reduzir os atuais níveis de investimento</w:t>
            </w:r>
            <w:r>
              <w:rPr>
                <w:rFonts w:ascii="Times New Roman" w:hAnsi="Times New Roman"/>
                <w:noProof/>
                <w:color w:val="000000"/>
                <w:sz w:val="20"/>
              </w:rPr>
              <w:t xml:space="preserve"> </w:t>
            </w:r>
            <w:r>
              <w:rPr>
                <w:rFonts w:ascii="Times New Roman" w:hAnsi="Times New Roman"/>
                <w:b/>
                <w:noProof/>
                <w:sz w:val="20"/>
                <w:szCs w:val="20"/>
                <w:lang w:val="en-GB" w:eastAsia="en-GB" w:bidi="ar-SA"/>
              </w:rPr>
              <mc:AlternateContent>
                <mc:Choice Requires="wps">
                  <w:drawing>
                    <wp:anchor distT="0" distB="0" distL="114300" distR="114300" simplePos="0" relativeHeight="25163212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124A3EE" id="object 12" o:spid="_x0000_s1026" style="position:absolute;margin-left:3.7pt;margin-top:5.4pt;width:7.1pt;height:7.1pt;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rPr>
              <w:t>não resolveria o problema do financiamento insuficiente. Essa atitude teria repercussões a nível dos investimentos nacionais e privados e comprometeria os esforços envidados para atingir o objet</w:t>
            </w:r>
            <w:r>
              <w:rPr>
                <w:rFonts w:ascii="Times New Roman" w:hAnsi="Times New Roman"/>
                <w:noProof/>
                <w:color w:val="000000"/>
                <w:sz w:val="20"/>
              </w:rPr>
              <w:t xml:space="preserve">ivo fixado na estratégia Europa 2020, no sentido de investir 3 % do PIB em investigação e desenvolvimento. A União ficará ainda mais aquém das potências líderes mundiais. O apoio da investigação a outras políticas da UE seria reduzido. </w:t>
            </w:r>
          </w:p>
          <w:p w:rsidR="00622A92" w:rsidRDefault="00110FC7">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4134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047C88B" id="object 12" o:spid="_x0000_s1026" style="position:absolute;margin-left:3.7pt;margin-top:5.4pt;width:7.1pt;height:7.1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val="en-GB" w:eastAsia="en-GB" w:bidi="ar-SA"/>
              </w:rPr>
              <mc:AlternateContent>
                <mc:Choice Requires="wps">
                  <w:drawing>
                    <wp:anchor distT="0" distB="0" distL="114300" distR="114300" simplePos="0" relativeHeight="25168435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9A025C8" id="object 12" o:spid="_x0000_s1026" style="position:absolute;margin-left:3.7pt;margin-top:5.4pt;width:7.1pt;height:7.1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rPr>
              <w:t>Um aumento do orç</w:t>
            </w:r>
            <w:r>
              <w:rPr>
                <w:rFonts w:ascii="Times New Roman" w:hAnsi="Times New Roman"/>
                <w:b/>
                <w:noProof/>
                <w:sz w:val="20"/>
              </w:rPr>
              <w:t>amento do programa-quadro em 50 %, para 120 mil milhões de EUR</w:t>
            </w:r>
            <w:r>
              <w:rPr>
                <w:rFonts w:ascii="Times New Roman" w:hAnsi="Times New Roman"/>
                <w:noProof/>
                <w:sz w:val="20"/>
              </w:rPr>
              <w:t xml:space="preserve"> geraria cerca de 420 000 postos de trabalho adicionais até 2040 e aumentaria o Produto Interno Bruto em cerca de 0,33 % no mesmo período, dando continuidade à tendência de crescimento dos últim</w:t>
            </w:r>
            <w:r>
              <w:rPr>
                <w:rFonts w:ascii="Times New Roman" w:hAnsi="Times New Roman"/>
                <w:noProof/>
                <w:sz w:val="20"/>
              </w:rPr>
              <w:t>os orçamentos de investigação e inovação da UE e assegurando o financiamento de um número aceitável de propostas de elevada qualidade. Aumentaria a atratividade da União à escala mundial para investigadores de renome e colmataria as deficiências verificada</w:t>
            </w:r>
            <w:r>
              <w:rPr>
                <w:rFonts w:ascii="Times New Roman" w:hAnsi="Times New Roman"/>
                <w:noProof/>
                <w:sz w:val="20"/>
              </w:rPr>
              <w:t xml:space="preserve">s na inovação e nas oportunidades de expansão. Apoiaria os progressos em prioridades como os serviços digitais, a energia, as alterações climáticas e a saúde. </w:t>
            </w:r>
          </w:p>
          <w:p w:rsidR="00622A92" w:rsidRDefault="00110FC7">
            <w:pPr>
              <w:pStyle w:val="BodyText"/>
              <w:spacing w:before="71" w:line="242" w:lineRule="auto"/>
              <w:ind w:left="305" w:right="363"/>
              <w:jc w:val="both"/>
              <w:rPr>
                <w:rFonts w:ascii="Times New Roman" w:eastAsia="EC Square Sans Cond Pro" w:hAnsi="Times New Roman"/>
                <w:noProof/>
                <w:sz w:val="20"/>
                <w:szCs w:val="20"/>
              </w:rPr>
            </w:pPr>
            <w:r>
              <w:rPr>
                <w:rFonts w:ascii="Times New Roman" w:hAnsi="Times New Roman"/>
                <w:b/>
                <w:noProof/>
                <w:sz w:val="20"/>
              </w:rPr>
              <w:t>A duplicação do orçamento do programa-quadro para 160 mil milhões de EUR</w:t>
            </w:r>
            <w:r>
              <w:rPr>
                <w:rFonts w:ascii="Times New Roman" w:hAnsi="Times New Roman"/>
                <w:noProof/>
                <w:sz w:val="20"/>
              </w:rPr>
              <w:t xml:space="preserve"> geraria cerca de 650 00</w:t>
            </w:r>
            <w:r>
              <w:rPr>
                <w:rFonts w:ascii="Times New Roman" w:hAnsi="Times New Roman"/>
                <w:noProof/>
                <w:sz w:val="20"/>
              </w:rPr>
              <w:t xml:space="preserve">0 postos de trabalho até 2040 e aumentaria o Produto Interno Bruto em cerca de 0,46 % no mesmo período. </w:t>
            </w:r>
            <w:r>
              <w:rPr>
                <w:rFonts w:ascii="Times New Roman" w:hAnsi="Times New Roman"/>
                <w:noProof/>
                <w:sz w:val="20"/>
                <w:szCs w:val="20"/>
                <w:lang w:val="en-GB" w:eastAsia="en-GB" w:bidi="ar-SA"/>
              </w:rPr>
              <mc:AlternateContent>
                <mc:Choice Requires="wps">
                  <w:drawing>
                    <wp:anchor distT="0" distB="0" distL="114300" distR="114300" simplePos="0" relativeHeight="25168128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09998621" id="object 12" o:spid="_x0000_s1026" style="position:absolute;margin-left:3.7pt;margin-top:5.4pt;width:7.1pt;height:7.1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rPr>
              <w:t>Permitiria que a UE emergisse como líder mundial em iniciativas de larga escala, preparando a plena implantação no mercado de soluções em áreas como as</w:t>
            </w:r>
            <w:r>
              <w:rPr>
                <w:rFonts w:ascii="Times New Roman" w:hAnsi="Times New Roman"/>
                <w:noProof/>
                <w:sz w:val="20"/>
              </w:rPr>
              <w:t xml:space="preserve"> baterias, as doenças infecciosas, os edifícios e veículos inteligentes e não poluentes, as tecnologias de descarbonização, a economia circular, as soluções para os resíduos de plástico e os veículos conectados/automatizados. </w:t>
            </w: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Com a economia a crescer a um ritmo superior a 2 % ao ano, estamos agora a deixar para trás a pior crise económica e financeira da UE. A </w:t>
      </w:r>
      <w:r>
        <w:rPr>
          <w:rFonts w:ascii="Times New Roman" w:hAnsi="Times New Roman"/>
          <w:b/>
          <w:noProof/>
          <w:sz w:val="24"/>
        </w:rPr>
        <w:t>área do euro</w:t>
      </w:r>
      <w:r>
        <w:rPr>
          <w:rFonts w:ascii="Times New Roman" w:hAnsi="Times New Roman"/>
          <w:noProof/>
          <w:sz w:val="24"/>
        </w:rPr>
        <w:t xml:space="preserve"> foi alargada a 19 Estados-Membros e o euro é a segunda moeda mais utilizada em todo o mundo. À exceção de </w:t>
      </w:r>
      <w:r>
        <w:rPr>
          <w:rFonts w:ascii="Times New Roman" w:hAnsi="Times New Roman"/>
          <w:noProof/>
          <w:sz w:val="24"/>
        </w:rPr>
        <w:t>um, todos os Estados-Membros da UE-27 assumiram o compromisso legal de aderir à área do euro. Os mercados financeiros recuperaram a solidez que se verificava antes da crise e os desenvolvimentos recentes, incluindo a criação da União Bancária e dos Mercado</w:t>
      </w:r>
      <w:r>
        <w:rPr>
          <w:rFonts w:ascii="Times New Roman" w:hAnsi="Times New Roman"/>
          <w:noProof/>
          <w:sz w:val="24"/>
        </w:rPr>
        <w:t xml:space="preserve">s de Capitais, dão-nos a oportunidade de «aproveitar os dias de sol para consertar o telhado».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57728" behindDoc="0" locked="0" layoutInCell="1" allowOverlap="1">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v="urn:schemas-microsoft-com:vml" id="Group 34" o:spid="_x0000_s1026" style="position:absolute;margin-left:13.75pt;margin-top:2.1pt;width:45.25pt;height:45.25pt;z-index:25165772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794"/>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Como poderá o orçamento da UE estar na base </w:t>
            </w:r>
            <w:r>
              <w:rPr>
                <w:rFonts w:ascii="Times New Roman" w:hAnsi="Times New Roman"/>
                <w:b/>
                <w:i/>
                <w:noProof/>
                <w:color w:val="2AA19F"/>
                <w:spacing w:val="-2"/>
                <w:sz w:val="24"/>
              </w:rPr>
              <w:br/>
              <w:t>de uma verdadeira União Económica e Monetária?</w:t>
            </w:r>
          </w:p>
        </w:tc>
      </w:tr>
      <w:tr w:rsidR="00622A92">
        <w:trPr>
          <w:cantSplit/>
          <w:trHeight w:val="5737"/>
        </w:trPr>
        <w:tc>
          <w:tcPr>
            <w:tcW w:w="9288" w:type="dxa"/>
            <w:shd w:val="clear" w:color="auto" w:fill="CBE7E5"/>
          </w:tcPr>
          <w:p w:rsidR="00622A92" w:rsidRDefault="00110FC7">
            <w:pPr>
              <w:pStyle w:val="BodyText"/>
              <w:spacing w:before="120"/>
              <w:ind w:left="306" w:right="363"/>
              <w:jc w:val="both"/>
              <w:rPr>
                <w:rFonts w:ascii="Times New Roman" w:eastAsia="Times New Roman" w:hAnsi="Times New Roman"/>
                <w:noProof/>
                <w:sz w:val="20"/>
                <w:szCs w:val="20"/>
              </w:rPr>
            </w:pPr>
            <w:r>
              <w:rPr>
                <w:rFonts w:ascii="Times New Roman" w:hAnsi="Times New Roman"/>
                <w:noProof/>
                <w:sz w:val="20"/>
              </w:rPr>
              <w:t xml:space="preserve">Em dezembro de 2017, a Comissão definiu uma visão sobre o modo como </w:t>
            </w:r>
            <w:r>
              <w:rPr>
                <w:rFonts w:ascii="Times New Roman" w:hAnsi="Times New Roman"/>
                <w:b/>
                <w:noProof/>
                <w:sz w:val="20"/>
              </w:rPr>
              <w:t>a área do euro e a União Europeia no seu conjunto podem ser reforçados através do orçamento da UE</w:t>
            </w:r>
            <w:r>
              <w:rPr>
                <w:rFonts w:ascii="Times New Roman" w:hAnsi="Times New Roman"/>
                <w:noProof/>
                <w:sz w:val="20"/>
              </w:rPr>
              <w:t xml:space="preserve"> – tanto no presente como no futuro. Foram apresentadas quatro funções específicas: apoiar </w:t>
            </w:r>
            <w:r>
              <w:rPr>
                <w:rFonts w:ascii="Times New Roman" w:hAnsi="Times New Roman"/>
                <w:noProof/>
                <w:sz w:val="20"/>
              </w:rPr>
              <w:t>as reformas estruturais a nível nacional; facilitar a convergência dos Estados-Membros na perspetiva da sua adesão ao euro. assegurar um mecanismo de proteção para a União Bancária; e desenvolver uma função de estabilização, que reunirá diferentes fundos e</w:t>
            </w:r>
            <w:r>
              <w:rPr>
                <w:rFonts w:ascii="Times New Roman" w:hAnsi="Times New Roman"/>
                <w:noProof/>
                <w:sz w:val="20"/>
              </w:rPr>
              <w:t xml:space="preserve"> instrumentos a nível da UE e da área do euro, destinada a ajudar a manter os </w:t>
            </w:r>
            <w:r>
              <w:rPr>
                <w:rFonts w:ascii="Times New Roman" w:hAnsi="Times New Roman"/>
                <w:noProof/>
                <w:color w:val="000000"/>
                <w:sz w:val="20"/>
              </w:rPr>
              <w:t>níveis</w:t>
            </w:r>
            <w:r>
              <w:rPr>
                <w:rFonts w:ascii="Times New Roman" w:hAnsi="Times New Roman"/>
                <w:noProof/>
                <w:sz w:val="20"/>
              </w:rPr>
              <w:t xml:space="preserve"> de investimento em caso de grandes choques assimétricos. Estas funções exigem uma nova abordagem, que vai para além dos condicionalismos do atual orçamento da UE. Esse obj</w:t>
            </w:r>
            <w:r>
              <w:rPr>
                <w:rFonts w:ascii="Times New Roman" w:hAnsi="Times New Roman"/>
                <w:noProof/>
                <w:sz w:val="20"/>
              </w:rPr>
              <w:t xml:space="preserve">etivo poderá ser alcançado, por exemplo, através da criação de sinergias com o Banco Europeu de Investimento e com o futuro Fundo Monetário Europeu. No entanto, o nosso orçamento pós-2020 terá igualmente um papel a desempenhar: </w:t>
            </w:r>
          </w:p>
          <w:p w:rsidR="00622A92" w:rsidRDefault="00110FC7">
            <w:pPr>
              <w:pStyle w:val="BodyText"/>
              <w:spacing w:before="71" w:line="242" w:lineRule="auto"/>
              <w:ind w:left="305" w:right="363"/>
              <w:jc w:val="both"/>
              <w:rPr>
                <w:rFonts w:ascii="Times New Roman" w:hAnsi="Times New Roman"/>
                <w:noProof/>
                <w:color w:val="231F20"/>
                <w:spacing w:val="-2"/>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660800" behindDoc="0" locked="0" layoutInCell="1" allowOverlap="1">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DFB2FD8" id="object 12" o:spid="_x0000_s1026" style="position:absolute;margin-left:3.7pt;margin-top:6.55pt;width:7.1pt;height:7.1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O instrumento de execução das reformas e o mecanismo de convergência devem ser capazes de facultar um </w:t>
            </w:r>
            <w:r>
              <w:rPr>
                <w:rFonts w:ascii="Times New Roman" w:hAnsi="Times New Roman"/>
                <w:b/>
                <w:noProof/>
                <w:color w:val="231F20"/>
                <w:sz w:val="20"/>
              </w:rPr>
              <w:t>forte apoio e incentivo a um vasto leque de reformas em todos os Estados-Membros</w:t>
            </w:r>
            <w:r>
              <w:rPr>
                <w:rFonts w:ascii="Times New Roman" w:hAnsi="Times New Roman"/>
                <w:noProof/>
                <w:color w:val="231F20"/>
                <w:sz w:val="20"/>
              </w:rPr>
              <w:t xml:space="preserve">. Uma rubrica orçamental de pelo menos </w:t>
            </w:r>
            <w:r>
              <w:rPr>
                <w:rFonts w:ascii="Times New Roman" w:hAnsi="Times New Roman"/>
                <w:b/>
                <w:noProof/>
                <w:color w:val="231F20"/>
                <w:sz w:val="20"/>
              </w:rPr>
              <w:t>25 mil milhões de EUR</w:t>
            </w:r>
            <w:r>
              <w:rPr>
                <w:rFonts w:ascii="Times New Roman" w:hAnsi="Times New Roman"/>
                <w:noProof/>
                <w:color w:val="231F20"/>
                <w:sz w:val="20"/>
              </w:rPr>
              <w:t xml:space="preserve"> para um perío</w:t>
            </w:r>
            <w:r>
              <w:rPr>
                <w:rFonts w:ascii="Times New Roman" w:hAnsi="Times New Roman"/>
                <w:noProof/>
                <w:color w:val="231F20"/>
                <w:sz w:val="20"/>
              </w:rPr>
              <w:t>do de sete anos proporcionaria uma massa crítica e contribuiria para evitar uma concentração do financiamento em apenas alguns Estados-Membros.</w:t>
            </w:r>
          </w:p>
          <w:p w:rsidR="00622A92" w:rsidRDefault="00110FC7">
            <w:pPr>
              <w:pStyle w:val="BodyText"/>
              <w:spacing w:before="71" w:line="242" w:lineRule="auto"/>
              <w:ind w:left="305" w:right="363"/>
              <w:jc w:val="both"/>
              <w:rPr>
                <w:rFonts w:ascii="Times New Roman" w:hAnsi="Times New Roman"/>
                <w:noProof/>
                <w:color w:val="231F20"/>
                <w:spacing w:val="-2"/>
                <w:sz w:val="20"/>
                <w:szCs w:val="20"/>
              </w:rPr>
            </w:pPr>
            <w:r>
              <w:rPr>
                <w:rFonts w:ascii="Times New Roman" w:hAnsi="Times New Roman"/>
                <w:noProof/>
                <w:color w:val="231F20"/>
                <w:sz w:val="20"/>
              </w:rPr>
              <w:t xml:space="preserve">A </w:t>
            </w:r>
            <w:r>
              <w:rPr>
                <w:rFonts w:ascii="Times New Roman" w:hAnsi="Times New Roman"/>
                <w:b/>
                <w:noProof/>
                <w:color w:val="231F20"/>
                <w:sz w:val="20"/>
              </w:rPr>
              <w:t>função de estabilização</w:t>
            </w:r>
            <w:r>
              <w:rPr>
                <w:rFonts w:ascii="Times New Roman" w:hAnsi="Times New Roman"/>
                <w:noProof/>
                <w:color w:val="231F20"/>
                <w:sz w:val="20"/>
              </w:rPr>
              <w:t xml:space="preserve"> deve ser progressivamente construída ao longo do tempo, com base em empréstimos «</w:t>
            </w:r>
            <w:r>
              <w:rPr>
                <w:rFonts w:ascii="Times New Roman" w:hAnsi="Times New Roman"/>
                <w:i/>
                <w:noProof/>
                <w:color w:val="231F20"/>
                <w:sz w:val="20"/>
              </w:rPr>
              <w:t>back-</w:t>
            </w:r>
            <w:r>
              <w:rPr>
                <w:rFonts w:ascii="Times New Roman" w:hAnsi="Times New Roman"/>
                <w:i/>
                <w:noProof/>
                <w:color w:val="231F20"/>
                <w:sz w:val="20"/>
              </w:rPr>
              <w:t>to-back</w:t>
            </w:r>
            <w:r>
              <w:rPr>
                <w:rFonts w:ascii="Times New Roman" w:hAnsi="Times New Roman"/>
                <w:noProof/>
                <w:color w:val="231F20"/>
                <w:sz w:val="20"/>
              </w:rPr>
              <w:t xml:space="preserve">» garantidos pelo orçamento da UE, empréstimos do Fundo Monetário Europeu, um mecanismo de seguro voluntário baseado em contribuições nacionais, bem como uma componente de subvenção proveniente do orçamento europeu. Os montantes a obter a partir do </w:t>
            </w:r>
            <w:r>
              <w:rPr>
                <w:rFonts w:ascii="Times New Roman" w:hAnsi="Times New Roman"/>
                <w:noProof/>
                <w:color w:val="231F20"/>
                <w:sz w:val="20"/>
              </w:rPr>
              <w:t xml:space="preserve">orçamento da UE não têm necessariamente de ser muito elevados, mas terão de ser suficientes para, por exemplo, reduzir o ónus dos juros dos empréstimos e proporcionar incentivos à correta aplicação do regime de apoio. </w:t>
            </w:r>
            <w:r>
              <w:rPr>
                <w:rFonts w:ascii="Times New Roman" w:hAnsi="Times New Roman"/>
                <w:noProof/>
                <w:sz w:val="20"/>
                <w:lang w:val="en-GB" w:eastAsia="en-GB" w:bidi="ar-SA"/>
              </w:rPr>
              <mc:AlternateContent>
                <mc:Choice Requires="wps">
                  <w:drawing>
                    <wp:anchor distT="0" distB="0" distL="114300" distR="114300" simplePos="0" relativeHeight="25166284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C3D6C80" id="object 12" o:spid="_x0000_s1026" style="position:absolute;margin-left:3.7pt;margin-top:5.4pt;width:7.1pt;height:7.1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w:t>
      </w:r>
      <w:r>
        <w:rPr>
          <w:rFonts w:ascii="Times New Roman" w:hAnsi="Times New Roman"/>
          <w:b/>
          <w:noProof/>
          <w:sz w:val="24"/>
        </w:rPr>
        <w:t>política de coesão</w:t>
      </w:r>
      <w:r>
        <w:rPr>
          <w:rFonts w:ascii="Times New Roman" w:hAnsi="Times New Roman"/>
          <w:noProof/>
          <w:sz w:val="24"/>
        </w:rPr>
        <w:t xml:space="preserve"> é a principal </w:t>
      </w:r>
      <w:r>
        <w:rPr>
          <w:rFonts w:ascii="Times New Roman" w:hAnsi="Times New Roman"/>
          <w:noProof/>
          <w:sz w:val="24"/>
        </w:rPr>
        <w:t>política de investimento da União para reduzir as disparidades entre as regiões e os Estados-Membros, proporcionando a igualdade de oportunidades para as pessoas em toda a Europa. É um dos principais motores da criação de postos de trabalho, de crescimento</w:t>
      </w:r>
      <w:r>
        <w:rPr>
          <w:rFonts w:ascii="Times New Roman" w:hAnsi="Times New Roman"/>
          <w:noProof/>
          <w:sz w:val="24"/>
        </w:rPr>
        <w:t xml:space="preserve"> sustentável e de inovação em diversas regiões da Europa. Ao fornecer incentivos às reformas através de uma ligação mais forte com o Semestre Europeu, em particular com as Recomendações Específicas por País, a futura política de coesão poderá reforçar o se</w:t>
      </w:r>
      <w:r>
        <w:rPr>
          <w:rFonts w:ascii="Times New Roman" w:hAnsi="Times New Roman"/>
          <w:noProof/>
          <w:sz w:val="24"/>
        </w:rPr>
        <w:t xml:space="preserve">u papel como motor da modernização das nossas economias.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612672" behindDoc="0" locked="0" layoutInCell="1" allowOverlap="1">
                      <wp:simplePos x="0" y="0"/>
                      <wp:positionH relativeFrom="column">
                        <wp:posOffset>-16510</wp:posOffset>
                      </wp:positionH>
                      <wp:positionV relativeFrom="paragraph">
                        <wp:posOffset>21590</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pt;margin-top:1.7pt;width:45.25pt;height:45.25pt;z-index:25161267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pStyle w:val="BodyText"/>
              <w:keepNext/>
              <w:spacing w:before="71" w:line="242" w:lineRule="auto"/>
              <w:ind w:left="305"/>
              <w:jc w:val="center"/>
              <w:rPr>
                <w:rFonts w:ascii="Times New Roman" w:hAnsi="Times New Roman"/>
                <w:noProof/>
                <w:sz w:val="10"/>
                <w:szCs w:val="10"/>
              </w:rPr>
            </w:pPr>
            <w:r>
              <w:rPr>
                <w:rFonts w:ascii="Times New Roman" w:hAnsi="Times New Roman"/>
                <w:b/>
                <w:i/>
                <w:noProof/>
                <w:color w:val="2AA19F"/>
                <w:spacing w:val="-2"/>
                <w:sz w:val="24"/>
              </w:rPr>
              <w:t>Que nível de ambição para uma política agrícola comum eficiente?</w:t>
            </w:r>
            <w:r>
              <w:rPr>
                <w:rFonts w:ascii="Times New Roman" w:hAnsi="Times New Roman"/>
                <w:b/>
                <w:i/>
                <w:noProof/>
                <w:color w:val="2AA19F"/>
                <w:spacing w:val="-2"/>
                <w:sz w:val="24"/>
              </w:rPr>
              <w:br/>
            </w:r>
          </w:p>
          <w:p w:rsidR="00622A92" w:rsidRDefault="00110FC7">
            <w:pPr>
              <w:pStyle w:val="BodyText"/>
              <w:keepNext/>
              <w:spacing w:before="71" w:line="242" w:lineRule="auto"/>
              <w:ind w:left="305"/>
              <w:jc w:val="both"/>
              <w:rPr>
                <w:rFonts w:ascii="Times New Roman" w:hAnsi="Times New Roman"/>
                <w:noProof/>
                <w:color w:val="231F20"/>
                <w:sz w:val="20"/>
                <w:szCs w:val="20"/>
              </w:rPr>
            </w:pPr>
            <w:r>
              <w:rPr>
                <w:rFonts w:ascii="Times New Roman" w:hAnsi="Times New Roman"/>
                <w:noProof/>
                <w:sz w:val="20"/>
              </w:rPr>
              <w:t xml:space="preserve">A política de coesão é a expressão concreta da solidariedade para com as regiões da nossa União economicamente menos desenvolvidas. O seu objetivo é promover a coesão económica, social e territorial. </w:t>
            </w:r>
            <w:r>
              <w:rPr>
                <w:rFonts w:ascii="Times New Roman" w:hAnsi="Times New Roman"/>
                <w:noProof/>
                <w:color w:val="231F20"/>
                <w:sz w:val="20"/>
              </w:rPr>
              <w:t>O apoio dos Fundos Europeus Estruturais e de Investiment</w:t>
            </w:r>
            <w:r>
              <w:rPr>
                <w:rFonts w:ascii="Times New Roman" w:hAnsi="Times New Roman"/>
                <w:noProof/>
                <w:color w:val="231F20"/>
                <w:sz w:val="20"/>
              </w:rPr>
              <w:t xml:space="preserve">o está atualmente acessível a todos os Estados-Membros. Devemos continuar assim ou esta política deve ser limitada às </w:t>
            </w:r>
            <w:r>
              <w:rPr>
                <w:rFonts w:ascii="Times New Roman" w:hAnsi="Times New Roman"/>
                <w:b/>
                <w:noProof/>
                <w:color w:val="231F20"/>
                <w:spacing w:val="-1"/>
                <w:sz w:val="20"/>
              </w:rPr>
              <w:t>regiões e/ou Estados-Membros menos desenvolvidos</w:t>
            </w:r>
            <w:r>
              <w:rPr>
                <w:rFonts w:ascii="Times New Roman" w:hAnsi="Times New Roman"/>
                <w:noProof/>
                <w:color w:val="231F20"/>
                <w:sz w:val="20"/>
              </w:rPr>
              <w:t>? Se a elegibilidade for mantida para todos, qual deverá ser o nível de ambição?</w:t>
            </w:r>
          </w:p>
          <w:p w:rsidR="00622A92" w:rsidRDefault="00110FC7">
            <w:pPr>
              <w:pStyle w:val="BodyText"/>
              <w:keepNext/>
              <w:spacing w:before="71" w:line="242" w:lineRule="auto"/>
              <w:ind w:left="306"/>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6992" behindDoc="0" locked="0" layoutInCell="1" allowOverlap="1">
                      <wp:simplePos x="0" y="0"/>
                      <wp:positionH relativeFrom="column">
                        <wp:posOffset>58420</wp:posOffset>
                      </wp:positionH>
                      <wp:positionV relativeFrom="paragraph">
                        <wp:posOffset>77308</wp:posOffset>
                      </wp:positionV>
                      <wp:extent cx="90170" cy="90170"/>
                      <wp:effectExtent l="0" t="0" r="5080" b="5080"/>
                      <wp:wrapNone/>
                      <wp:docPr id="2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6.1pt;width:7.1pt;height:7.1pt;z-index:2517969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rPr>
              <w:t>Se a ele</w:t>
            </w:r>
            <w:r>
              <w:rPr>
                <w:rFonts w:ascii="Times New Roman" w:hAnsi="Times New Roman"/>
                <w:noProof/>
                <w:color w:val="231F20"/>
                <w:spacing w:val="-1"/>
                <w:sz w:val="20"/>
              </w:rPr>
              <w:t xml:space="preserve">gibilidade para apoio do Fundo Europeu de Desenvolvimento Regional, o Fundo Social Europeu e o Fundo de Coesão for mantida para todos os Estados-Membros e todas as regiões, </w:t>
            </w:r>
            <w:r>
              <w:rPr>
                <w:rFonts w:ascii="Times New Roman" w:hAnsi="Times New Roman"/>
                <w:b/>
                <w:noProof/>
                <w:color w:val="231F20"/>
                <w:sz w:val="20"/>
              </w:rPr>
              <w:t>os ganhos de eficiência poderiam ser alcançados através da modulação das intensidad</w:t>
            </w:r>
            <w:r>
              <w:rPr>
                <w:rFonts w:ascii="Times New Roman" w:hAnsi="Times New Roman"/>
                <w:b/>
                <w:noProof/>
                <w:color w:val="231F20"/>
                <w:sz w:val="20"/>
              </w:rPr>
              <w:t>es de auxílio e uma melhor orientação dos apoios</w:t>
            </w:r>
            <w:r>
              <w:rPr>
                <w:rFonts w:ascii="Times New Roman" w:hAnsi="Times New Roman"/>
                <w:noProof/>
                <w:color w:val="231F20"/>
                <w:spacing w:val="-1"/>
                <w:sz w:val="20"/>
              </w:rPr>
              <w:t xml:space="preserve">. </w:t>
            </w:r>
            <w:r>
              <w:rPr>
                <w:rFonts w:ascii="Times New Roman" w:hAnsi="Times New Roman"/>
                <w:b/>
                <w:noProof/>
                <w:color w:val="231F20"/>
                <w:spacing w:val="-1"/>
                <w:sz w:val="20"/>
              </w:rPr>
              <w:t>Se forem mantidos os atuais níveis de despesa, de cerca de 370 mil milhões de EUR</w:t>
            </w:r>
            <w:r>
              <w:rPr>
                <w:rStyle w:val="FootnoteReference"/>
                <w:rFonts w:ascii="Times New Roman" w:hAnsi="Times New Roman"/>
                <w:noProof/>
                <w:color w:val="231F20"/>
              </w:rPr>
              <w:footnoteReference w:id="4"/>
            </w:r>
            <w:r>
              <w:rPr>
                <w:rFonts w:ascii="Times New Roman" w:hAnsi="Times New Roman"/>
                <w:noProof/>
                <w:color w:val="231F20"/>
                <w:spacing w:val="-1"/>
                <w:sz w:val="20"/>
              </w:rPr>
              <w:t>, o que representa quase 35 % do quadro financeiro plurianual, tal permitirá manter uma forte tónica no investimento em toda</w:t>
            </w:r>
            <w:r>
              <w:rPr>
                <w:rFonts w:ascii="Times New Roman" w:hAnsi="Times New Roman"/>
                <w:noProof/>
                <w:color w:val="231F20"/>
                <w:spacing w:val="-1"/>
                <w:sz w:val="20"/>
              </w:rPr>
              <w:t>s as regiões, em áreas como a inovação, a transformação industrial, a transição para as energias limpas, a ação climática e as melhores oportunidades de emprego.</w:t>
            </w:r>
          </w:p>
          <w:p w:rsidR="00622A92" w:rsidRDefault="00110FC7">
            <w:pPr>
              <w:pStyle w:val="BodyText"/>
              <w:keepNext/>
              <w:spacing w:before="71" w:line="242" w:lineRule="auto"/>
              <w:ind w:left="305"/>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4944" behindDoc="0" locked="0" layoutInCell="1" allowOverlap="1">
                      <wp:simplePos x="0" y="0"/>
                      <wp:positionH relativeFrom="column">
                        <wp:posOffset>58582</wp:posOffset>
                      </wp:positionH>
                      <wp:positionV relativeFrom="paragraph">
                        <wp:posOffset>55245</wp:posOffset>
                      </wp:positionV>
                      <wp:extent cx="90170" cy="90170"/>
                      <wp:effectExtent l="0" t="0" r="5080" b="5080"/>
                      <wp:wrapNone/>
                      <wp:docPr id="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4.35pt;width:7.1pt;height:7.1pt;z-index:2517949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o6EQMAAHU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Se o Fundo Europeu de Desenvolvimento Regional e o Fundo Social Europeu puserem termo ao apoi</w:t>
            </w:r>
            <w:r>
              <w:rPr>
                <w:rFonts w:ascii="Times New Roman" w:hAnsi="Times New Roman"/>
                <w:noProof/>
                <w:color w:val="231F20"/>
                <w:sz w:val="20"/>
              </w:rPr>
              <w:t xml:space="preserve">o às regiões mais desenvolvidas e em transição, tal corresponderia a uma </w:t>
            </w:r>
            <w:r>
              <w:rPr>
                <w:rFonts w:ascii="Times New Roman" w:hAnsi="Times New Roman"/>
                <w:b/>
                <w:noProof/>
                <w:color w:val="231F20"/>
                <w:sz w:val="20"/>
              </w:rPr>
              <w:t>redução de cerca de 95 mil milhões de EUR</w:t>
            </w:r>
            <w:r>
              <w:rPr>
                <w:rFonts w:ascii="Times New Roman" w:hAnsi="Times New Roman"/>
                <w:noProof/>
                <w:color w:val="231F20"/>
                <w:sz w:val="20"/>
              </w:rPr>
              <w:t xml:space="preserve"> ao longo do período, o que representa mais de um quarto das dotações desses fundos e corresponde a cerca de 8,7 % do atual quadro financeiro </w:t>
            </w:r>
            <w:r>
              <w:rPr>
                <w:rFonts w:ascii="Times New Roman" w:hAnsi="Times New Roman"/>
                <w:noProof/>
                <w:color w:val="231F20"/>
                <w:sz w:val="20"/>
              </w:rPr>
              <w:t>plurianual. Neste cenário, seria interrompido o apoio às regiões na Áustria, Bélgica, Dinamarca, Finlândia, França continental, Alemanha, Irlanda, Países Baixos, Suécia e muitas regiões em Itália e em Espanha.</w:t>
            </w:r>
          </w:p>
          <w:p w:rsidR="00622A92" w:rsidRDefault="00110FC7">
            <w:pPr>
              <w:pStyle w:val="BodyText"/>
              <w:keepNext/>
              <w:spacing w:before="71" w:line="242" w:lineRule="auto"/>
              <w:ind w:left="305"/>
              <w:jc w:val="both"/>
              <w:rPr>
                <w:rFonts w:ascii="Times New Roman" w:hAnsi="Times New Roman"/>
                <w:noProof/>
                <w:color w:val="231F20"/>
                <w:spacing w:val="-1"/>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5968" behindDoc="0" locked="0" layoutInCell="1" allowOverlap="1">
                      <wp:simplePos x="0" y="0"/>
                      <wp:positionH relativeFrom="column">
                        <wp:posOffset>58582</wp:posOffset>
                      </wp:positionH>
                      <wp:positionV relativeFrom="paragraph">
                        <wp:posOffset>50165</wp:posOffset>
                      </wp:positionV>
                      <wp:extent cx="90170" cy="90170"/>
                      <wp:effectExtent l="0" t="0" r="5080" b="5080"/>
                      <wp:wrapNone/>
                      <wp:docPr id="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3.95pt;width:7.1pt;height:7.1pt;z-index:251795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5YEQMAAHUHAAAOAAAAZHJzL2Uyb0RvYy54bWysVV1P2zAUfZ+0/2D5cdJIP8a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Se o apoio fosse ainda mais limitado, apenas </w:t>
            </w:r>
            <w:r>
              <w:rPr>
                <w:rFonts w:ascii="Times New Roman" w:hAnsi="Times New Roman"/>
                <w:noProof/>
                <w:color w:val="231F20"/>
                <w:sz w:val="20"/>
              </w:rPr>
              <w:t>para os países beneficiários do Fundo de Coesão, também teriam de ser interrompidos os investimentos para as regiões menos desenvolvidas em França, Itália e Espanha. Tal corresponderia a uma redução de cerca de 124 mil milhões de EUR ao longo do período, o</w:t>
            </w:r>
            <w:r>
              <w:rPr>
                <w:rFonts w:ascii="Times New Roman" w:hAnsi="Times New Roman"/>
                <w:noProof/>
                <w:color w:val="231F20"/>
                <w:sz w:val="20"/>
              </w:rPr>
              <w:t xml:space="preserve"> que representa cerca de 33 % das dotações atuais e corresponde a cerca de 11 % do atual quadro financeiro plurianual.</w:t>
            </w:r>
          </w:p>
          <w:p w:rsidR="00622A92" w:rsidRDefault="00110FC7">
            <w:pPr>
              <w:pStyle w:val="BodyText"/>
              <w:keepNext/>
              <w:spacing w:before="71" w:after="120" w:line="242" w:lineRule="auto"/>
              <w:ind w:left="306"/>
              <w:jc w:val="both"/>
              <w:rPr>
                <w:rFonts w:ascii="Times New Roman" w:hAnsi="Times New Roman"/>
                <w:noProof/>
                <w:sz w:val="20"/>
                <w:szCs w:val="20"/>
              </w:rPr>
            </w:pPr>
            <w:r>
              <w:rPr>
                <w:rFonts w:ascii="Times New Roman" w:hAnsi="Times New Roman"/>
                <w:noProof/>
                <w:sz w:val="20"/>
              </w:rPr>
              <w:t>Nos cenários 2 e 3, o apoio relacionado com os desafios económicos, sociais e territoriais teria de ser assumido pelas autoridades nacion</w:t>
            </w:r>
            <w:r>
              <w:rPr>
                <w:rFonts w:ascii="Times New Roman" w:hAnsi="Times New Roman"/>
                <w:noProof/>
                <w:sz w:val="20"/>
              </w:rPr>
              <w:t xml:space="preserve">ais, regionais e locais, em conformidade com o princípio da subsidiariedade. </w:t>
            </w:r>
          </w:p>
          <w:tbl>
            <w:tblPr>
              <w:tblStyle w:val="TableGrid"/>
              <w:tblW w:w="879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981"/>
              <w:gridCol w:w="2983"/>
            </w:tblGrid>
            <w:tr w:rsidR="00622A92">
              <w:trPr>
                <w:trHeight w:val="2915"/>
              </w:trPr>
              <w:tc>
                <w:tcPr>
                  <w:tcW w:w="2831" w:type="dxa"/>
                </w:tcPr>
                <w:p w:rsidR="00622A92" w:rsidRDefault="00110FC7">
                  <w:pPr>
                    <w:keepNext/>
                    <w:ind w:left="-113"/>
                    <w:rPr>
                      <w:rFonts w:ascii="Times New Roman" w:hAnsi="Times New Roman"/>
                      <w:i/>
                      <w:noProof/>
                    </w:rPr>
                  </w:pPr>
                  <w:r>
                    <w:rPr>
                      <w:rFonts w:ascii="Times New Roman" w:hAnsi="Times New Roman"/>
                      <w:i/>
                      <w:noProof/>
                      <w:lang w:val="en-GB" w:eastAsia="en-GB" w:bidi="ar-SA"/>
                    </w:rPr>
                    <w:drawing>
                      <wp:inline distT="0" distB="0" distL="0" distR="0">
                        <wp:extent cx="1704975" cy="1743075"/>
                        <wp:effectExtent l="0" t="0" r="9525" b="9525"/>
                        <wp:docPr id="26" name="Picture 26"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744373"/>
                                </a:xfrm>
                                <a:prstGeom prst="rect">
                                  <a:avLst/>
                                </a:prstGeom>
                                <a:noFill/>
                                <a:ln>
                                  <a:noFill/>
                                </a:ln>
                              </pic:spPr>
                            </pic:pic>
                          </a:graphicData>
                        </a:graphic>
                      </wp:inline>
                    </w:drawing>
                  </w:r>
                </w:p>
              </w:tc>
              <w:tc>
                <w:tcPr>
                  <w:tcW w:w="2981" w:type="dxa"/>
                </w:tcPr>
                <w:p w:rsidR="00622A92" w:rsidRDefault="00110FC7">
                  <w:pPr>
                    <w:keepNext/>
                    <w:ind w:left="-113"/>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703866" cy="1743075"/>
                        <wp:effectExtent l="0" t="0" r="0" b="0"/>
                        <wp:docPr id="27" name="Picture 27"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866" cy="1743075"/>
                                </a:xfrm>
                                <a:prstGeom prst="rect">
                                  <a:avLst/>
                                </a:prstGeom>
                                <a:noFill/>
                                <a:ln>
                                  <a:noFill/>
                                </a:ln>
                              </pic:spPr>
                            </pic:pic>
                          </a:graphicData>
                        </a:graphic>
                      </wp:inline>
                    </w:drawing>
                  </w:r>
                </w:p>
              </w:tc>
              <w:tc>
                <w:tcPr>
                  <w:tcW w:w="2983" w:type="dxa"/>
                </w:tcPr>
                <w:p w:rsidR="00622A92" w:rsidRDefault="00110FC7">
                  <w:pPr>
                    <w:keepNext/>
                    <w:rPr>
                      <w:rFonts w:ascii="Times New Roman" w:eastAsia="EC Square Sans Pro" w:hAnsi="Times New Roman"/>
                      <w:b/>
                      <w:noProof/>
                    </w:rPr>
                  </w:pPr>
                  <w:r>
                    <w:rPr>
                      <w:rFonts w:ascii="Times New Roman" w:hAnsi="Times New Roman"/>
                      <w:i/>
                      <w:noProof/>
                      <w:lang w:val="en-GB" w:eastAsia="en-GB" w:bidi="ar-SA"/>
                    </w:rPr>
                    <w:drawing>
                      <wp:inline distT="0" distB="0" distL="0" distR="0">
                        <wp:extent cx="1693463" cy="1743075"/>
                        <wp:effectExtent l="0" t="0" r="2540" b="0"/>
                        <wp:docPr id="28" name="Picture 28"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741852"/>
                                </a:xfrm>
                                <a:prstGeom prst="rect">
                                  <a:avLst/>
                                </a:prstGeom>
                                <a:noFill/>
                                <a:ln>
                                  <a:noFill/>
                                </a:ln>
                              </pic:spPr>
                            </pic:pic>
                          </a:graphicData>
                        </a:graphic>
                      </wp:inline>
                    </w:drawing>
                  </w:r>
                </w:p>
              </w:tc>
            </w:tr>
            <w:tr w:rsidR="00622A92">
              <w:trPr>
                <w:trHeight w:val="133"/>
              </w:trPr>
              <w:tc>
                <w:tcPr>
                  <w:tcW w:w="2831" w:type="dxa"/>
                </w:tcPr>
                <w:p w:rsidR="00622A92" w:rsidRDefault="00110FC7">
                  <w:pPr>
                    <w:keepNext/>
                    <w:ind w:left="33" w:right="307"/>
                    <w:rPr>
                      <w:rFonts w:ascii="Times New Roman" w:eastAsia="EC Square Sans Pro" w:hAnsi="Times New Roman"/>
                      <w:b/>
                      <w:noProof/>
                      <w:sz w:val="21"/>
                      <w:szCs w:val="21"/>
                    </w:rPr>
                  </w:pPr>
                  <w:r>
                    <w:rPr>
                      <w:rFonts w:ascii="Times New Roman" w:hAnsi="Times New Roman"/>
                      <w:b/>
                      <w:noProof/>
                      <w:sz w:val="21"/>
                      <w:szCs w:val="21"/>
                    </w:rPr>
                    <w:t>Cenário 1: Apoio a todas as regiões europeias</w:t>
                  </w:r>
                </w:p>
                <w:p w:rsidR="00622A92" w:rsidRDefault="00110FC7">
                  <w:pPr>
                    <w:keepNext/>
                    <w:spacing w:before="120" w:after="40"/>
                    <w:ind w:left="34"/>
                    <w:jc w:val="both"/>
                    <w:rPr>
                      <w:rFonts w:ascii="Times New Roman" w:eastAsia="EC Square Sans Pro" w:hAnsi="Times New Roman"/>
                      <w:noProof/>
                      <w:sz w:val="21"/>
                      <w:szCs w:val="21"/>
                    </w:rPr>
                  </w:pPr>
                  <w:r>
                    <w:rPr>
                      <w:rFonts w:ascii="Times New Roman" w:hAnsi="Times New Roman"/>
                      <w:noProof/>
                      <w:sz w:val="21"/>
                      <w:szCs w:val="21"/>
                    </w:rPr>
                    <w:t>Categorias de regiões</w:t>
                  </w:r>
                </w:p>
                <w:tbl>
                  <w:tblPr>
                    <w:tblStyle w:val="TableGrid"/>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1"/>
                  </w:tblGrid>
                  <w:tr w:rsidR="00622A92">
                    <w:trPr>
                      <w:trHeight w:val="227"/>
                    </w:trPr>
                    <w:tc>
                      <w:tcPr>
                        <w:tcW w:w="283" w:type="dxa"/>
                        <w:tcBorders>
                          <w:top w:val="nil"/>
                          <w:left w:val="nil"/>
                          <w:bottom w:val="single" w:sz="8" w:space="0" w:color="CBE7E5"/>
                          <w:right w:val="nil"/>
                        </w:tcBorders>
                        <w:shd w:val="clear" w:color="000000" w:fill="EA6534"/>
                      </w:tcPr>
                      <w:p w:rsidR="00622A92" w:rsidRDefault="00622A92">
                        <w:pPr>
                          <w:keepNext/>
                          <w:ind w:left="142"/>
                          <w:jc w:val="right"/>
                          <w:rPr>
                            <w:rFonts w:ascii="Times New Roman" w:eastAsia="EC Square Sans Pro" w:hAnsi="Times New Roman"/>
                            <w:noProof/>
                            <w:sz w:val="18"/>
                            <w:szCs w:val="18"/>
                          </w:rPr>
                        </w:pPr>
                      </w:p>
                    </w:tc>
                    <w:tc>
                      <w:tcPr>
                        <w:tcW w:w="2411" w:type="dxa"/>
                        <w:vMerge w:val="restart"/>
                        <w:tcBorders>
                          <w:top w:val="nil"/>
                          <w:left w:val="nil"/>
                          <w:bottom w:val="single" w:sz="8" w:space="0" w:color="CBE7E5"/>
                          <w:right w:val="nil"/>
                        </w:tcBorders>
                      </w:tcPr>
                      <w:p w:rsidR="00622A92" w:rsidRDefault="00110FC7">
                        <w:pPr>
                          <w:keepNext/>
                          <w:ind w:left="142"/>
                          <w:rPr>
                            <w:rFonts w:ascii="Times New Roman" w:eastAsia="EC Square Sans Pro" w:hAnsi="Times New Roman"/>
                            <w:noProof/>
                            <w:sz w:val="18"/>
                            <w:szCs w:val="18"/>
                          </w:rPr>
                        </w:pPr>
                        <w:r>
                          <w:rPr>
                            <w:rFonts w:ascii="Times New Roman" w:hAnsi="Times New Roman"/>
                            <w:b/>
                            <w:noProof/>
                            <w:sz w:val="18"/>
                          </w:rPr>
                          <w:t>Menos desenvolvidas</w:t>
                        </w:r>
                        <w:r>
                          <w:rPr>
                            <w:rFonts w:ascii="Times New Roman" w:hAnsi="Times New Roman"/>
                            <w:noProof/>
                            <w:sz w:val="18"/>
                          </w:rPr>
                          <w:t xml:space="preserve">: PIB </w:t>
                        </w:r>
                        <w:r>
                          <w:rPr>
                            <w:rFonts w:ascii="Times New Roman" w:hAnsi="Times New Roman"/>
                            <w:i/>
                            <w:noProof/>
                            <w:sz w:val="18"/>
                          </w:rPr>
                          <w:t>per capita</w:t>
                        </w:r>
                        <w:r>
                          <w:rPr>
                            <w:rFonts w:ascii="Times New Roman" w:hAnsi="Times New Roman"/>
                            <w:noProof/>
                            <w:sz w:val="18"/>
                          </w:rPr>
                          <w:t xml:space="preserve"> &lt; 75 % da média da UE-27</w:t>
                        </w:r>
                      </w:p>
                    </w:tc>
                  </w:tr>
                  <w:tr w:rsidR="00622A92">
                    <w:trPr>
                      <w:trHeight w:val="235"/>
                    </w:trPr>
                    <w:tc>
                      <w:tcPr>
                        <w:tcW w:w="283" w:type="dxa"/>
                        <w:tcBorders>
                          <w:top w:val="single" w:sz="8" w:space="0" w:color="CBE7E5"/>
                          <w:left w:val="nil"/>
                          <w:bottom w:val="single" w:sz="8" w:space="0" w:color="CBE7E5"/>
                          <w:right w:val="nil"/>
                        </w:tcBorders>
                        <w:shd w:val="clear" w:color="auto" w:fill="CBE7E5"/>
                      </w:tcPr>
                      <w:p w:rsidR="00622A92" w:rsidRDefault="00622A92">
                        <w:pPr>
                          <w:keepNext/>
                          <w:ind w:left="142"/>
                          <w:jc w:val="right"/>
                          <w:rPr>
                            <w:rFonts w:ascii="Times New Roman" w:eastAsia="EC Square Sans Pro" w:hAnsi="Times New Roman"/>
                            <w:noProof/>
                            <w:sz w:val="18"/>
                            <w:szCs w:val="18"/>
                          </w:rPr>
                        </w:pPr>
                      </w:p>
                    </w:tc>
                    <w:tc>
                      <w:tcPr>
                        <w:tcW w:w="2411" w:type="dxa"/>
                        <w:vMerge/>
                        <w:tcBorders>
                          <w:top w:val="nil"/>
                          <w:left w:val="nil"/>
                          <w:bottom w:val="single" w:sz="8" w:space="0" w:color="CBE7E5"/>
                          <w:right w:val="nil"/>
                        </w:tcBorders>
                      </w:tcPr>
                      <w:p w:rsidR="00622A92" w:rsidRDefault="00622A92">
                        <w:pPr>
                          <w:keepNext/>
                          <w:rPr>
                            <w:rFonts w:ascii="Times New Roman" w:hAnsi="Times New Roman"/>
                            <w:noProof/>
                          </w:rPr>
                        </w:pPr>
                      </w:p>
                    </w:tc>
                  </w:tr>
                  <w:tr w:rsidR="00622A92">
                    <w:trPr>
                      <w:trHeight w:val="227"/>
                    </w:trPr>
                    <w:tc>
                      <w:tcPr>
                        <w:tcW w:w="283" w:type="dxa"/>
                        <w:tcBorders>
                          <w:top w:val="single" w:sz="8" w:space="0" w:color="CBE7E5"/>
                          <w:left w:val="nil"/>
                          <w:bottom w:val="single" w:sz="8" w:space="0" w:color="CBE7E5"/>
                          <w:right w:val="nil"/>
                        </w:tcBorders>
                        <w:shd w:val="clear" w:color="000000" w:fill="F7AF4C"/>
                      </w:tcPr>
                      <w:p w:rsidR="00622A92" w:rsidRDefault="00622A92">
                        <w:pPr>
                          <w:keepNext/>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single" w:sz="8" w:space="0" w:color="CBE7E5"/>
                          <w:right w:val="nil"/>
                        </w:tcBorders>
                      </w:tcPr>
                      <w:p w:rsidR="00622A92" w:rsidRDefault="00110FC7">
                        <w:pPr>
                          <w:keepNext/>
                          <w:ind w:left="142"/>
                          <w:rPr>
                            <w:rFonts w:ascii="Times New Roman" w:eastAsia="EC Square Sans Pro" w:hAnsi="Times New Roman"/>
                            <w:noProof/>
                            <w:sz w:val="18"/>
                            <w:szCs w:val="18"/>
                          </w:rPr>
                        </w:pPr>
                        <w:r>
                          <w:rPr>
                            <w:rFonts w:ascii="Times New Roman" w:hAnsi="Times New Roman"/>
                            <w:b/>
                            <w:noProof/>
                            <w:sz w:val="18"/>
                          </w:rPr>
                          <w:t>Transição</w:t>
                        </w:r>
                        <w:r>
                          <w:rPr>
                            <w:rFonts w:ascii="Times New Roman" w:hAnsi="Times New Roman"/>
                            <w:noProof/>
                            <w:sz w:val="18"/>
                          </w:rPr>
                          <w:t xml:space="preserve">: PIB </w:t>
                        </w:r>
                        <w:r>
                          <w:rPr>
                            <w:rFonts w:ascii="Times New Roman" w:hAnsi="Times New Roman"/>
                            <w:i/>
                            <w:noProof/>
                            <w:sz w:val="18"/>
                          </w:rPr>
                          <w:t>per capita</w:t>
                        </w:r>
                        <w:r>
                          <w:rPr>
                            <w:rFonts w:ascii="Times New Roman" w:hAnsi="Times New Roman"/>
                            <w:noProof/>
                            <w:sz w:val="18"/>
                          </w:rPr>
                          <w:t xml:space="preserve"> &gt;= 75 % e </w:t>
                        </w:r>
                        <w:r>
                          <w:rPr>
                            <w:rFonts w:ascii="Times New Roman" w:hAnsi="Times New Roman"/>
                            <w:noProof/>
                            <w:sz w:val="18"/>
                          </w:rPr>
                          <w:t>&lt; 100 % da média da UE-27</w:t>
                        </w:r>
                      </w:p>
                    </w:tc>
                  </w:tr>
                  <w:tr w:rsidR="00622A92">
                    <w:trPr>
                      <w:trHeight w:val="439"/>
                    </w:trPr>
                    <w:tc>
                      <w:tcPr>
                        <w:tcW w:w="283" w:type="dxa"/>
                        <w:tcBorders>
                          <w:top w:val="single" w:sz="8" w:space="0" w:color="CBE7E5"/>
                          <w:left w:val="nil"/>
                          <w:bottom w:val="single" w:sz="8" w:space="0" w:color="CBE7E5"/>
                          <w:right w:val="nil"/>
                        </w:tcBorders>
                        <w:shd w:val="clear" w:color="auto" w:fill="CBE7E5"/>
                      </w:tcPr>
                      <w:p w:rsidR="00622A92" w:rsidRDefault="00622A92">
                        <w:pPr>
                          <w:keepNext/>
                          <w:ind w:left="142"/>
                          <w:rPr>
                            <w:rFonts w:ascii="Times New Roman" w:eastAsia="EC Square Sans Pro" w:hAnsi="Times New Roman"/>
                            <w:noProof/>
                            <w:sz w:val="18"/>
                            <w:szCs w:val="18"/>
                          </w:rPr>
                        </w:pPr>
                      </w:p>
                    </w:tc>
                    <w:tc>
                      <w:tcPr>
                        <w:tcW w:w="2411" w:type="dxa"/>
                        <w:vMerge/>
                        <w:tcBorders>
                          <w:top w:val="single" w:sz="8" w:space="0" w:color="CBE7E5"/>
                          <w:left w:val="nil"/>
                          <w:bottom w:val="single" w:sz="8" w:space="0" w:color="CBE7E5"/>
                          <w:right w:val="nil"/>
                        </w:tcBorders>
                      </w:tcPr>
                      <w:p w:rsidR="00622A92" w:rsidRDefault="00622A92">
                        <w:pPr>
                          <w:keepNext/>
                          <w:rPr>
                            <w:rFonts w:ascii="Times New Roman" w:hAnsi="Times New Roman"/>
                            <w:noProof/>
                          </w:rPr>
                        </w:pPr>
                      </w:p>
                    </w:tc>
                  </w:tr>
                  <w:tr w:rsidR="00622A92">
                    <w:trPr>
                      <w:trHeight w:val="227"/>
                    </w:trPr>
                    <w:tc>
                      <w:tcPr>
                        <w:tcW w:w="283" w:type="dxa"/>
                        <w:tcBorders>
                          <w:top w:val="single" w:sz="8" w:space="0" w:color="CBE7E5"/>
                          <w:left w:val="nil"/>
                          <w:bottom w:val="single" w:sz="8" w:space="0" w:color="CBE7E5"/>
                          <w:right w:val="nil"/>
                        </w:tcBorders>
                        <w:shd w:val="clear" w:color="000000" w:fill="FCD786"/>
                      </w:tcPr>
                      <w:p w:rsidR="00622A92" w:rsidRDefault="00622A92">
                        <w:pPr>
                          <w:keepNext/>
                          <w:ind w:left="142"/>
                          <w:rPr>
                            <w:rFonts w:ascii="Times New Roman" w:eastAsia="EC Square Sans Pro" w:hAnsi="Times New Roman"/>
                            <w:noProof/>
                            <w:sz w:val="18"/>
                            <w:szCs w:val="18"/>
                          </w:rPr>
                        </w:pPr>
                      </w:p>
                    </w:tc>
                    <w:tc>
                      <w:tcPr>
                        <w:tcW w:w="2411" w:type="dxa"/>
                        <w:vMerge w:val="restart"/>
                        <w:tcBorders>
                          <w:top w:val="single" w:sz="8" w:space="0" w:color="CBE7E5"/>
                          <w:left w:val="nil"/>
                          <w:bottom w:val="nil"/>
                          <w:right w:val="nil"/>
                        </w:tcBorders>
                      </w:tcPr>
                      <w:p w:rsidR="00622A92" w:rsidRDefault="00110FC7">
                        <w:pPr>
                          <w:keepNext/>
                          <w:ind w:left="142"/>
                          <w:rPr>
                            <w:rFonts w:ascii="Times New Roman" w:eastAsia="EC Square Sans Pro" w:hAnsi="Times New Roman"/>
                            <w:noProof/>
                            <w:sz w:val="18"/>
                            <w:szCs w:val="18"/>
                          </w:rPr>
                        </w:pPr>
                        <w:r>
                          <w:rPr>
                            <w:rFonts w:ascii="Times New Roman" w:hAnsi="Times New Roman"/>
                            <w:b/>
                            <w:noProof/>
                            <w:sz w:val="18"/>
                          </w:rPr>
                          <w:t>Mais desenvolvidas</w:t>
                        </w:r>
                        <w:r>
                          <w:rPr>
                            <w:rFonts w:ascii="Times New Roman" w:hAnsi="Times New Roman"/>
                            <w:noProof/>
                            <w:sz w:val="18"/>
                          </w:rPr>
                          <w:t xml:space="preserve">: PIB </w:t>
                        </w:r>
                        <w:r>
                          <w:rPr>
                            <w:rFonts w:ascii="Times New Roman" w:hAnsi="Times New Roman"/>
                            <w:i/>
                            <w:noProof/>
                            <w:sz w:val="18"/>
                          </w:rPr>
                          <w:t>per capita</w:t>
                        </w:r>
                        <w:r>
                          <w:rPr>
                            <w:rFonts w:ascii="Times New Roman" w:hAnsi="Times New Roman"/>
                            <w:noProof/>
                            <w:sz w:val="18"/>
                          </w:rPr>
                          <w:t xml:space="preserve"> &gt;= 100 % da média da UE-27</w:t>
                        </w:r>
                      </w:p>
                    </w:tc>
                  </w:tr>
                  <w:tr w:rsidR="00622A92">
                    <w:trPr>
                      <w:trHeight w:val="438"/>
                    </w:trPr>
                    <w:tc>
                      <w:tcPr>
                        <w:tcW w:w="283" w:type="dxa"/>
                        <w:tcBorders>
                          <w:top w:val="single" w:sz="8" w:space="0" w:color="CBE7E5"/>
                          <w:left w:val="nil"/>
                          <w:bottom w:val="nil"/>
                          <w:right w:val="nil"/>
                        </w:tcBorders>
                        <w:shd w:val="clear" w:color="auto" w:fill="CBE7E5"/>
                      </w:tcPr>
                      <w:p w:rsidR="00622A92" w:rsidRDefault="00622A92">
                        <w:pPr>
                          <w:keepNext/>
                          <w:ind w:left="142"/>
                          <w:rPr>
                            <w:rFonts w:ascii="Times New Roman" w:eastAsia="EC Square Sans Pro" w:hAnsi="Times New Roman"/>
                            <w:noProof/>
                            <w:sz w:val="18"/>
                            <w:szCs w:val="18"/>
                          </w:rPr>
                        </w:pPr>
                      </w:p>
                    </w:tc>
                    <w:tc>
                      <w:tcPr>
                        <w:tcW w:w="2411" w:type="dxa"/>
                        <w:vMerge/>
                        <w:tcBorders>
                          <w:top w:val="single" w:sz="8" w:space="0" w:color="CBE7E5"/>
                          <w:left w:val="nil"/>
                          <w:bottom w:val="nil"/>
                          <w:right w:val="nil"/>
                        </w:tcBorders>
                      </w:tcPr>
                      <w:p w:rsidR="00622A92" w:rsidRDefault="00622A92">
                        <w:pPr>
                          <w:keepNext/>
                          <w:rPr>
                            <w:rFonts w:ascii="Times New Roman" w:hAnsi="Times New Roman"/>
                            <w:noProof/>
                          </w:rPr>
                        </w:pPr>
                      </w:p>
                    </w:tc>
                  </w:tr>
                </w:tbl>
                <w:p w:rsidR="00622A92" w:rsidRDefault="00622A92">
                  <w:pPr>
                    <w:keepNext/>
                    <w:ind w:left="29"/>
                    <w:rPr>
                      <w:rFonts w:ascii="Times New Roman" w:eastAsia="EC Square Sans Pro" w:hAnsi="Times New Roman"/>
                      <w:b/>
                      <w:noProof/>
                    </w:rPr>
                  </w:pPr>
                </w:p>
              </w:tc>
              <w:tc>
                <w:tcPr>
                  <w:tcW w:w="2981" w:type="dxa"/>
                </w:tcPr>
                <w:p w:rsidR="00622A92" w:rsidRDefault="00110FC7">
                  <w:pPr>
                    <w:keepNext/>
                    <w:ind w:left="29"/>
                    <w:rPr>
                      <w:rFonts w:ascii="Times New Roman" w:eastAsia="EC Square Sans Pro" w:hAnsi="Times New Roman"/>
                      <w:b/>
                      <w:noProof/>
                      <w:sz w:val="21"/>
                      <w:szCs w:val="21"/>
                    </w:rPr>
                  </w:pPr>
                  <w:r>
                    <w:rPr>
                      <w:rFonts w:ascii="Times New Roman" w:hAnsi="Times New Roman"/>
                      <w:b/>
                      <w:noProof/>
                      <w:sz w:val="21"/>
                      <w:szCs w:val="21"/>
                    </w:rPr>
                    <w:t>Cenário 2: Apoio às regiões menos desenvolvidas e aos países beneficiários do Fundo de Coesão</w:t>
                  </w:r>
                </w:p>
                <w:p w:rsidR="00622A92" w:rsidRDefault="00622A92">
                  <w:pPr>
                    <w:keepNext/>
                    <w:ind w:left="29"/>
                    <w:rPr>
                      <w:rFonts w:ascii="Times New Roman" w:eastAsia="EC Square Sans Pro" w:hAnsi="Times New Roman"/>
                      <w:noProof/>
                      <w:sz w:val="16"/>
                      <w:szCs w:val="16"/>
                    </w:rPr>
                  </w:pPr>
                </w:p>
                <w:p w:rsidR="00622A92" w:rsidRDefault="00110FC7">
                  <w:pPr>
                    <w:keepNext/>
                    <w:spacing w:after="40"/>
                    <w:ind w:left="28" w:right="-113"/>
                    <w:rPr>
                      <w:rFonts w:ascii="Times New Roman" w:eastAsia="EC Square Sans Pro" w:hAnsi="Times New Roman"/>
                      <w:noProof/>
                      <w:sz w:val="21"/>
                      <w:szCs w:val="21"/>
                    </w:rPr>
                  </w:pPr>
                  <w:r>
                    <w:rPr>
                      <w:rFonts w:ascii="Times New Roman" w:hAnsi="Times New Roman"/>
                      <w:noProof/>
                      <w:sz w:val="21"/>
                      <w:szCs w:val="21"/>
                    </w:rPr>
                    <w:t>Regiões potencialmente elegíveis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622A92">
                    <w:trPr>
                      <w:trHeight w:val="227"/>
                    </w:trPr>
                    <w:tc>
                      <w:tcPr>
                        <w:tcW w:w="284" w:type="dxa"/>
                        <w:tcBorders>
                          <w:top w:val="nil"/>
                          <w:left w:val="nil"/>
                          <w:bottom w:val="single" w:sz="8" w:space="0" w:color="CBE7E5"/>
                          <w:right w:val="nil"/>
                        </w:tcBorders>
                        <w:shd w:val="clear" w:color="000000" w:fill="9E004F"/>
                      </w:tcPr>
                      <w:p w:rsidR="00622A92" w:rsidRDefault="00622A92">
                        <w:pPr>
                          <w:keepNext/>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Apoio regional</w:t>
                        </w:r>
                      </w:p>
                    </w:tc>
                  </w:tr>
                  <w:tr w:rsidR="00622A92">
                    <w:trPr>
                      <w:trHeight w:val="227"/>
                    </w:trPr>
                    <w:tc>
                      <w:tcPr>
                        <w:tcW w:w="284" w:type="dxa"/>
                        <w:tcBorders>
                          <w:top w:val="single" w:sz="8" w:space="0" w:color="CBE7E5"/>
                          <w:left w:val="nil"/>
                          <w:bottom w:val="single" w:sz="8" w:space="0" w:color="CBE7E5"/>
                          <w:right w:val="nil"/>
                        </w:tcBorders>
                        <w:shd w:val="clear" w:color="000000" w:fill="DE94B1"/>
                      </w:tcPr>
                      <w:p w:rsidR="00622A92" w:rsidRDefault="00622A92">
                        <w:pPr>
                          <w:keepNext/>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 xml:space="preserve">Apoio do </w:t>
                        </w:r>
                        <w:r>
                          <w:rPr>
                            <w:rFonts w:ascii="Times New Roman" w:hAnsi="Times New Roman"/>
                            <w:noProof/>
                            <w:sz w:val="18"/>
                          </w:rPr>
                          <w:t>Fundo de Coesão</w:t>
                        </w:r>
                      </w:p>
                    </w:tc>
                  </w:tr>
                  <w:tr w:rsidR="00622A92">
                    <w:trPr>
                      <w:trHeight w:val="227"/>
                    </w:trPr>
                    <w:tc>
                      <w:tcPr>
                        <w:tcW w:w="284" w:type="dxa"/>
                        <w:tcBorders>
                          <w:top w:val="single" w:sz="8" w:space="0" w:color="CBE7E5"/>
                          <w:left w:val="nil"/>
                          <w:bottom w:val="nil"/>
                          <w:right w:val="nil"/>
                        </w:tcBorders>
                        <w:shd w:val="clear" w:color="000000" w:fill="EEEEEF"/>
                      </w:tcPr>
                      <w:p w:rsidR="00622A92" w:rsidRDefault="00622A92">
                        <w:pPr>
                          <w:keepNext/>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Outras regiões</w:t>
                        </w:r>
                      </w:p>
                    </w:tc>
                  </w:tr>
                </w:tbl>
                <w:p w:rsidR="00622A92" w:rsidRDefault="00622A92">
                  <w:pPr>
                    <w:keepNext/>
                    <w:rPr>
                      <w:rFonts w:ascii="Times New Roman" w:eastAsia="EC Square Sans Pro" w:hAnsi="Times New Roman"/>
                      <w:noProof/>
                    </w:rPr>
                  </w:pPr>
                </w:p>
                <w:p w:rsidR="00622A92" w:rsidRDefault="00622A92">
                  <w:pPr>
                    <w:keepNext/>
                    <w:rPr>
                      <w:rFonts w:ascii="Times New Roman" w:eastAsia="EC Square Sans Pro" w:hAnsi="Times New Roman"/>
                      <w:b/>
                      <w:noProof/>
                      <w:sz w:val="4"/>
                      <w:szCs w:val="4"/>
                    </w:rPr>
                  </w:pPr>
                </w:p>
              </w:tc>
              <w:tc>
                <w:tcPr>
                  <w:tcW w:w="2983" w:type="dxa"/>
                </w:tcPr>
                <w:p w:rsidR="00622A92" w:rsidRDefault="00110FC7">
                  <w:pPr>
                    <w:keepNext/>
                    <w:ind w:left="34"/>
                    <w:rPr>
                      <w:rFonts w:ascii="Times New Roman" w:eastAsia="EC Square Sans Pro" w:hAnsi="Times New Roman"/>
                      <w:b/>
                      <w:noProof/>
                      <w:sz w:val="21"/>
                      <w:szCs w:val="21"/>
                    </w:rPr>
                  </w:pPr>
                  <w:r>
                    <w:rPr>
                      <w:rFonts w:ascii="Times New Roman" w:hAnsi="Times New Roman"/>
                      <w:b/>
                      <w:noProof/>
                      <w:sz w:val="21"/>
                      <w:szCs w:val="21"/>
                    </w:rPr>
                    <w:t>Cenário 3: Apoio apenas aos países beneficiários do Fundo de Coesão</w:t>
                  </w:r>
                </w:p>
                <w:p w:rsidR="00622A92" w:rsidRDefault="00622A92">
                  <w:pPr>
                    <w:keepNext/>
                    <w:ind w:left="34"/>
                    <w:rPr>
                      <w:rFonts w:ascii="Times New Roman" w:eastAsia="EC Square Sans Pro" w:hAnsi="Times New Roman"/>
                      <w:i/>
                      <w:noProof/>
                    </w:rPr>
                  </w:pPr>
                </w:p>
                <w:p w:rsidR="00622A92" w:rsidRDefault="00622A92">
                  <w:pPr>
                    <w:keepNext/>
                    <w:ind w:left="29"/>
                    <w:rPr>
                      <w:rFonts w:ascii="Times New Roman" w:eastAsia="EC Square Sans Pro" w:hAnsi="Times New Roman"/>
                      <w:noProof/>
                      <w:sz w:val="16"/>
                      <w:szCs w:val="16"/>
                    </w:rPr>
                  </w:pPr>
                </w:p>
                <w:p w:rsidR="00622A92" w:rsidRDefault="00110FC7">
                  <w:pPr>
                    <w:keepNext/>
                    <w:spacing w:after="40"/>
                    <w:ind w:left="28" w:right="-113"/>
                    <w:rPr>
                      <w:rFonts w:ascii="Times New Roman" w:eastAsia="EC Square Sans Pro" w:hAnsi="Times New Roman"/>
                      <w:noProof/>
                      <w:sz w:val="21"/>
                      <w:szCs w:val="21"/>
                    </w:rPr>
                  </w:pPr>
                  <w:r>
                    <w:rPr>
                      <w:rFonts w:ascii="Times New Roman" w:hAnsi="Times New Roman"/>
                      <w:noProof/>
                      <w:sz w:val="21"/>
                      <w:szCs w:val="21"/>
                    </w:rPr>
                    <w:t>Regiões potencialmente elegíveis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622A92">
                    <w:trPr>
                      <w:trHeight w:val="227"/>
                    </w:trPr>
                    <w:tc>
                      <w:tcPr>
                        <w:tcW w:w="284" w:type="dxa"/>
                        <w:tcBorders>
                          <w:top w:val="nil"/>
                          <w:left w:val="nil"/>
                          <w:bottom w:val="single" w:sz="8" w:space="0" w:color="CBE7E5"/>
                          <w:right w:val="nil"/>
                        </w:tcBorders>
                        <w:shd w:val="clear" w:color="000000" w:fill="9E004F"/>
                      </w:tcPr>
                      <w:p w:rsidR="00622A92" w:rsidRDefault="00622A92">
                        <w:pPr>
                          <w:keepNext/>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Apoio regional</w:t>
                        </w:r>
                      </w:p>
                    </w:tc>
                  </w:tr>
                  <w:tr w:rsidR="00622A92">
                    <w:trPr>
                      <w:trHeight w:val="227"/>
                    </w:trPr>
                    <w:tc>
                      <w:tcPr>
                        <w:tcW w:w="284" w:type="dxa"/>
                        <w:tcBorders>
                          <w:top w:val="single" w:sz="8" w:space="0" w:color="CBE7E5"/>
                          <w:left w:val="nil"/>
                          <w:bottom w:val="single" w:sz="8" w:space="0" w:color="CBE7E5"/>
                          <w:right w:val="nil"/>
                        </w:tcBorders>
                        <w:shd w:val="clear" w:color="000000" w:fill="DE94B1"/>
                      </w:tcPr>
                      <w:p w:rsidR="00622A92" w:rsidRDefault="00622A92">
                        <w:pPr>
                          <w:keepNext/>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Apoio do Fundo de Coesão</w:t>
                        </w:r>
                      </w:p>
                    </w:tc>
                  </w:tr>
                  <w:tr w:rsidR="00622A92">
                    <w:trPr>
                      <w:trHeight w:val="227"/>
                    </w:trPr>
                    <w:tc>
                      <w:tcPr>
                        <w:tcW w:w="284" w:type="dxa"/>
                        <w:tcBorders>
                          <w:top w:val="single" w:sz="8" w:space="0" w:color="CBE7E5"/>
                          <w:left w:val="nil"/>
                          <w:bottom w:val="nil"/>
                          <w:right w:val="nil"/>
                        </w:tcBorders>
                        <w:shd w:val="clear" w:color="000000" w:fill="EEEEEF"/>
                      </w:tcPr>
                      <w:p w:rsidR="00622A92" w:rsidRDefault="00622A92">
                        <w:pPr>
                          <w:keepNext/>
                          <w:ind w:left="29"/>
                          <w:rPr>
                            <w:rFonts w:ascii="Times New Roman" w:eastAsia="EC Square Sans Pro" w:hAnsi="Times New Roman"/>
                            <w:noProof/>
                          </w:rPr>
                        </w:pPr>
                      </w:p>
                    </w:tc>
                    <w:tc>
                      <w:tcPr>
                        <w:tcW w:w="2251" w:type="dxa"/>
                        <w:tcBorders>
                          <w:top w:val="single" w:sz="8" w:space="0" w:color="CBE7E5"/>
                          <w:left w:val="nil"/>
                          <w:bottom w:val="nil"/>
                          <w:right w:val="nil"/>
                        </w:tcBorders>
                      </w:tcPr>
                      <w:p w:rsidR="00622A92" w:rsidRDefault="00110FC7">
                        <w:pPr>
                          <w:keepNext/>
                          <w:ind w:left="29"/>
                          <w:rPr>
                            <w:rFonts w:ascii="Times New Roman" w:eastAsia="EC Square Sans Pro" w:hAnsi="Times New Roman"/>
                            <w:noProof/>
                            <w:sz w:val="18"/>
                            <w:szCs w:val="18"/>
                          </w:rPr>
                        </w:pPr>
                        <w:r>
                          <w:rPr>
                            <w:rFonts w:ascii="Times New Roman" w:hAnsi="Times New Roman"/>
                            <w:noProof/>
                            <w:sz w:val="18"/>
                          </w:rPr>
                          <w:t>Outras regiões</w:t>
                        </w:r>
                      </w:p>
                    </w:tc>
                  </w:tr>
                </w:tbl>
                <w:p w:rsidR="00622A92" w:rsidRDefault="00622A92">
                  <w:pPr>
                    <w:keepNext/>
                    <w:rPr>
                      <w:rFonts w:ascii="Times New Roman" w:eastAsia="EC Square Sans Pro" w:hAnsi="Times New Roman"/>
                      <w:noProof/>
                    </w:rPr>
                  </w:pPr>
                </w:p>
                <w:p w:rsidR="00622A92" w:rsidRDefault="00622A92">
                  <w:pPr>
                    <w:keepNext/>
                    <w:rPr>
                      <w:rFonts w:ascii="Times New Roman" w:eastAsia="EC Square Sans Pro" w:hAnsi="Times New Roman"/>
                      <w:b/>
                      <w:noProof/>
                      <w:sz w:val="4"/>
                      <w:szCs w:val="4"/>
                    </w:rPr>
                  </w:pPr>
                </w:p>
              </w:tc>
            </w:tr>
          </w:tbl>
          <w:p w:rsidR="00622A92" w:rsidRDefault="00622A92">
            <w:pPr>
              <w:keepNext/>
              <w:ind w:left="70"/>
              <w:jc w:val="center"/>
              <w:rPr>
                <w:rFonts w:ascii="Times New Roman" w:eastAsia="EC Square Sans Pro" w:hAnsi="Times New Roman"/>
                <w:noProof/>
                <w:sz w:val="24"/>
                <w:szCs w:val="24"/>
              </w:rPr>
            </w:pPr>
          </w:p>
        </w:tc>
      </w:tr>
    </w:tbl>
    <w:p w:rsidR="00622A92" w:rsidRDefault="00110FC7">
      <w:pPr>
        <w:spacing w:before="24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Uma </w:t>
      </w:r>
      <w:r>
        <w:rPr>
          <w:rFonts w:ascii="Times New Roman" w:hAnsi="Times New Roman"/>
          <w:b/>
          <w:noProof/>
          <w:sz w:val="24"/>
        </w:rPr>
        <w:t>política agrícola comum</w:t>
      </w:r>
      <w:r>
        <w:rPr>
          <w:rFonts w:ascii="Times New Roman" w:hAnsi="Times New Roman"/>
          <w:noProof/>
          <w:sz w:val="24"/>
        </w:rPr>
        <w:t xml:space="preserve"> modernizada deverá apoiar a transição para um setor agrícola plenamente sustentável e o desenvolvimento de zonas rurais dinâmicas, bem como garantir o acesso a uma alimentação segura, de alta qualidade, financeiramente acessível, nutritiva e variada. Uma </w:t>
      </w:r>
      <w:r>
        <w:rPr>
          <w:rFonts w:ascii="Times New Roman" w:hAnsi="Times New Roman"/>
          <w:noProof/>
          <w:sz w:val="24"/>
        </w:rPr>
        <w:t>política agrícola comum modernizada deve intensificar o seu valor acrescentado europeu, refletindo um maior nível de ambição ambiental e climática e dando resposta às expectativas dos cidadãos no que toca à sua saúde, ao ambiente e ao clima. A Europa neces</w:t>
      </w:r>
      <w:r>
        <w:rPr>
          <w:rFonts w:ascii="Times New Roman" w:hAnsi="Times New Roman"/>
          <w:noProof/>
          <w:sz w:val="24"/>
        </w:rPr>
        <w:t xml:space="preserve">sita de um setor agrícola adaptável e resiliente, baseado num tecido socioeconómico sólido nas zonas rurais.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1088" behindDoc="0" locked="0" layoutInCell="1" allowOverlap="1">
                      <wp:simplePos x="0" y="0"/>
                      <wp:positionH relativeFrom="column">
                        <wp:posOffset>170180</wp:posOffset>
                      </wp:positionH>
                      <wp:positionV relativeFrom="paragraph">
                        <wp:posOffset>52070</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4pt;margin-top:4.1pt;width:45.25pt;height:45.25pt;z-index:25180108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    </w:t>
            </w:r>
            <w:r>
              <w:rPr>
                <w:rFonts w:ascii="Times New Roman" w:hAnsi="Times New Roman"/>
                <w:b/>
                <w:i/>
                <w:noProof/>
                <w:color w:val="2AA19F"/>
                <w:spacing w:val="-2"/>
                <w:sz w:val="24"/>
              </w:rPr>
              <w:t>Que nível de ambição para uma política agrícola comum eficiente?</w:t>
            </w:r>
          </w:p>
        </w:tc>
      </w:tr>
      <w:tr w:rsidR="00622A92">
        <w:trPr>
          <w:cantSplit/>
          <w:trHeight w:val="7044"/>
        </w:trPr>
        <w:tc>
          <w:tcPr>
            <w:tcW w:w="9288" w:type="dxa"/>
            <w:shd w:val="clear" w:color="auto" w:fill="CBE7E5"/>
          </w:tcPr>
          <w:p w:rsidR="00622A92" w:rsidRDefault="00110FC7">
            <w:pPr>
              <w:pStyle w:val="BodyText"/>
              <w:tabs>
                <w:tab w:val="left" w:pos="9072"/>
              </w:tabs>
              <w:spacing w:line="242" w:lineRule="auto"/>
              <w:ind w:left="306"/>
              <w:jc w:val="both"/>
              <w:rPr>
                <w:rFonts w:ascii="Times New Roman" w:eastAsia="EC Square Sans Cond Pro" w:hAnsi="Times New Roman"/>
                <w:noProof/>
                <w:color w:val="231F20"/>
                <w:sz w:val="20"/>
                <w:szCs w:val="20"/>
              </w:rPr>
            </w:pPr>
            <w:r>
              <w:rPr>
                <w:rFonts w:ascii="Times New Roman" w:hAnsi="Times New Roman"/>
                <w:noProof/>
                <w:color w:val="231F20"/>
                <w:sz w:val="20"/>
              </w:rPr>
              <w:t xml:space="preserve">No âmbito do atual quadro financeiro </w:t>
            </w:r>
            <w:r>
              <w:rPr>
                <w:rFonts w:ascii="Times New Roman" w:hAnsi="Times New Roman"/>
                <w:noProof/>
                <w:color w:val="231F20"/>
                <w:sz w:val="20"/>
              </w:rPr>
              <w:t>2014-2020, a política agrícola comum mobiliza cerca de 400 mil milhões de EUR para financiar medidas de mercado, pagamentos diretos aos agricultores e programas de desenvolvimento rural tendo em vista promover a agricultura sustentável e economias rurais v</w:t>
            </w:r>
            <w:r>
              <w:rPr>
                <w:rFonts w:ascii="Times New Roman" w:hAnsi="Times New Roman"/>
                <w:noProof/>
                <w:color w:val="231F20"/>
                <w:sz w:val="20"/>
              </w:rPr>
              <w:t>iáveis.</w:t>
            </w:r>
            <w:r>
              <w:rPr>
                <w:rFonts w:ascii="Times New Roman" w:hAnsi="Times New Roman"/>
                <w:noProof/>
                <w:sz w:val="20"/>
              </w:rPr>
              <w:t xml:space="preserve"> Os pagamentos diretos representam cerca de 70 % desse montante. </w:t>
            </w:r>
            <w:r>
              <w:rPr>
                <w:rFonts w:ascii="Times New Roman" w:hAnsi="Times New Roman"/>
                <w:noProof/>
                <w:color w:val="231F20"/>
                <w:sz w:val="20"/>
              </w:rPr>
              <w:t xml:space="preserve">Os programas de desenvolvimento rural apoiam o investimento, a formação e uma produção agrícola mais eficiente em termos de recursos, absorvendo atualmente cerca de 100 mil milhões de </w:t>
            </w:r>
            <w:r>
              <w:rPr>
                <w:rFonts w:ascii="Times New Roman" w:hAnsi="Times New Roman"/>
                <w:noProof/>
                <w:color w:val="231F20"/>
                <w:sz w:val="20"/>
              </w:rPr>
              <w:t>EUR ao longo do referido período. Estes programas são cofinanciados pelos Estados-Membros. Graças à política agrícola comum, a União está a ajudar a enfrentar problemas estruturais nas zonas rurais, nomeadamente a falta de oportunidades de emprego atrativa</w:t>
            </w:r>
            <w:r>
              <w:rPr>
                <w:rFonts w:ascii="Times New Roman" w:hAnsi="Times New Roman"/>
                <w:noProof/>
                <w:color w:val="231F20"/>
                <w:sz w:val="20"/>
              </w:rPr>
              <w:t xml:space="preserve">s e a escassez de competências. Entre os principais objetivos da União contam-se a criação de novas cadeias de valor, como a energia limpa e a bioenergia, e a ajuda às zonas rurais no aproveitamento do seu valor paisagístico. </w:t>
            </w:r>
          </w:p>
          <w:p w:rsidR="00622A92" w:rsidRDefault="00110FC7">
            <w:pPr>
              <w:pStyle w:val="BodyText"/>
              <w:tabs>
                <w:tab w:val="left" w:pos="9072"/>
              </w:tabs>
              <w:spacing w:before="71" w:line="242" w:lineRule="auto"/>
              <w:ind w:left="305"/>
              <w:jc w:val="both"/>
              <w:rPr>
                <w:rFonts w:ascii="Times New Roman" w:eastAsia="EC Square Sans Cond Pro" w:hAnsi="Times New Roman"/>
                <w:noProof/>
                <w:color w:val="231F20"/>
                <w:sz w:val="20"/>
                <w:szCs w:val="20"/>
              </w:rPr>
            </w:pPr>
            <w:r>
              <w:rPr>
                <w:rFonts w:ascii="Times New Roman" w:hAnsi="Times New Roman"/>
                <w:noProof/>
                <w:color w:val="231F20"/>
                <w:sz w:val="20"/>
              </w:rPr>
              <w:t>Estão em curso vários debates</w:t>
            </w:r>
            <w:r>
              <w:rPr>
                <w:rFonts w:ascii="Times New Roman" w:hAnsi="Times New Roman"/>
                <w:noProof/>
                <w:color w:val="231F20"/>
                <w:sz w:val="20"/>
              </w:rPr>
              <w:t xml:space="preserve"> sobre a forma de tirar o melhor partido dos pagamentos diretos, destacando-se a proposta de os reduzir e orientar melhor, em consonância com os objetivos deste domínio de intervenção. </w:t>
            </w:r>
            <w:r>
              <w:rPr>
                <w:rFonts w:ascii="Times New Roman" w:hAnsi="Times New Roman"/>
                <w:b/>
                <w:noProof/>
                <w:color w:val="231F20"/>
                <w:spacing w:val="-3"/>
                <w:sz w:val="20"/>
              </w:rPr>
              <w:t>Atualmente, 80 % dos pagamentos diretos destinam-se a 20 % dos agricult</w:t>
            </w:r>
            <w:r>
              <w:rPr>
                <w:rFonts w:ascii="Times New Roman" w:hAnsi="Times New Roman"/>
                <w:b/>
                <w:noProof/>
                <w:color w:val="231F20"/>
                <w:spacing w:val="-3"/>
                <w:sz w:val="20"/>
              </w:rPr>
              <w:t>ores</w:t>
            </w:r>
            <w:r>
              <w:rPr>
                <w:rFonts w:ascii="Times New Roman" w:hAnsi="Times New Roman"/>
                <w:noProof/>
                <w:color w:val="231F20"/>
                <w:sz w:val="20"/>
              </w:rPr>
              <w:t xml:space="preserve">. São igualmente objeto de debate as formas de reduzir as disparidades entre os Estados-Membros no que respeita ao apoio à agricultura. Alterar o sistema de pagamentos diretos constituiria uma oportunidade para centrá-lo nos resultados esperados - uma </w:t>
            </w:r>
            <w:r>
              <w:rPr>
                <w:rFonts w:ascii="Times New Roman" w:hAnsi="Times New Roman"/>
                <w:noProof/>
                <w:color w:val="231F20"/>
                <w:sz w:val="20"/>
              </w:rPr>
              <w:t>produção agrícola sustentável em regiões menos rentáveis ou montanhosas, uma atenção particular às explorações agrícolas de pequena e média dimensão, investimentos em sistemas produtivos sustentáveis e eficientes em termos de recursos e uma melhor coordena</w:t>
            </w:r>
            <w:r>
              <w:rPr>
                <w:rFonts w:ascii="Times New Roman" w:hAnsi="Times New Roman"/>
                <w:noProof/>
                <w:color w:val="231F20"/>
                <w:sz w:val="20"/>
              </w:rPr>
              <w:t xml:space="preserve">ção com as medidas de desenvolvimento rural. </w:t>
            </w:r>
          </w:p>
          <w:p w:rsidR="00622A92" w:rsidRDefault="00110FC7">
            <w:pPr>
              <w:pStyle w:val="BodyText"/>
              <w:tabs>
                <w:tab w:val="left" w:pos="9072"/>
              </w:tabs>
              <w:spacing w:before="71" w:line="242" w:lineRule="auto"/>
              <w:ind w:left="305"/>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5184" behindDoc="0" locked="0" layoutInCell="1" allowOverlap="1">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8051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É possível </w:t>
            </w:r>
            <w:r>
              <w:rPr>
                <w:rFonts w:ascii="Times New Roman" w:hAnsi="Times New Roman"/>
                <w:b/>
                <w:noProof/>
                <w:sz w:val="20"/>
              </w:rPr>
              <w:t>aumentar o apoio às explorações agrícolas de pequena e média dimensão</w:t>
            </w:r>
            <w:r>
              <w:rPr>
                <w:rFonts w:ascii="Times New Roman" w:hAnsi="Times New Roman"/>
                <w:noProof/>
                <w:sz w:val="20"/>
              </w:rPr>
              <w:t xml:space="preserve">, com efeitos positivos para as zonas rurais, através de uma melhor orientação, mantendo os níveis de despesa de </w:t>
            </w:r>
            <w:r>
              <w:rPr>
                <w:rFonts w:ascii="Times New Roman" w:hAnsi="Times New Roman"/>
                <w:b/>
                <w:noProof/>
                <w:sz w:val="20"/>
              </w:rPr>
              <w:t>cerca de 400 mil</w:t>
            </w:r>
            <w:r>
              <w:rPr>
                <w:rFonts w:ascii="Times New Roman" w:hAnsi="Times New Roman"/>
                <w:b/>
                <w:noProof/>
                <w:sz w:val="20"/>
              </w:rPr>
              <w:t xml:space="preserve"> milhões de EUR</w:t>
            </w:r>
            <w:r>
              <w:rPr>
                <w:rStyle w:val="FootnoteReference"/>
                <w:rFonts w:ascii="Times New Roman" w:hAnsi="Times New Roman"/>
                <w:noProof/>
              </w:rPr>
              <w:footnoteReference w:id="5"/>
            </w:r>
            <w:r>
              <w:rPr>
                <w:rFonts w:ascii="Times New Roman" w:hAnsi="Times New Roman"/>
                <w:noProof/>
                <w:sz w:val="20"/>
              </w:rPr>
              <w:t xml:space="preserve"> para a política agrícola comum do atual quadro financeiro plurianual.</w:t>
            </w:r>
            <w:r>
              <w:rPr>
                <w:rFonts w:ascii="Times New Roman" w:hAnsi="Times New Roman"/>
                <w:noProof/>
                <w:color w:val="231F20"/>
                <w:sz w:val="20"/>
              </w:rPr>
              <w:t xml:space="preserve"> </w:t>
            </w:r>
          </w:p>
          <w:p w:rsidR="00622A92" w:rsidRDefault="00110FC7">
            <w:pPr>
              <w:pStyle w:val="BodyText"/>
              <w:tabs>
                <w:tab w:val="left" w:pos="9072"/>
              </w:tabs>
              <w:spacing w:before="71" w:line="242" w:lineRule="auto"/>
              <w:ind w:left="305"/>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799040" behindDoc="0" locked="0" layoutInCell="1" allowOverlap="1">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Uma redução do apoio à política agrícola comum em 30 % representaria </w:t>
            </w:r>
            <w:r>
              <w:rPr>
                <w:rFonts w:ascii="Times New Roman" w:hAnsi="Times New Roman"/>
                <w:b/>
                <w:noProof/>
                <w:color w:val="231F20"/>
                <w:sz w:val="20"/>
              </w:rPr>
              <w:t>cerca de 120 mil milhões de EUR</w:t>
            </w:r>
            <w:r>
              <w:rPr>
                <w:rFonts w:ascii="Times New Roman" w:hAnsi="Times New Roman"/>
                <w:noProof/>
                <w:color w:val="231F20"/>
                <w:sz w:val="20"/>
              </w:rPr>
              <w:t xml:space="preserve"> durante o período de vigência do próximo quadro financeiro plurian</w:t>
            </w:r>
            <w:r>
              <w:rPr>
                <w:rFonts w:ascii="Times New Roman" w:hAnsi="Times New Roman"/>
                <w:noProof/>
                <w:color w:val="231F20"/>
                <w:sz w:val="20"/>
              </w:rPr>
              <w:t>ual, ou seja, cerca de 11 % do atual quadro financeiro plurianual,</w:t>
            </w:r>
            <w:r>
              <w:rPr>
                <w:rFonts w:ascii="Times New Roman" w:hAnsi="Times New Roman"/>
                <w:noProof/>
                <w:color w:val="231F20"/>
                <w:spacing w:val="-1"/>
                <w:sz w:val="20"/>
              </w:rPr>
              <w:t xml:space="preserve"> </w:t>
            </w:r>
            <w:r>
              <w:rPr>
                <w:rFonts w:ascii="Times New Roman" w:hAnsi="Times New Roman"/>
                <w:noProof/>
                <w:color w:val="231F20"/>
                <w:sz w:val="20"/>
              </w:rPr>
              <w:t xml:space="preserve">o que poderia levar a uma diminuição do rendimento agrícola médio em mais de 10 % nalguns Estados-Membros e a perdas de rendimento potencialmente mais elevadas em determinados setores. </w:t>
            </w:r>
          </w:p>
          <w:p w:rsidR="00622A92" w:rsidRDefault="00110FC7">
            <w:pPr>
              <w:pStyle w:val="BodyText"/>
              <w:tabs>
                <w:tab w:val="left" w:pos="9072"/>
              </w:tabs>
              <w:spacing w:before="71" w:line="242" w:lineRule="auto"/>
              <w:ind w:left="305"/>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0064" behindDoc="0" locked="0" layoutInCell="1" allowOverlap="1">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75pt;margin-top:7.1pt;width:7.1pt;height:7.1pt;z-index:2518000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Um</w:t>
            </w:r>
            <w:r>
              <w:rPr>
                <w:rFonts w:ascii="Times New Roman" w:hAnsi="Times New Roman"/>
                <w:noProof/>
                <w:color w:val="231F20"/>
                <w:sz w:val="20"/>
              </w:rPr>
              <w:t xml:space="preserve">a redução do apoio à política agrícola comum em 15 % representaria </w:t>
            </w:r>
            <w:r>
              <w:rPr>
                <w:rFonts w:ascii="Times New Roman" w:hAnsi="Times New Roman"/>
                <w:b/>
                <w:noProof/>
                <w:color w:val="231F20"/>
                <w:sz w:val="20"/>
              </w:rPr>
              <w:t>cerca de 60 mil milhões de EUR</w:t>
            </w:r>
            <w:r>
              <w:rPr>
                <w:rFonts w:ascii="Times New Roman" w:hAnsi="Times New Roman"/>
                <w:noProof/>
                <w:color w:val="231F20"/>
                <w:sz w:val="20"/>
              </w:rPr>
              <w:t xml:space="preserve"> durante o período de vigência do próximo quadro financeiro plurianual, ou seja, cerca de 5,5 % do atual quadro financeiro plurianual.</w:t>
            </w:r>
            <w:r>
              <w:rPr>
                <w:rFonts w:ascii="Times New Roman" w:hAnsi="Times New Roman"/>
                <w:noProof/>
                <w:color w:val="231F20"/>
                <w:spacing w:val="-1"/>
                <w:sz w:val="20"/>
              </w:rPr>
              <w:t xml:space="preserve"> Neste caso, a diminuição</w:t>
            </w:r>
            <w:r>
              <w:rPr>
                <w:rFonts w:ascii="Times New Roman" w:hAnsi="Times New Roman"/>
                <w:noProof/>
                <w:color w:val="231F20"/>
                <w:spacing w:val="-1"/>
                <w:sz w:val="20"/>
              </w:rPr>
              <w:t xml:space="preserve"> do rendimento agrícola médio seria mais limitada, mas poderia ainda ter um impacto significativo em certos setores, em função das escolhas efetuadas.</w:t>
            </w:r>
          </w:p>
          <w:p w:rsidR="00622A92" w:rsidRDefault="00110FC7">
            <w:pPr>
              <w:pStyle w:val="BodyText"/>
              <w:tabs>
                <w:tab w:val="left" w:pos="9072"/>
              </w:tabs>
              <w:spacing w:before="71" w:line="242" w:lineRule="auto"/>
              <w:ind w:left="305"/>
              <w:jc w:val="both"/>
              <w:rPr>
                <w:rFonts w:ascii="Times New Roman" w:hAnsi="Times New Roman"/>
                <w:noProof/>
                <w:color w:val="231F20"/>
                <w:sz w:val="20"/>
                <w:szCs w:val="20"/>
              </w:rPr>
            </w:pPr>
            <w:r>
              <w:rPr>
                <w:rFonts w:ascii="Times New Roman" w:hAnsi="Times New Roman"/>
                <w:noProof/>
                <w:color w:val="231F20"/>
                <w:sz w:val="20"/>
              </w:rPr>
              <w:t>Importa considerar estes vários cenários possíveis em conjunto. Qualquer redução dos pagamentos diretos d</w:t>
            </w:r>
            <w:r>
              <w:rPr>
                <w:rFonts w:ascii="Times New Roman" w:hAnsi="Times New Roman"/>
                <w:noProof/>
                <w:color w:val="231F20"/>
                <w:sz w:val="20"/>
              </w:rPr>
              <w:t>everia fazer-se acompanhar por uma melhor orientação do restante orçamento, por exemplo através de uma maior atenção às explorações agrícolas de pequena e média dimensão e de uma melhor coordenação com as medidas de desenvolvimento rural.</w:t>
            </w:r>
          </w:p>
          <w:p w:rsidR="00622A92" w:rsidRDefault="00622A92">
            <w:pPr>
              <w:spacing w:before="63" w:line="242" w:lineRule="auto"/>
              <w:ind w:left="200" w:right="283"/>
              <w:jc w:val="both"/>
              <w:rPr>
                <w:rFonts w:ascii="Times New Roman" w:hAnsi="Times New Roman"/>
                <w:noProof/>
                <w:color w:val="231F20"/>
                <w:sz w:val="10"/>
                <w:szCs w:val="10"/>
              </w:rPr>
            </w:pP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A União deve ig</w:t>
      </w:r>
      <w:r>
        <w:rPr>
          <w:rFonts w:ascii="Times New Roman" w:hAnsi="Times New Roman"/>
          <w:noProof/>
          <w:sz w:val="24"/>
        </w:rPr>
        <w:t xml:space="preserve">ualmente alcançar resultados no que toca aos seus </w:t>
      </w:r>
      <w:r>
        <w:rPr>
          <w:rFonts w:ascii="Times New Roman" w:hAnsi="Times New Roman"/>
          <w:b/>
          <w:noProof/>
          <w:sz w:val="24"/>
        </w:rPr>
        <w:t>objetivos a nível internacional</w:t>
      </w:r>
      <w:r>
        <w:rPr>
          <w:rFonts w:ascii="Times New Roman" w:hAnsi="Times New Roman"/>
          <w:noProof/>
          <w:sz w:val="24"/>
        </w:rPr>
        <w:t>. A União e os seus Estados-Membros representam, coletivamente, o maior contribuinte mundial em termos de ajuda ao desenvolvimento. Os cidadãos da UE esperam que a Europa desempenhe um papel de liderança no mundo, que promova a boa governação, a democracia</w:t>
      </w:r>
      <w:r>
        <w:rPr>
          <w:rFonts w:ascii="Times New Roman" w:hAnsi="Times New Roman"/>
          <w:noProof/>
          <w:sz w:val="24"/>
        </w:rPr>
        <w:t>, o Estado de direito e os direitos humanos, bem como um desenvolvimento económico sustentável, e que projete estabilidade e segurança, em particular na sua vizinhança imediata. Os cidadãos querem que a Europa forneça a massa crítica para enfrentar as caus</w:t>
      </w:r>
      <w:r>
        <w:rPr>
          <w:rFonts w:ascii="Times New Roman" w:hAnsi="Times New Roman"/>
          <w:noProof/>
          <w:sz w:val="24"/>
        </w:rPr>
        <w:t>as profundas dos desafios globais, como a migração irregular e o extremismo violento, que apoie o desenvolvimento sustentável, a erradicação da pobreza e promova uma melhor governação e o Estado de direito, nomeadamente através do combate à corrupção e à c</w:t>
      </w:r>
      <w:r>
        <w:rPr>
          <w:rFonts w:ascii="Times New Roman" w:hAnsi="Times New Roman"/>
          <w:noProof/>
          <w:sz w:val="24"/>
        </w:rPr>
        <w:t>riminalidade organizada. Os cidadãos querem que a Europa responda a crises, sejam elas naturais ou provocadas pelo homem, que lidere as discussões multilaterais sobre assuntos globais e que continue a promover uma ordem mundial baseada em normas e a cooper</w:t>
      </w:r>
      <w:r>
        <w:rPr>
          <w:rFonts w:ascii="Times New Roman" w:hAnsi="Times New Roman"/>
          <w:noProof/>
          <w:sz w:val="24"/>
        </w:rPr>
        <w:t xml:space="preserve">ação em domínios de interesse comum como a economia, a energia, a paz e a segurança, a defesa e a ação climática.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Paralelamente, a crise económica mundial agravou a instabilidade e vários conflitos na nossa vizinhança meridional - e não só. A crise agravo</w:t>
      </w:r>
      <w:r>
        <w:rPr>
          <w:rFonts w:ascii="Times New Roman" w:hAnsi="Times New Roman"/>
          <w:noProof/>
          <w:sz w:val="24"/>
        </w:rPr>
        <w:t xml:space="preserve">u as </w:t>
      </w:r>
      <w:r>
        <w:rPr>
          <w:rFonts w:ascii="Times New Roman" w:hAnsi="Times New Roman"/>
          <w:b/>
          <w:noProof/>
          <w:sz w:val="24"/>
        </w:rPr>
        <w:t>pressões migratórias</w:t>
      </w:r>
      <w:r>
        <w:rPr>
          <w:rFonts w:ascii="Times New Roman" w:hAnsi="Times New Roman"/>
          <w:noProof/>
          <w:sz w:val="24"/>
        </w:rPr>
        <w:t>, com um número sem precedentes de pessoas deslocadas na região, situação que se irá manter e continuará a constituir um desafio. Importa que consolidemos e reforcemos a dimensão externa dos nossos esforços para enfrentar a questão</w:t>
      </w:r>
      <w:r>
        <w:rPr>
          <w:rFonts w:ascii="Times New Roman" w:hAnsi="Times New Roman"/>
          <w:noProof/>
          <w:sz w:val="24"/>
        </w:rPr>
        <w:t xml:space="preserve"> migratória e apoiar o crescimento e a criação de emprego.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Neste contexto, importa construir sinergias inteligentes com as instituições financeiras internacionais e os bancos de desenvolvimento e de fomento nacionais, garantindo a utilização eficaz de recursos escassos e a mobilização de investimentos privados, se</w:t>
      </w:r>
      <w:r>
        <w:rPr>
          <w:rFonts w:ascii="Times New Roman" w:hAnsi="Times New Roman"/>
          <w:noProof/>
          <w:sz w:val="24"/>
        </w:rPr>
        <w:t xml:space="preserve">mpre que possível. O Fundo Europeu para o Desenvolvimento Sustentável, no centro do Plano de Investimento Externo da UE, é um modelo que poderia, no futuro, ser alargado.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spacing w:before="139"/>
              <w:ind w:left="6"/>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3136" behindDoc="0" locked="0" layoutInCell="1" allowOverlap="1">
                      <wp:simplePos x="0" y="0"/>
                      <wp:positionH relativeFrom="column">
                        <wp:posOffset>40005</wp:posOffset>
                      </wp:positionH>
                      <wp:positionV relativeFrom="paragraph">
                        <wp:posOffset>98425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3.15pt;margin-top:7.75pt;width:45.25pt;height:45.25pt;z-index:25180313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ind w:left="6"/>
              <w:jc w:val="center"/>
              <w:rPr>
                <w:rFonts w:ascii="Times New Roman" w:eastAsia="EC Square Sans Pro" w:hAnsi="Times New Roman"/>
                <w:noProof/>
                <w:sz w:val="24"/>
                <w:szCs w:val="24"/>
              </w:rPr>
            </w:pPr>
            <w:r>
              <w:rPr>
                <w:rFonts w:ascii="Times New Roman" w:hAnsi="Times New Roman"/>
                <w:b/>
                <w:i/>
                <w:noProof/>
                <w:color w:val="2AA19F"/>
                <w:sz w:val="24"/>
              </w:rPr>
              <w:t xml:space="preserve">           Qual será a melhor forma de proj</w:t>
            </w:r>
            <w:r>
              <w:rPr>
                <w:rFonts w:ascii="Times New Roman" w:hAnsi="Times New Roman"/>
                <w:b/>
                <w:i/>
                <w:noProof/>
                <w:color w:val="2AA19F"/>
                <w:sz w:val="24"/>
              </w:rPr>
              <w:t>etar os nossos interesses no estrangeiro?</w:t>
            </w:r>
          </w:p>
        </w:tc>
      </w:tr>
      <w:tr w:rsidR="00622A92">
        <w:trPr>
          <w:cantSplit/>
          <w:trHeight w:val="6114"/>
        </w:trPr>
        <w:tc>
          <w:tcPr>
            <w:tcW w:w="9288" w:type="dxa"/>
            <w:shd w:val="clear" w:color="auto" w:fill="CBE7E5"/>
          </w:tcPr>
          <w:p w:rsidR="00622A92" w:rsidRDefault="00110FC7">
            <w:pPr>
              <w:pStyle w:val="BodyText"/>
              <w:tabs>
                <w:tab w:val="left" w:pos="9072"/>
              </w:tabs>
              <w:spacing w:before="71" w:line="242" w:lineRule="auto"/>
              <w:ind w:left="305" w:right="141"/>
              <w:jc w:val="both"/>
              <w:rPr>
                <w:rFonts w:ascii="Times New Roman" w:eastAsia="EC Square Sans Cond Pro" w:hAnsi="Times New Roman"/>
                <w:noProof/>
                <w:color w:val="231F20"/>
                <w:sz w:val="20"/>
                <w:szCs w:val="20"/>
              </w:rPr>
            </w:pPr>
            <w:r>
              <w:rPr>
                <w:rFonts w:ascii="Times New Roman" w:hAnsi="Times New Roman"/>
                <w:noProof/>
                <w:color w:val="231F20"/>
                <w:sz w:val="20"/>
              </w:rPr>
              <w:t xml:space="preserve">No futuro, a União terá de dotar-se de instrumentos que lhe permitam cumprir as ambições e os desafios atuais e futuros. No quadro financeiro 2014-2020, o orçamento afetado à ação externa ascende a cerca de 66 mil milhões de EUR, o que representa cerca de </w:t>
            </w:r>
            <w:r>
              <w:rPr>
                <w:rFonts w:ascii="Times New Roman" w:hAnsi="Times New Roman"/>
                <w:noProof/>
                <w:color w:val="231F20"/>
                <w:sz w:val="20"/>
              </w:rPr>
              <w:t>6 % do atual quadro financeiro plurianual. Além disso, o Fundo Europeu de Desenvolvimento, que atualmente não se encontra abrangido pelo orçamento da União, constitui o principal instrumento para prestar ajuda ao desenvolvimento nos países da África, Caraí</w:t>
            </w:r>
            <w:r>
              <w:rPr>
                <w:rFonts w:ascii="Times New Roman" w:hAnsi="Times New Roman"/>
                <w:noProof/>
                <w:color w:val="231F20"/>
                <w:sz w:val="20"/>
              </w:rPr>
              <w:t xml:space="preserve">bas e Pacífico e nos países e territórios ultramarinos. O montante total dos recursos financeiros do 11.º Fundo Europeu de Desenvolvimento ascende a cerca de 31 mil milhões de EUR para o período de 2014-2020. </w:t>
            </w:r>
          </w:p>
          <w:p w:rsidR="00622A92" w:rsidRDefault="00110FC7">
            <w:pPr>
              <w:pStyle w:val="BodyText"/>
              <w:tabs>
                <w:tab w:val="left" w:pos="9072"/>
              </w:tabs>
              <w:spacing w:before="71" w:line="242" w:lineRule="auto"/>
              <w:ind w:left="305" w:right="141"/>
              <w:jc w:val="both"/>
              <w:rPr>
                <w:rFonts w:ascii="Times New Roman" w:eastAsia="EC Square Sans Cond Pro" w:hAnsi="Times New Roman"/>
                <w:noProof/>
                <w:color w:val="231F20"/>
                <w:sz w:val="20"/>
                <w:szCs w:val="20"/>
              </w:rPr>
            </w:pPr>
            <w:r>
              <w:rPr>
                <w:rFonts w:ascii="Times New Roman" w:hAnsi="Times New Roman"/>
                <w:noProof/>
                <w:color w:val="231F20"/>
                <w:sz w:val="20"/>
              </w:rPr>
              <w:t>No futuro:</w:t>
            </w:r>
          </w:p>
          <w:p w:rsidR="00622A92" w:rsidRDefault="00110FC7">
            <w:pPr>
              <w:pStyle w:val="BodyText"/>
              <w:tabs>
                <w:tab w:val="left" w:pos="9072"/>
              </w:tabs>
              <w:spacing w:before="71" w:line="242" w:lineRule="auto"/>
              <w:ind w:left="305" w:right="141"/>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2112" behindDoc="0" locked="0" layoutInCell="1" allowOverlap="1">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5.25pt;width:7.1pt;height:7.1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Um </w:t>
            </w:r>
            <w:r>
              <w:rPr>
                <w:rFonts w:ascii="Times New Roman" w:hAnsi="Times New Roman"/>
                <w:b/>
                <w:noProof/>
                <w:sz w:val="20"/>
              </w:rPr>
              <w:t>aumento do volume atual de fina</w:t>
            </w:r>
            <w:r>
              <w:rPr>
                <w:rFonts w:ascii="Times New Roman" w:hAnsi="Times New Roman"/>
                <w:b/>
                <w:noProof/>
                <w:sz w:val="20"/>
              </w:rPr>
              <w:t>nciamento para os instrumentos externos para além dos 100 mil milhões de EUR</w:t>
            </w:r>
            <w:r>
              <w:rPr>
                <w:rFonts w:ascii="Times New Roman" w:hAnsi="Times New Roman"/>
                <w:noProof/>
                <w:sz w:val="20"/>
              </w:rPr>
              <w:t xml:space="preserve"> durante o período permitiria à UE cumprir as ambições atuais e futuras, que abarcam a cooperação internacional, a gestão das migrações, o investimento, a governação, os direitos humanos e o Estado de direito, de forma a promover os Objetivos de Desenvolvi</w:t>
            </w:r>
            <w:r>
              <w:rPr>
                <w:rFonts w:ascii="Times New Roman" w:hAnsi="Times New Roman"/>
                <w:noProof/>
                <w:sz w:val="20"/>
              </w:rPr>
              <w:t>mento Sustentável, a ajuda humanitária, a resposta a situações de crise e a prevenção de conflitos.</w:t>
            </w:r>
            <w:r>
              <w:rPr>
                <w:rFonts w:ascii="Times New Roman" w:hAnsi="Times New Roman"/>
                <w:noProof/>
                <w:color w:val="231F20"/>
                <w:sz w:val="20"/>
              </w:rPr>
              <w:t xml:space="preserve"> Dever-se-á, em particular, apoiar a estratégia da UE para os Balcãs Ocidentais e os esforços de estabilização da UE nos países vizinhos e em África. </w:t>
            </w:r>
          </w:p>
          <w:p w:rsidR="00622A92" w:rsidRDefault="00110FC7">
            <w:pPr>
              <w:pStyle w:val="BodyText"/>
              <w:tabs>
                <w:tab w:val="left" w:pos="9072"/>
              </w:tabs>
              <w:spacing w:before="71" w:line="242" w:lineRule="auto"/>
              <w:ind w:left="305" w:right="141"/>
              <w:jc w:val="both"/>
              <w:rPr>
                <w:rFonts w:ascii="Times New Roman" w:eastAsia="EC Square Sans Cond Pro"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4160" behindDoc="0" locked="0" layoutInCell="1" allowOverlap="1">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4.9pt;width:7.1pt;height:7.1pt;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Uma </w:t>
            </w:r>
            <w:r>
              <w:rPr>
                <w:rFonts w:ascii="Times New Roman" w:hAnsi="Times New Roman"/>
                <w:b/>
                <w:noProof/>
                <w:color w:val="231F20"/>
                <w:sz w:val="20"/>
              </w:rPr>
              <w:t>s</w:t>
            </w:r>
            <w:r>
              <w:rPr>
                <w:rFonts w:ascii="Times New Roman" w:hAnsi="Times New Roman"/>
                <w:b/>
                <w:noProof/>
                <w:color w:val="231F20"/>
                <w:sz w:val="20"/>
              </w:rPr>
              <w:t>implificação e racionalização aprofundada dos instrumentos externos</w:t>
            </w:r>
            <w:r>
              <w:rPr>
                <w:rFonts w:ascii="Times New Roman" w:hAnsi="Times New Roman"/>
                <w:noProof/>
                <w:color w:val="231F20"/>
                <w:sz w:val="20"/>
              </w:rPr>
              <w:t xml:space="preserve"> contribuiria para reforçar a eficácia e a eficiência do orçamento para as relações externas. Tal poderia incluir a integração do Fundo Europeu de Desenvolvimento no quadro financeiro pluri</w:t>
            </w:r>
            <w:r>
              <w:rPr>
                <w:rFonts w:ascii="Times New Roman" w:hAnsi="Times New Roman"/>
                <w:noProof/>
                <w:color w:val="231F20"/>
                <w:sz w:val="20"/>
              </w:rPr>
              <w:t xml:space="preserve">anual, desde que essa integração se refletisse no limite máximo da despesa global e que se mantenham as flexibilidades atuais. </w:t>
            </w:r>
          </w:p>
          <w:p w:rsidR="00622A92" w:rsidRDefault="00110FC7">
            <w:pPr>
              <w:pStyle w:val="BodyText"/>
              <w:tabs>
                <w:tab w:val="left" w:pos="9072"/>
              </w:tabs>
              <w:spacing w:before="71"/>
              <w:ind w:left="306" w:right="142"/>
              <w:jc w:val="both"/>
              <w:rPr>
                <w:rFonts w:ascii="Times New Roman" w:eastAsia="Times New Roman" w:hAnsi="Times New Roman"/>
                <w:noProof/>
                <w:sz w:val="24"/>
                <w:szCs w:val="24"/>
              </w:rPr>
            </w:pPr>
            <w:r>
              <w:rPr>
                <w:rFonts w:ascii="Times New Roman" w:hAnsi="Times New Roman"/>
                <w:noProof/>
                <w:sz w:val="20"/>
              </w:rPr>
              <w:t xml:space="preserve">Importa igualmente considerar o orçamento afetado às relações externas no contexto do </w:t>
            </w:r>
            <w:r>
              <w:rPr>
                <w:rFonts w:ascii="Times New Roman" w:hAnsi="Times New Roman"/>
                <w:b/>
                <w:noProof/>
                <w:sz w:val="20"/>
              </w:rPr>
              <w:t>compromisso</w:t>
            </w:r>
            <w:r>
              <w:rPr>
                <w:rFonts w:ascii="Times New Roman" w:hAnsi="Times New Roman"/>
                <w:noProof/>
                <w:sz w:val="20"/>
              </w:rPr>
              <w:t xml:space="preserve"> coletivo da UE e dos Estados-M</w:t>
            </w:r>
            <w:r>
              <w:rPr>
                <w:rFonts w:ascii="Times New Roman" w:hAnsi="Times New Roman"/>
                <w:noProof/>
                <w:sz w:val="20"/>
              </w:rPr>
              <w:t xml:space="preserve">embros no sentido de </w:t>
            </w:r>
            <w:r>
              <w:rPr>
                <w:rFonts w:ascii="Times New Roman" w:hAnsi="Times New Roman"/>
                <w:b/>
                <w:noProof/>
                <w:sz w:val="20"/>
              </w:rPr>
              <w:t>afetar 0,7 % do Rendimento Nacional Bruto à ajuda pública ao desenvolvimento até 2030</w:t>
            </w:r>
            <w:r>
              <w:rPr>
                <w:rFonts w:ascii="Times New Roman" w:hAnsi="Times New Roman"/>
                <w:noProof/>
                <w:sz w:val="20"/>
              </w:rPr>
              <w:t>, o que implicaria um esforço adicional de cerca de 40 mil milhões de EUR durante sete anos no próximo quadro financeiro plurianual, sem a participaçã</w:t>
            </w:r>
            <w:r>
              <w:rPr>
                <w:rFonts w:ascii="Times New Roman" w:hAnsi="Times New Roman"/>
                <w:noProof/>
                <w:sz w:val="20"/>
              </w:rPr>
              <w:t>o do Reino Unido, pressupondo que a UE manteria a sua atual quota-parte de 20 % da ajuda pública ao desenvolvimento.</w:t>
            </w:r>
          </w:p>
        </w:tc>
      </w:tr>
    </w:tbl>
    <w:p w:rsidR="00622A92" w:rsidRDefault="00110FC7">
      <w:pPr>
        <w:pStyle w:val="Heading1"/>
        <w:spacing w:before="360" w:after="240"/>
        <w:ind w:left="709" w:hanging="709"/>
        <w:rPr>
          <w:rFonts w:ascii="Times New Roman" w:hAnsi="Times New Roman" w:cs="Times New Roman"/>
          <w:b w:val="0"/>
          <w:noProof/>
          <w:color w:val="006B75"/>
          <w:sz w:val="24"/>
          <w:szCs w:val="24"/>
        </w:rPr>
      </w:pPr>
      <w:r>
        <w:rPr>
          <w:rFonts w:ascii="Times New Roman" w:hAnsi="Times New Roman"/>
          <w:noProof/>
          <w:color w:val="006B75"/>
        </w:rPr>
        <w:t>4. Modernizar o orçamento da UE</w:t>
      </w:r>
      <w:r>
        <w:rPr>
          <w:rFonts w:ascii="Times New Roman" w:hAnsi="Times New Roman"/>
          <w:noProof/>
          <w:color w:val="006B75"/>
          <w:sz w:val="24"/>
        </w:rPr>
        <w:t xml:space="preserve">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As prioridades e as opções políticas supramencionadas ilustram as escolhas que terão de ser feitas para o</w:t>
      </w:r>
      <w:r>
        <w:rPr>
          <w:rFonts w:ascii="Times New Roman" w:hAnsi="Times New Roman"/>
          <w:noProof/>
          <w:sz w:val="24"/>
        </w:rPr>
        <w:t xml:space="preserve"> futuro orçamento da UE e determinarão a dimensão e a ambição do primeiro quadro financeiro plurianual da União a 27. Com efeito, estas escolhas definirão o nível de ambição da Europa e a medida em que a União irá lograr cumprir as expetativas da agenda de</w:t>
      </w:r>
      <w:r>
        <w:rPr>
          <w:rFonts w:ascii="Times New Roman" w:hAnsi="Times New Roman"/>
          <w:noProof/>
          <w:sz w:val="24"/>
        </w:rPr>
        <w:t xml:space="preserve"> Bratislava.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Importa que o próximo quadro financeiro seja suficientemente flexível e tenha uma dimensão suficientemente ampla para gerir as novas prioridades e lidar com a saída do Reino Unido. O défice resultante desta última questão deveria ser compensa</w:t>
      </w:r>
      <w:r>
        <w:rPr>
          <w:rFonts w:ascii="Times New Roman" w:hAnsi="Times New Roman"/>
          <w:noProof/>
          <w:sz w:val="24"/>
        </w:rPr>
        <w:t xml:space="preserve">do em igual medida por dinheiro «fresco» e por poupanças nos programas existentes, devendo </w:t>
      </w:r>
      <w:r>
        <w:rPr>
          <w:rFonts w:ascii="Times New Roman" w:hAnsi="Times New Roman"/>
          <w:b/>
          <w:noProof/>
          <w:sz w:val="24"/>
        </w:rPr>
        <w:t>combinar poupanças e reafetações proporcionais no orçamento da UE, tendo em vista disponibilizar recursos adicionais para cumprir as novas prioridades</w:t>
      </w:r>
      <w:r>
        <w:rPr>
          <w:rFonts w:ascii="Times New Roman" w:hAnsi="Times New Roman"/>
          <w:noProof/>
          <w:sz w:val="24"/>
        </w:rPr>
        <w:t xml:space="preserve">.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É igualmente</w:t>
      </w:r>
      <w:r>
        <w:rPr>
          <w:rFonts w:ascii="Times New Roman" w:hAnsi="Times New Roman"/>
          <w:noProof/>
          <w:sz w:val="24"/>
        </w:rPr>
        <w:t xml:space="preserve"> evidente que o impacto do orçamento europeu depende não apenas da sua dimensão como também da elaboração e execução dos programas nos vários domínios de intervenção.</w:t>
      </w:r>
      <w:r>
        <w:rPr>
          <w:rFonts w:ascii="Times New Roman" w:hAnsi="Times New Roman"/>
          <w:b/>
          <w:noProof/>
          <w:sz w:val="24"/>
        </w:rPr>
        <w:t xml:space="preserve"> O valor acrescentado europeu, um melhor desempenho e a simplificação</w:t>
      </w:r>
      <w:r>
        <w:rPr>
          <w:rFonts w:ascii="Times New Roman" w:hAnsi="Times New Roman"/>
          <w:noProof/>
          <w:sz w:val="24"/>
        </w:rPr>
        <w:t xml:space="preserve"> constituem a chave p</w:t>
      </w:r>
      <w:r>
        <w:rPr>
          <w:rFonts w:ascii="Times New Roman" w:hAnsi="Times New Roman"/>
          <w:noProof/>
          <w:sz w:val="24"/>
        </w:rPr>
        <w:t>ara um orçamento da UE moderno e eficaz. Igualmente importante para o cumprimento deste objetivo é a continuação da racionalização das normas e dos procedimentos. Os programas de despesa europeus devem refletir a nossa determinação em garantir que cada eur</w:t>
      </w:r>
      <w:r>
        <w:rPr>
          <w:rFonts w:ascii="Times New Roman" w:hAnsi="Times New Roman"/>
          <w:noProof/>
          <w:sz w:val="24"/>
        </w:rPr>
        <w:t xml:space="preserve">o é gasto da forma mais eficiente possível, com efeitos rápidos no terreno.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Tal requer uma utilização ótima de instrumentos como as </w:t>
      </w:r>
      <w:r>
        <w:rPr>
          <w:rFonts w:ascii="Times New Roman" w:hAnsi="Times New Roman"/>
          <w:b/>
          <w:noProof/>
          <w:sz w:val="24"/>
        </w:rPr>
        <w:t>garantias, os empréstimos e os instrumentos financeiros</w:t>
      </w:r>
      <w:r>
        <w:rPr>
          <w:rFonts w:ascii="Times New Roman" w:hAnsi="Times New Roman"/>
          <w:noProof/>
          <w:sz w:val="24"/>
        </w:rPr>
        <w:t>. A título de exemplo, o Fundo Europeu para Investimentos Estratégic</w:t>
      </w:r>
      <w:r>
        <w:rPr>
          <w:rFonts w:ascii="Times New Roman" w:hAnsi="Times New Roman"/>
          <w:noProof/>
          <w:sz w:val="24"/>
        </w:rPr>
        <w:t>os, que foi reforçado, desempenha atualmente um pepel fundamental na catalisação de investimentos privados em toda a Europa. Ao investirmos conjuntamente na investigação, na inovação e nas infraestruturas, conseguimos criar emprego e crescimento, enfrentan</w:t>
      </w:r>
      <w:r>
        <w:rPr>
          <w:rFonts w:ascii="Times New Roman" w:hAnsi="Times New Roman"/>
          <w:noProof/>
          <w:sz w:val="24"/>
        </w:rPr>
        <w:t xml:space="preserve">do simultaneamente os desafios globais atuais no domínio das alterações climáticas, da ciência, dos transportes, da energia e da política espacial. </w:t>
      </w:r>
    </w:p>
    <w:p w:rsidR="00622A92" w:rsidRDefault="00110FC7">
      <w:pPr>
        <w:spacing w:after="220" w:line="240" w:lineRule="auto"/>
        <w:jc w:val="both"/>
        <w:rPr>
          <w:rFonts w:ascii="Times New Roman" w:eastAsia="Calibri" w:hAnsi="Times New Roman" w:cs="Times New Roman"/>
          <w:noProof/>
          <w:sz w:val="24"/>
          <w:szCs w:val="24"/>
        </w:rPr>
      </w:pPr>
      <w:r>
        <w:rPr>
          <w:rFonts w:ascii="Times New Roman" w:hAnsi="Times New Roman"/>
          <w:noProof/>
          <w:sz w:val="24"/>
        </w:rPr>
        <w:t>A utilização eficaz destes instrumentos exige uma estratégia clara e uma abordagem racionalizada. Continuarão a ser necessárias bolsas e subvenções para projetos que não geram receitas, como o programa de intercâmbio Erasmus+ ou a ajuda humanitária. Contud</w:t>
      </w:r>
      <w:r>
        <w:rPr>
          <w:rFonts w:ascii="Times New Roman" w:hAnsi="Times New Roman"/>
          <w:noProof/>
          <w:sz w:val="24"/>
        </w:rPr>
        <w:t xml:space="preserve">o, sempre que haja um interesse do mercado, as garantias e os instrumentos financeiros podem otimizar o orçamento.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82"/>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07232" behindDoc="0" locked="0" layoutInCell="1" allowOverlap="1">
                      <wp:simplePos x="0" y="0"/>
                      <wp:positionH relativeFrom="column">
                        <wp:posOffset>36830</wp:posOffset>
                      </wp:positionH>
                      <wp:positionV relativeFrom="paragraph">
                        <wp:posOffset>2540</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2.9pt;margin-top:.2pt;width:45.25pt;height:45.25pt;z-index:25180723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spacing w:before="360"/>
              <w:ind w:left="68"/>
              <w:jc w:val="center"/>
              <w:rPr>
                <w:rFonts w:ascii="Times New Roman" w:eastAsia="SimSun" w:hAnsi="Times New Roman"/>
                <w:b/>
                <w:i/>
                <w:noProof/>
                <w:color w:val="2AA19F"/>
                <w:sz w:val="24"/>
                <w:szCs w:val="24"/>
              </w:rPr>
            </w:pPr>
            <w:r>
              <w:rPr>
                <w:rFonts w:ascii="Times New Roman" w:hAnsi="Times New Roman"/>
                <w:b/>
                <w:i/>
                <w:noProof/>
                <w:color w:val="2AA19F"/>
                <w:spacing w:val="-2"/>
                <w:sz w:val="24"/>
              </w:rPr>
              <w:t>Como obter mais resultados com menos recursos utilizando instrumentos financeiros?</w:t>
            </w:r>
          </w:p>
        </w:tc>
      </w:tr>
      <w:tr w:rsidR="00622A92">
        <w:trPr>
          <w:cantSplit/>
          <w:trHeight w:val="4104"/>
        </w:trPr>
        <w:tc>
          <w:tcPr>
            <w:tcW w:w="9288" w:type="dxa"/>
            <w:shd w:val="clear" w:color="auto" w:fill="CBE7E5"/>
          </w:tcPr>
          <w:p w:rsidR="00622A92" w:rsidRDefault="00110FC7">
            <w:pPr>
              <w:pStyle w:val="BodyText"/>
              <w:spacing w:before="240" w:line="242" w:lineRule="auto"/>
              <w:ind w:left="306" w:right="363"/>
              <w:jc w:val="both"/>
              <w:rPr>
                <w:rFonts w:ascii="Times New Roman" w:eastAsia="EC Square Sans Cond Pro" w:hAnsi="Times New Roman"/>
                <w:noProof/>
                <w:color w:val="231F20"/>
                <w:sz w:val="20"/>
                <w:szCs w:val="20"/>
              </w:rPr>
            </w:pPr>
            <w:r>
              <w:rPr>
                <w:rFonts w:ascii="Times New Roman" w:hAnsi="Times New Roman"/>
                <w:noProof/>
                <w:color w:val="231F20"/>
                <w:sz w:val="20"/>
              </w:rPr>
              <w:t xml:space="preserve">O documento de </w:t>
            </w:r>
            <w:r>
              <w:rPr>
                <w:rFonts w:ascii="Times New Roman" w:hAnsi="Times New Roman"/>
                <w:noProof/>
                <w:color w:val="231F20"/>
                <w:sz w:val="20"/>
              </w:rPr>
              <w:t>reflexão da Comissão sobre o futuro das finanças da UE sublinhou a importância das garantias e instrumentos financeiros para ajudar a «fazer mais com menos». O Fundo Europeu para Investimentos Estratégicos, por exemplo, deverá mobilizar mais de 500 mil mil</w:t>
            </w:r>
            <w:r>
              <w:rPr>
                <w:rFonts w:ascii="Times New Roman" w:hAnsi="Times New Roman"/>
                <w:noProof/>
                <w:color w:val="231F20"/>
                <w:sz w:val="20"/>
              </w:rPr>
              <w:t>hões de EUR, um importante estímulo para a economia europeia. No entanto, o atual leque de instrumentos baseados no mercado da UE está fragmentado, com quase 40 instrumentos financeiros e 3 garantias orçamentais e fundos de garantia geridos a nível central</w:t>
            </w:r>
            <w:r>
              <w:rPr>
                <w:rFonts w:ascii="Times New Roman" w:hAnsi="Times New Roman"/>
                <w:noProof/>
                <w:color w:val="231F20"/>
                <w:sz w:val="20"/>
              </w:rPr>
              <w:t xml:space="preserve">, que correspondem a cerca de 4 % do atual quadro financeiro plurianual. Se nos limitarmos às pequenas e médias empresas, contam-se 7 instrumentos financeiros geridos a nível central e várias centenas em regime de gestão partilhada. Claramente, é possível </w:t>
            </w:r>
            <w:r>
              <w:rPr>
                <w:rFonts w:ascii="Times New Roman" w:hAnsi="Times New Roman"/>
                <w:noProof/>
                <w:color w:val="231F20"/>
                <w:sz w:val="20"/>
              </w:rPr>
              <w:t>racionalizar e melhorar a eficiência.</w:t>
            </w:r>
          </w:p>
          <w:p w:rsidR="00622A92" w:rsidRDefault="00110FC7">
            <w:pPr>
              <w:pStyle w:val="BodyText"/>
              <w:spacing w:before="71" w:line="242" w:lineRule="auto"/>
              <w:ind w:left="305" w:right="363"/>
              <w:jc w:val="both"/>
              <w:rPr>
                <w:rFonts w:ascii="Times New Roman" w:eastAsia="EC Square Sans Cond Pro" w:hAnsi="Times New Roman"/>
                <w:noProof/>
                <w:color w:val="231F20"/>
                <w:spacing w:val="-1"/>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11328" behindDoc="0" locked="0" layoutInCell="1" allowOverlap="1">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5pt;margin-top:6.4pt;width:7.1pt;height:7.1pt;z-index:2518113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rPr>
              <w:t xml:space="preserve">Uma opção para melhorar a eficiência e o impacto dos instrumentos que visam o apoio ao investimento na UE seria a sua integração </w:t>
            </w:r>
            <w:r>
              <w:rPr>
                <w:rFonts w:ascii="Times New Roman" w:hAnsi="Times New Roman"/>
                <w:b/>
                <w:noProof/>
                <w:color w:val="231F20"/>
                <w:spacing w:val="-1"/>
                <w:sz w:val="20"/>
              </w:rPr>
              <w:t>num único instrumento de apoio ao investimento</w:t>
            </w:r>
            <w:r>
              <w:rPr>
                <w:rFonts w:ascii="Times New Roman" w:hAnsi="Times New Roman"/>
                <w:noProof/>
                <w:color w:val="231F20"/>
                <w:spacing w:val="-1"/>
                <w:sz w:val="20"/>
              </w:rPr>
              <w:t xml:space="preserve">, o que reforçaria o Fundo Europeu para Investimentos Estratégicos e teria um impacto positivo nos níveis de investimento, no crescimento económico e no emprego em toda a UE. </w:t>
            </w:r>
          </w:p>
          <w:p w:rsidR="00622A92" w:rsidRDefault="00110FC7">
            <w:pPr>
              <w:pStyle w:val="BodyText"/>
              <w:spacing w:before="71" w:after="240" w:line="242" w:lineRule="auto"/>
              <w:ind w:left="306" w:right="363"/>
              <w:jc w:val="both"/>
              <w:rPr>
                <w:rFonts w:ascii="Times New Roman" w:hAnsi="Times New Roman"/>
                <w:noProof/>
              </w:rPr>
            </w:pPr>
            <w:r>
              <w:rPr>
                <w:rFonts w:ascii="Times New Roman" w:hAnsi="Times New Roman"/>
                <w:noProof/>
                <w:sz w:val="20"/>
              </w:rPr>
              <w:t>Uma utilização mais generalizada de instrumentos financeiros e garantias orçamen</w:t>
            </w:r>
            <w:r>
              <w:rPr>
                <w:rFonts w:ascii="Times New Roman" w:hAnsi="Times New Roman"/>
                <w:noProof/>
                <w:sz w:val="20"/>
              </w:rPr>
              <w:t xml:space="preserve">tais poderia </w:t>
            </w:r>
            <w:r>
              <w:rPr>
                <w:rFonts w:ascii="Times New Roman" w:hAnsi="Times New Roman"/>
                <w:b/>
                <w:noProof/>
                <w:sz w:val="20"/>
              </w:rPr>
              <w:t>mais do que duplicar</w:t>
            </w:r>
            <w:r>
              <w:rPr>
                <w:rFonts w:ascii="Times New Roman" w:hAnsi="Times New Roman"/>
                <w:noProof/>
                <w:sz w:val="20"/>
              </w:rPr>
              <w:t xml:space="preserve"> os investimentos mobilizados durante o próximo quadro financeiro plurianual, até 2 biliões de EUR.</w:t>
            </w:r>
            <w:r>
              <w:rPr>
                <w:rFonts w:ascii="Times New Roman" w:hAnsi="Times New Roman"/>
                <w:noProof/>
              </w:rPr>
              <w:t xml:space="preserve"> </w:t>
            </w:r>
            <w:r>
              <w:rPr>
                <w:rFonts w:ascii="Times New Roman" w:hAnsi="Times New Roman"/>
                <w:noProof/>
                <w:sz w:val="20"/>
                <w:lang w:val="en-GB" w:eastAsia="en-GB" w:bidi="ar-SA"/>
              </w:rPr>
              <mc:AlternateContent>
                <mc:Choice Requires="wps">
                  <w:drawing>
                    <wp:anchor distT="0" distB="0" distL="114300" distR="114300" simplePos="0" relativeHeight="25181030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103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lang w:val="en-GB" w:eastAsia="en-GB" w:bidi="ar-SA"/>
              </w:rPr>
              <mc:AlternateContent>
                <mc:Choice Requires="wps">
                  <w:drawing>
                    <wp:anchor distT="0" distB="0" distL="114300" distR="114300" simplePos="0" relativeHeight="25180620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62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 </w:t>
      </w:r>
      <w:r>
        <w:rPr>
          <w:rFonts w:ascii="Times New Roman" w:hAnsi="Times New Roman"/>
          <w:b/>
          <w:noProof/>
          <w:sz w:val="24"/>
        </w:rPr>
        <w:t>flexibilidade</w:t>
      </w:r>
      <w:r>
        <w:rPr>
          <w:rFonts w:ascii="Times New Roman" w:hAnsi="Times New Roman"/>
          <w:noProof/>
          <w:sz w:val="24"/>
        </w:rPr>
        <w:t xml:space="preserve"> orçamental é outro princípio fundamental em que deve assentar o próximo quadro financeiro plurianual, e</w:t>
      </w:r>
      <w:r>
        <w:rPr>
          <w:rFonts w:ascii="Times New Roman" w:hAnsi="Times New Roman"/>
          <w:noProof/>
          <w:sz w:val="24"/>
        </w:rPr>
        <w:t xml:space="preserve">ssencial para que a UE se possa adaptar às novas necessidades e à conjuntura geopolítica externa e interna instável. Baseados nos mecanismos existentes, os instrumentos especiais continuarão a ser cruciais para responder a novos desafios como as migrações </w:t>
      </w:r>
      <w:r>
        <w:rPr>
          <w:rFonts w:ascii="Times New Roman" w:hAnsi="Times New Roman"/>
          <w:noProof/>
          <w:sz w:val="24"/>
        </w:rPr>
        <w:t>ou a ajuda humanitária. Afigura-se igualmente oportuno repensar os mecanismos existentes, de forma a assegurar que os fundos afetados apoiam eficazmente as prioridades europeias, o que, nem sempre acontece atualmente, visto que parte das autorizações orçam</w:t>
      </w:r>
      <w:r>
        <w:rPr>
          <w:rFonts w:ascii="Times New Roman" w:hAnsi="Times New Roman"/>
          <w:noProof/>
          <w:sz w:val="24"/>
        </w:rPr>
        <w:t>entais previstas no quadro financeiro plurianual são posteriormente anuladas. Isto pode acontecer por várias razões, como atrasos no arranque de projetos, erros formais na sua execução ou erros no reembolso de custos. Consequentemente, o orçamento da UE nã</w:t>
      </w:r>
      <w:r>
        <w:rPr>
          <w:rFonts w:ascii="Times New Roman" w:hAnsi="Times New Roman"/>
          <w:noProof/>
          <w:sz w:val="24"/>
        </w:rPr>
        <w:t xml:space="preserve">o é utilizado em todo o seu potencial para apoiar os objetivos da UE e proporcionar valor acrescentado europeu, o que significa que perdemos oportunidades de apoiar as nossas prioridades comuns.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shd w:val="clear" w:color="auto" w:fill="FFFF00"/>
                <w:lang w:val="en-GB" w:eastAsia="en-GB" w:bidi="ar-SA"/>
              </w:rPr>
              <mc:AlternateContent>
                <mc:Choice Requires="wpg">
                  <w:drawing>
                    <wp:anchor distT="0" distB="0" distL="114300" distR="114300" simplePos="0" relativeHeight="251808256" behindDoc="0" locked="0" layoutInCell="1" allowOverlap="1">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5.2pt;margin-top:4.05pt;width:45.25pt;height:45.25pt;z-index:2518082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EB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">
                      <v:shape id="Freeform 2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8fMQA&#10;AADcAAAADwAAAGRycy9kb3ducmV2LnhtbESPQWvCQBSE7wX/w/KE3urGQFuNriKK4KGHNuYHPLLP&#10;JCb7NuyuGv+9Kwg9DjPzDbNcD6YTV3K+saxgOklAEJdWN1wpKI77jxkIH5A1dpZJwZ08rFejtyVm&#10;2t74j655qESEsM9QQR1Cn0npy5oM+ontiaN3ss5giNJVUju8RbjpZJokX9Jgw3Ghxp62NZVtfjEK&#10;3Lbdpe3nzn0n5rw5/OSF+90XSr2Ph80CRKAh/Idf7YNWkM5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fHz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lJsYA&#10;AADcAAAADwAAAGRycy9kb3ducmV2LnhtbESPS2/CMBCE70j8B2srcQMHqFCbYlCFeB0QlJfU4yre&#10;JqHxOsQGwr+vkZB6HM3ONzvDcW0KcaXK5ZYVdDsRCOLE6pxTBYf9rP0GwnlkjYVlUnAnB+NRszHE&#10;WNsbb+m686kIEHYxKsi8L2MpXZKRQdexJXHwfmxl0AdZpVJXeAtwU8heFA2kwZxDQ4YlTTJKfncX&#10;E974/lo7v9niPVqspvPz/nii165SrZf68wOEp9r/Hz/TS62g996Hx5hAA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lJ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IsQA&#10;AADcAAAADwAAAGRycy9kb3ducmV2LnhtbESPQWsCMRSE70L/Q3iFXqRmFbG6NYoUKoKHsrbeXzfP&#10;zeLmJW5SXf+9KQgeh5n5hpkvO9uIM7WhdqxgOMhAEJdO11wp+Pn+fJ2CCBFZY+OYFFwpwHLx1Jtj&#10;rt2FCzrvYiUShEOOCkyMPpcylIYshoHzxMk7uNZiTLKtpG7xkuC2kaMsm0iLNacFg54+DJXH3Z9V&#10;8Db1tjjJ8XrtV1/9Pf4aV28LpV6eu9U7iEhdfITv7Y1WMJq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CL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vVsUA&#10;AADcAAAADwAAAGRycy9kb3ducmV2LnhtbESPT2vCQBTE7wW/w/IEb3WTQFuNriJasR4s/gOvj+wz&#10;iWbfhuyq6bfvCoUeh5n5DTOetqYSd2pcaVlB3I9AEGdWl5wrOB6WrwMQziNrrCyTgh9yMJ10XsaY&#10;avvgHd33PhcBwi5FBYX3dSqlywoy6Pq2Jg7e2TYGfZBNLnWDjwA3lUyi6F0aLDksFFjTvKDsur8Z&#10;Be31sjgN5Dr+2JKLV99J+bkZzpXqddvZCISn1v+H/9pfWkEyfI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9W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hi8MA&#10;AADcAAAADwAAAGRycy9kb3ducmV2LnhtbESPzWrCQBSF94LvMFzBnZnoImh0lCAEu7ClNT7AJXNN&#10;gpk7ITNN0rfvFAouD+fn4xxOk2nFQL1rLCtYRzEI4tLqhisF9yJfbUE4j6yxtUwKfsjB6TifHTDV&#10;duQvGm6+EmGEXYoKau+7VEpX1mTQRbYjDt7D9gZ9kH0ldY9jGDet3MRxIg02HAg1dnSuqXzevk2A&#10;5Nk2Wz8+yotr8uvnqLO2eB+VWi6mbA/C0+Rf4f/2m1aw2SX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hi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qsMA&#10;AADcAAAADwAAAGRycy9kb3ducmV2LnhtbESPzWoCMRSF9wXfIVyhu5pRi22nE0VEwYVdaNv9ZXI7&#10;M5jchCQ649s3BaHLw/n5ONVqsEZcKcTOsYLppABBXDvdcaPg63P39AoiJmSNxjEpuFGE1XL0UGGp&#10;Xc9Hup5SI/IIxxIVtCn5UspYt2QxTpwnzt6PCxZTlqGROmCfx62Rs6JYSIsdZ0KLnjYt1efTxWbI&#10;+RYu7mOxnX8XG7Mzfn/w+lmpx/GwfgeRaEj/4Xt7rxXM3l7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Dq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 xml:space="preserve">Como tirar o </w:t>
            </w:r>
            <w:r>
              <w:rPr>
                <w:rFonts w:ascii="Times New Roman" w:hAnsi="Times New Roman"/>
                <w:b/>
                <w:i/>
                <w:noProof/>
                <w:color w:val="2AA19F"/>
                <w:spacing w:val="-2"/>
                <w:sz w:val="24"/>
              </w:rPr>
              <w:t>máximo partido dos fundos anulados?</w:t>
            </w:r>
          </w:p>
        </w:tc>
      </w:tr>
      <w:tr w:rsidR="00622A92">
        <w:trPr>
          <w:cantSplit/>
          <w:trHeight w:val="3310"/>
        </w:trPr>
        <w:tc>
          <w:tcPr>
            <w:tcW w:w="9288" w:type="dxa"/>
            <w:shd w:val="clear" w:color="auto" w:fill="CBE7E5"/>
          </w:tcPr>
          <w:p w:rsidR="00622A92" w:rsidRDefault="00110FC7">
            <w:pPr>
              <w:pStyle w:val="BodyText"/>
              <w:spacing w:before="71" w:line="242" w:lineRule="auto"/>
              <w:ind w:left="305" w:right="363"/>
              <w:jc w:val="both"/>
              <w:rPr>
                <w:rFonts w:ascii="Times New Roman" w:hAnsi="Times New Roman"/>
                <w:noProof/>
                <w:color w:val="231F20"/>
                <w:sz w:val="20"/>
                <w:szCs w:val="20"/>
              </w:rPr>
            </w:pPr>
            <w:r>
              <w:rPr>
                <w:rFonts w:ascii="Times New Roman" w:hAnsi="Times New Roman"/>
                <w:noProof/>
                <w:color w:val="231F20"/>
                <w:sz w:val="20"/>
              </w:rPr>
              <w:t>Atualmente, os fundos autorizados do orçamento da UE que acabam por não ser utilizados na execução dos programas da UE são anulados. Estes recursos reduzem os cálculos anuais das contribuições nacionais brutas dos Estad</w:t>
            </w:r>
            <w:r>
              <w:rPr>
                <w:rFonts w:ascii="Times New Roman" w:hAnsi="Times New Roman"/>
                <w:noProof/>
                <w:color w:val="231F20"/>
                <w:sz w:val="20"/>
              </w:rPr>
              <w:t xml:space="preserve">os-Membros, por comparação com a plena execução das autorizações orçamentais. </w:t>
            </w:r>
          </w:p>
          <w:p w:rsidR="00622A92" w:rsidRDefault="00110FC7">
            <w:pPr>
              <w:pStyle w:val="BodyText"/>
              <w:spacing w:before="71" w:line="242" w:lineRule="auto"/>
              <w:ind w:left="305" w:right="363"/>
              <w:jc w:val="both"/>
              <w:rPr>
                <w:rFonts w:ascii="Times New Roman"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09280"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pt;margin-top:6.55pt;width:7.1pt;height:7.1pt;z-index:251809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Dever-se-ia, em vez de anular estes montantes, utilizá-los como uma </w:t>
            </w:r>
            <w:r>
              <w:rPr>
                <w:rFonts w:ascii="Times New Roman" w:hAnsi="Times New Roman"/>
                <w:b/>
                <w:noProof/>
                <w:color w:val="231F20"/>
                <w:sz w:val="20"/>
              </w:rPr>
              <w:t>reserva da União</w:t>
            </w:r>
            <w:r>
              <w:rPr>
                <w:rFonts w:ascii="Times New Roman" w:hAnsi="Times New Roman"/>
                <w:noProof/>
                <w:color w:val="231F20"/>
                <w:sz w:val="20"/>
              </w:rPr>
              <w:t>, a ativar quando fosse necessário cumprir prioridades comuns e responder a desafios comuns.</w:t>
            </w:r>
            <w:r>
              <w:rPr>
                <w:rFonts w:ascii="Times New Roman" w:hAnsi="Times New Roman"/>
                <w:noProof/>
                <w:color w:val="231F20"/>
                <w:sz w:val="20"/>
              </w:rPr>
              <w:t xml:space="preserve"> As previsões atuais permitem antever que se poderiam disponibilizar </w:t>
            </w:r>
            <w:r>
              <w:rPr>
                <w:rFonts w:ascii="Times New Roman" w:hAnsi="Times New Roman"/>
                <w:b/>
                <w:noProof/>
                <w:color w:val="231F20"/>
                <w:spacing w:val="-1"/>
                <w:sz w:val="20"/>
              </w:rPr>
              <w:t>cerca de 21 a 28 mil milhões de EUR através deste mecanismo, durante um período de 7 anos</w:t>
            </w:r>
            <w:r>
              <w:rPr>
                <w:rFonts w:ascii="Times New Roman" w:hAnsi="Times New Roman"/>
                <w:noProof/>
                <w:color w:val="231F20"/>
                <w:sz w:val="20"/>
              </w:rPr>
              <w:t xml:space="preserve">. Estes fundos poderiam ter sido utilizados, por exemplo, em 2015, para financiar o Fundo Europeu </w:t>
            </w:r>
            <w:r>
              <w:rPr>
                <w:rFonts w:ascii="Times New Roman" w:hAnsi="Times New Roman"/>
                <w:noProof/>
                <w:color w:val="231F20"/>
                <w:sz w:val="20"/>
              </w:rPr>
              <w:t xml:space="preserve">para Investimentos Estratégicos e colmatar as lacunas no investimento então patentes, em consequência da crise financeira, em vez de cortar fundos a programas importantes como o Horizonte 2020 ou o Mecanismo Interligar a Europa. Do mesmo modo, poder-se-ia </w:t>
            </w:r>
            <w:r>
              <w:rPr>
                <w:rFonts w:ascii="Times New Roman" w:hAnsi="Times New Roman"/>
                <w:noProof/>
                <w:color w:val="231F20"/>
                <w:sz w:val="20"/>
              </w:rPr>
              <w:t>ter recorrido à reserva em 2016 para apoiar a criação do Mecanismo em Favor dos Refugiados na Turquia, que exigiu a plena flexibilidade do orçamento da UE e contributos individuais por parte dos Estados-Membros. Esta opção teria igualmente permitido canali</w:t>
            </w:r>
            <w:r>
              <w:rPr>
                <w:rFonts w:ascii="Times New Roman" w:hAnsi="Times New Roman"/>
                <w:noProof/>
                <w:color w:val="231F20"/>
                <w:sz w:val="20"/>
              </w:rPr>
              <w:t xml:space="preserve">zar rapidamente mais fundos para enfrentar a crise migratória. </w:t>
            </w:r>
          </w:p>
          <w:p w:rsidR="00622A92" w:rsidRDefault="00110FC7">
            <w:pPr>
              <w:pStyle w:val="BodyText"/>
              <w:spacing w:before="71" w:line="242" w:lineRule="auto"/>
              <w:ind w:left="305" w:right="363"/>
              <w:jc w:val="both"/>
              <w:rPr>
                <w:rFonts w:ascii="Times New Roman"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0544" behindDoc="0" locked="0" layoutInCell="1" allowOverlap="1">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pt;margin-top:6.55pt;width:7.1pt;height:7.1pt;z-index:2518205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No mundo atual, em rápida mutação, ocorrem eventos imprevisíveis com cada vez mais frequência, aos quais a reserva da União permitiria reagir de forma mais rápida e decisiva. A execução do pr</w:t>
            </w:r>
            <w:r>
              <w:rPr>
                <w:rFonts w:ascii="Times New Roman" w:hAnsi="Times New Roman"/>
                <w:noProof/>
                <w:color w:val="231F20"/>
                <w:sz w:val="20"/>
              </w:rPr>
              <w:t>óximo quadro financeiro prolongar-se-á por quase dez anos. Esta estabilidade a longo prazo constitui uma vantagem, mas também nos impõe limites. Uma reserva da União constituiria um novo e poderoso instrumento suficientemente flexível para responder a acon</w:t>
            </w:r>
            <w:r>
              <w:rPr>
                <w:rFonts w:ascii="Times New Roman" w:hAnsi="Times New Roman"/>
                <w:noProof/>
                <w:color w:val="231F20"/>
                <w:sz w:val="20"/>
              </w:rPr>
              <w:t xml:space="preserve">tecimentos imprevistos e a situações de emergência em domínios como a segurança e as migrações. </w:t>
            </w:r>
          </w:p>
          <w:p w:rsidR="00622A92" w:rsidRDefault="00622A92">
            <w:pPr>
              <w:spacing w:before="63" w:line="248" w:lineRule="exact"/>
              <w:ind w:left="392"/>
              <w:jc w:val="both"/>
              <w:rPr>
                <w:rFonts w:ascii="Times New Roman" w:eastAsia="EC Square Sans Pro" w:hAnsi="Times New Roman"/>
                <w:noProof/>
              </w:rPr>
            </w:pPr>
          </w:p>
        </w:tc>
      </w:tr>
    </w:tbl>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Por último, aquando do debate público, foi sugerido que se poderia estabelecer um elo entre a utilização de fundos do orçamento da UE e o </w:t>
      </w:r>
      <w:r>
        <w:rPr>
          <w:rFonts w:ascii="Times New Roman" w:hAnsi="Times New Roman"/>
          <w:b/>
          <w:noProof/>
          <w:sz w:val="24"/>
        </w:rPr>
        <w:t xml:space="preserve">respeito pelos </w:t>
      </w:r>
      <w:r>
        <w:rPr>
          <w:rFonts w:ascii="Times New Roman" w:hAnsi="Times New Roman"/>
          <w:b/>
          <w:noProof/>
          <w:sz w:val="24"/>
        </w:rPr>
        <w:t>valores estabelecidos no artigo 2.º</w:t>
      </w:r>
      <w:r>
        <w:rPr>
          <w:rFonts w:ascii="Times New Roman" w:hAnsi="Times New Roman"/>
          <w:noProof/>
          <w:sz w:val="24"/>
        </w:rPr>
        <w:t xml:space="preserve"> do Tratado da UE, em particular a situação em termos de Estado de direito nos Estados-Membros. Alguns foram ainda mais longe, defendendo que violações graves da legislação da UE deveriam ter consequências e conduzir à su</w:t>
      </w:r>
      <w:r>
        <w:rPr>
          <w:rFonts w:ascii="Times New Roman" w:hAnsi="Times New Roman"/>
          <w:noProof/>
          <w:sz w:val="24"/>
        </w:rPr>
        <w:t xml:space="preserve">spensão do desembolso de fundos do orçamento da UE.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 União Europeia é uma comunidade de direito, cujos valores constituem a própria base da sua existência, manifestando-se em toda a sua estrutura jurídica e institucional e em todos os seus domínios de in</w:t>
      </w:r>
      <w:r>
        <w:rPr>
          <w:rFonts w:ascii="Times New Roman" w:hAnsi="Times New Roman"/>
          <w:noProof/>
          <w:sz w:val="24"/>
        </w:rPr>
        <w:t>tervenção e programas. Importa, por conseguinte, garantir o respeito por estes valores em todos os domínios de intervenção da União. Este princípio inclui o orçamento da UE, sempre que o respeito pelos valores fundamentais seja um pré-requisito essencial p</w:t>
      </w:r>
      <w:r>
        <w:rPr>
          <w:rFonts w:ascii="Times New Roman" w:hAnsi="Times New Roman"/>
          <w:noProof/>
          <w:sz w:val="24"/>
        </w:rPr>
        <w:t>ara uma gestão financeira sólida e eficaz dos fundos da UE. O respeito pelo Estado de direito é importante para os cidadãos europeus, bem como para as iniciativas empresariais, a inovação e o investimento; a prosperidade da economia europeia manifesta-se m</w:t>
      </w:r>
      <w:r>
        <w:rPr>
          <w:rFonts w:ascii="Times New Roman" w:hAnsi="Times New Roman"/>
          <w:noProof/>
          <w:sz w:val="24"/>
        </w:rPr>
        <w:t xml:space="preserve">ais fortemente quando o quadro jurídico e institucional adere plenamente aos valores comuns da União.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12352" behindDoc="0" locked="0" layoutInCell="1" allowOverlap="1">
                      <wp:simplePos x="0" y="0"/>
                      <wp:positionH relativeFrom="column">
                        <wp:posOffset>169545</wp:posOffset>
                      </wp:positionH>
                      <wp:positionV relativeFrom="paragraph">
                        <wp:posOffset>57785</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8"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2"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3"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35pt;margin-top:4.55pt;width:45.25pt;height:45.25pt;z-index:2518123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567"/>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pacing w:val="-2"/>
                <w:sz w:val="24"/>
              </w:rPr>
              <w:t>Devem os financiamentos da UE ser mais condicionados?</w:t>
            </w:r>
          </w:p>
        </w:tc>
      </w:tr>
      <w:tr w:rsidR="00622A92">
        <w:trPr>
          <w:cantSplit/>
          <w:trHeight w:val="4969"/>
        </w:trPr>
        <w:tc>
          <w:tcPr>
            <w:tcW w:w="9288" w:type="dxa"/>
            <w:shd w:val="clear" w:color="auto" w:fill="CBE7E5"/>
          </w:tcPr>
          <w:p w:rsidR="00622A92" w:rsidRDefault="00110FC7">
            <w:pPr>
              <w:pStyle w:val="BodyText"/>
              <w:tabs>
                <w:tab w:val="left" w:pos="9072"/>
              </w:tabs>
              <w:spacing w:before="71" w:line="242" w:lineRule="auto"/>
              <w:ind w:left="305" w:right="141"/>
              <w:jc w:val="both"/>
              <w:rPr>
                <w:rFonts w:ascii="Times New Roman" w:eastAsia="Times New Roman" w:hAnsi="Times New Roman"/>
                <w:noProof/>
                <w:sz w:val="20"/>
                <w:szCs w:val="20"/>
              </w:rPr>
            </w:pPr>
            <w:r>
              <w:rPr>
                <w:rFonts w:ascii="Times New Roman" w:hAnsi="Times New Roman"/>
                <w:noProof/>
                <w:color w:val="231F20"/>
                <w:spacing w:val="-1"/>
                <w:sz w:val="20"/>
              </w:rPr>
              <w:t xml:space="preserve">Só é possível utilizar plenamente o potencial do orçamento da UE se o ambiente económico, regulamentar e administrativo do Estado-Membro for favorável. </w:t>
            </w:r>
          </w:p>
          <w:p w:rsidR="00622A92" w:rsidRDefault="00110FC7">
            <w:pPr>
              <w:pStyle w:val="BodyText"/>
              <w:tabs>
                <w:tab w:val="left" w:pos="9072"/>
              </w:tabs>
              <w:spacing w:before="71" w:line="242" w:lineRule="auto"/>
              <w:ind w:left="305" w:right="141"/>
              <w:jc w:val="both"/>
              <w:rPr>
                <w:rFonts w:ascii="Times New Roman" w:eastAsia="Times New Roman" w:hAnsi="Times New Roman"/>
                <w:noProof/>
                <w:sz w:val="20"/>
                <w:szCs w:val="20"/>
              </w:rPr>
            </w:pPr>
            <w:r>
              <w:rPr>
                <w:rFonts w:ascii="Times New Roman" w:hAnsi="Times New Roman"/>
                <w:noProof/>
                <w:color w:val="231F20"/>
                <w:spacing w:val="-1"/>
                <w:sz w:val="20"/>
              </w:rPr>
              <w:t>É por esta razão que, no âmbito do atual quadro financeiro plurianual, todos os Estados-Membros e benef</w:t>
            </w:r>
            <w:r>
              <w:rPr>
                <w:rFonts w:ascii="Times New Roman" w:hAnsi="Times New Roman"/>
                <w:noProof/>
                <w:color w:val="231F20"/>
                <w:spacing w:val="-1"/>
                <w:sz w:val="20"/>
              </w:rPr>
              <w:t>iciários têm de demonstrar a solidez do seu quadro regulamentar de gestão financeira, que a regulamentação da UE pertinente é aplicada corretamente e que dispõem das capacidades administrativas e institucionais necessárias para garantir o êxito do financia</w:t>
            </w:r>
            <w:r>
              <w:rPr>
                <w:rFonts w:ascii="Times New Roman" w:hAnsi="Times New Roman"/>
                <w:noProof/>
                <w:color w:val="231F20"/>
                <w:spacing w:val="-1"/>
                <w:sz w:val="20"/>
              </w:rPr>
              <w:t>mento europeu.</w:t>
            </w:r>
            <w:r>
              <w:rPr>
                <w:rFonts w:ascii="Times New Roman" w:hAnsi="Times New Roman"/>
                <w:noProof/>
                <w:sz w:val="20"/>
              </w:rPr>
              <w:t xml:space="preserve"> Importa referir que a condicionalidade da política orçamental pode contribuir para a cooperação entre Estados-Membros em domínios nos quais as economias de escala ou externalidades são significativas. O atual quadro financeiro plurianual int</w:t>
            </w:r>
            <w:r>
              <w:rPr>
                <w:rFonts w:ascii="Times New Roman" w:hAnsi="Times New Roman"/>
                <w:noProof/>
                <w:sz w:val="20"/>
              </w:rPr>
              <w:t xml:space="preserve">roduziu igualmente novas disposições para evitar situações em que políticas económicas e orçamentais desadequadas afetam a eficiência do financiamento da UE. </w:t>
            </w:r>
          </w:p>
          <w:p w:rsidR="00622A92" w:rsidRDefault="00110FC7">
            <w:pPr>
              <w:pStyle w:val="BodyText"/>
              <w:tabs>
                <w:tab w:val="left" w:pos="9072"/>
              </w:tabs>
              <w:spacing w:before="71" w:line="242" w:lineRule="auto"/>
              <w:ind w:left="305" w:right="141"/>
              <w:jc w:val="both"/>
              <w:rPr>
                <w:rFonts w:ascii="Times New Roman" w:eastAsia="Times New Roman" w:hAnsi="Times New Roman"/>
                <w:noProof/>
                <w:sz w:val="20"/>
                <w:szCs w:val="20"/>
              </w:rPr>
            </w:pPr>
            <w:r>
              <w:rPr>
                <w:rFonts w:ascii="Times New Roman" w:hAnsi="Times New Roman"/>
                <w:noProof/>
                <w:color w:val="231F20"/>
                <w:spacing w:val="-1"/>
                <w:sz w:val="20"/>
              </w:rPr>
              <w:t>O novo quadro financeiro plurianual constitui uma boa oportunidade para verificar se estes princí</w:t>
            </w:r>
            <w:r>
              <w:rPr>
                <w:rFonts w:ascii="Times New Roman" w:hAnsi="Times New Roman"/>
                <w:noProof/>
                <w:color w:val="231F20"/>
                <w:spacing w:val="-1"/>
                <w:sz w:val="20"/>
              </w:rPr>
              <w:t xml:space="preserve">pios criaram uma plataforma sólida para alcançar resultados e como se poderá reforçar a relação entre o financiamento da UE e o respeito pelos seus valores fundamentais. </w:t>
            </w:r>
          </w:p>
          <w:p w:rsidR="00622A92" w:rsidRDefault="00110FC7">
            <w:pPr>
              <w:pStyle w:val="BodyText"/>
              <w:tabs>
                <w:tab w:val="left" w:pos="9072"/>
              </w:tabs>
              <w:spacing w:before="71" w:line="242" w:lineRule="auto"/>
              <w:ind w:left="305" w:right="141"/>
              <w:jc w:val="both"/>
              <w:rPr>
                <w:rFonts w:ascii="Times New Roman" w:eastAsia="Times New Roman" w:hAnsi="Times New Roman"/>
                <w:noProof/>
                <w:sz w:val="20"/>
                <w:szCs w:val="20"/>
              </w:rPr>
            </w:pPr>
            <w:r>
              <w:rPr>
                <w:rFonts w:ascii="Times New Roman" w:hAnsi="Times New Roman"/>
                <w:noProof/>
                <w:color w:val="231F20"/>
                <w:spacing w:val="-1"/>
                <w:sz w:val="20"/>
              </w:rPr>
              <w:t>Qualquer mecanismo deste tipo teria de ser transparente, proporcional e juridicamente</w:t>
            </w:r>
            <w:r>
              <w:rPr>
                <w:rFonts w:ascii="Times New Roman" w:hAnsi="Times New Roman"/>
                <w:noProof/>
                <w:color w:val="231F20"/>
                <w:spacing w:val="-1"/>
                <w:sz w:val="20"/>
              </w:rPr>
              <w:t xml:space="preserve"> seguro. Não obstante o mesmo poder aplicar-se, em princípio, a todos os domínios pertinentes ligados às despesas do orçamento da UE, qualquer condicionalidade financeira deveria ser precisa, proporcionada e garantir uma ligação suficiente entre as condiçõ</w:t>
            </w:r>
            <w:r>
              <w:rPr>
                <w:rFonts w:ascii="Times New Roman" w:hAnsi="Times New Roman"/>
                <w:noProof/>
                <w:color w:val="231F20"/>
                <w:spacing w:val="-1"/>
                <w:sz w:val="20"/>
              </w:rPr>
              <w:t>es impostas e o objetivo do financiamento. Importa igualmente considerar, no âmbito deste debate, o impacto de possíveis violações de valores fundamentais ou do Estado de direito ao nível nacional em beneficiários individuais de financiamento europeu, tais</w:t>
            </w:r>
            <w:r>
              <w:rPr>
                <w:rFonts w:ascii="Times New Roman" w:hAnsi="Times New Roman"/>
                <w:noProof/>
                <w:color w:val="231F20"/>
                <w:spacing w:val="-1"/>
                <w:sz w:val="20"/>
              </w:rPr>
              <w:t xml:space="preserve"> como os estudantes Erasmus, os investigadores e as organizações da sociedade civil, que não são responsáveis por essas violações</w:t>
            </w:r>
            <w:r>
              <w:rPr>
                <w:rFonts w:ascii="Times New Roman" w:hAnsi="Times New Roman"/>
                <w:noProof/>
                <w:sz w:val="24"/>
                <w:vertAlign w:val="superscript"/>
              </w:rPr>
              <w:footnoteReference w:id="6"/>
            </w:r>
            <w:r>
              <w:rPr>
                <w:rFonts w:ascii="Times New Roman" w:hAnsi="Times New Roman"/>
                <w:noProof/>
                <w:color w:val="231F20"/>
                <w:spacing w:val="-1"/>
                <w:sz w:val="20"/>
              </w:rPr>
              <w:t>.</w:t>
            </w:r>
            <w:r>
              <w:rPr>
                <w:rFonts w:ascii="Times New Roman" w:hAnsi="Times New Roman"/>
                <w:noProof/>
                <w:sz w:val="20"/>
              </w:rPr>
              <w:t xml:space="preserve"> </w:t>
            </w:r>
          </w:p>
        </w:tc>
      </w:tr>
    </w:tbl>
    <w:p w:rsidR="00110FC7" w:rsidRDefault="00110FC7">
      <w:pPr>
        <w:pStyle w:val="Heading1"/>
        <w:spacing w:before="280" w:after="200"/>
        <w:ind w:left="709" w:hanging="709"/>
        <w:rPr>
          <w:rFonts w:ascii="Times New Roman" w:hAnsi="Times New Roman"/>
          <w:noProof/>
          <w:color w:val="006B75"/>
        </w:rPr>
      </w:pPr>
    </w:p>
    <w:p w:rsidR="00110FC7" w:rsidRDefault="00110FC7" w:rsidP="00110FC7">
      <w:pPr>
        <w:rPr>
          <w:rFonts w:eastAsiaTheme="majorEastAsia" w:cstheme="majorBidi"/>
          <w:noProof/>
          <w:sz w:val="28"/>
          <w:szCs w:val="28"/>
        </w:rPr>
      </w:pPr>
      <w:r>
        <w:rPr>
          <w:noProof/>
        </w:rPr>
        <w:br w:type="page"/>
      </w:r>
    </w:p>
    <w:p w:rsidR="00622A92" w:rsidRDefault="00110FC7">
      <w:pPr>
        <w:pStyle w:val="Heading1"/>
        <w:spacing w:before="280" w:after="200"/>
        <w:ind w:left="709" w:hanging="709"/>
        <w:rPr>
          <w:rFonts w:ascii="Times New Roman" w:hAnsi="Times New Roman" w:cs="Times New Roman"/>
          <w:noProof/>
          <w:color w:val="006B75"/>
        </w:rPr>
      </w:pPr>
      <w:r>
        <w:rPr>
          <w:rFonts w:ascii="Times New Roman" w:hAnsi="Times New Roman"/>
          <w:noProof/>
          <w:color w:val="006B75"/>
        </w:rPr>
        <w:t>5. Financiar o orçamento da UE</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debate sobre o quadro financeiro pós-2020 abrangerá não apenas os domínios que irão beneficiar do orçamento da UE como também o seu financiamento futuro. A parte do orçamento respeitante às receitas aumentou em complexidade e a ligação entre os objetivos</w:t>
      </w:r>
      <w:r>
        <w:rPr>
          <w:rFonts w:ascii="Times New Roman" w:hAnsi="Times New Roman"/>
          <w:noProof/>
          <w:sz w:val="24"/>
        </w:rPr>
        <w:t xml:space="preserve"> do orçamento da UE e a forma como este é financiado foi-se progressivamente atenuando. </w:t>
      </w:r>
    </w:p>
    <w:p w:rsidR="00622A92" w:rsidRDefault="00110FC7">
      <w:pPr>
        <w:keepNext/>
        <w:spacing w:after="240" w:line="240" w:lineRule="auto"/>
        <w:jc w:val="center"/>
        <w:rPr>
          <w:rFonts w:ascii="Times New Roman" w:eastAsia="Calibri" w:hAnsi="Times New Roman" w:cs="Times New Roman"/>
          <w:b/>
          <w:noProof/>
          <w:sz w:val="24"/>
          <w:szCs w:val="24"/>
        </w:rPr>
      </w:pPr>
      <w:r>
        <w:rPr>
          <w:rFonts w:ascii="Times New Roman" w:hAnsi="Times New Roman"/>
          <w:b/>
          <w:noProof/>
          <w:sz w:val="24"/>
        </w:rPr>
        <w:t>Fontes de financiamento do orçamento da UE</w:t>
      </w:r>
      <w:r>
        <w:rPr>
          <w:rFonts w:ascii="Times New Roman" w:eastAsia="EC Square Sans Cond Pro" w:hAnsi="Times New Roman" w:cs="Times New Roman"/>
          <w:noProof/>
          <w:sz w:val="24"/>
          <w:szCs w:val="24"/>
          <w:lang w:val="en-GB" w:eastAsia="en-GB" w:bidi="ar-SA"/>
        </w:rPr>
        <mc:AlternateContent>
          <mc:Choice Requires="wpg">
            <w:drawing>
              <wp:inline distT="0" distB="0" distL="0" distR="0">
                <wp:extent cx="4938470" cy="2664732"/>
                <wp:effectExtent l="0" t="0" r="0" b="0"/>
                <wp:docPr id="3" name="Group 2"/>
                <wp:cNvGraphicFramePr/>
                <a:graphic xmlns:a="http://schemas.openxmlformats.org/drawingml/2006/main">
                  <a:graphicData uri="http://schemas.microsoft.com/office/word/2010/wordprocessingGroup">
                    <wpg:wgp>
                      <wpg:cNvGrpSpPr/>
                      <wpg:grpSpPr>
                        <a:xfrm>
                          <a:off x="0" y="0"/>
                          <a:ext cx="4938470" cy="2664732"/>
                          <a:chOff x="-94622" y="15168"/>
                          <a:chExt cx="4371660" cy="2782266"/>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10610" y="15168"/>
                            <a:ext cx="3168952" cy="2603169"/>
                          </a:xfrm>
                          <a:prstGeom prst="rect">
                            <a:avLst/>
                          </a:prstGeom>
                        </pic:spPr>
                      </pic:pic>
                      <wps:wsp>
                        <wps:cNvPr id="32" name="Rectangle 4"/>
                        <wps:cNvSpPr/>
                        <wps:spPr>
                          <a:xfrm>
                            <a:off x="-94622" y="225044"/>
                            <a:ext cx="445507" cy="1531702"/>
                          </a:xfrm>
                          <a:prstGeom prst="rect">
                            <a:avLst/>
                          </a:prstGeom>
                        </wps:spPr>
                        <wps:txbx>
                          <w:txbxContent>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1,2 %</w:t>
                              </w:r>
                            </w:p>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1,0 %</w:t>
                              </w:r>
                            </w:p>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0,8 %</w:t>
                              </w:r>
                            </w:p>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0,6 %</w:t>
                              </w:r>
                            </w:p>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0,4 %</w:t>
                              </w:r>
                            </w:p>
                            <w:p w:rsidR="00622A92" w:rsidRDefault="00110FC7">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0,2 %</w:t>
                              </w:r>
                            </w:p>
                            <w:p w:rsidR="00622A92" w:rsidRDefault="00110FC7">
                              <w:pPr>
                                <w:pStyle w:val="NormalWeb"/>
                                <w:spacing w:after="140"/>
                                <w:jc w:val="right"/>
                                <w:rPr>
                                  <w:rFonts w:ascii="Times New Roman" w:hAnsi="Times New Roman"/>
                                  <w:sz w:val="18"/>
                                  <w:szCs w:val="18"/>
                                </w:rPr>
                              </w:pPr>
                              <w:r>
                                <w:rPr>
                                  <w:rFonts w:ascii="Times New Roman" w:hAnsi="Times New Roman"/>
                                  <w:color w:val="7F7F7F"/>
                                  <w:kern w:val="24"/>
                                  <w:sz w:val="16"/>
                                  <w:szCs w:val="16"/>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18900000">
                            <a:off x="1092677" y="175163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18900000">
                            <a:off x="1988596" y="175163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18900000">
                            <a:off x="2895796" y="175107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154395" y="35059"/>
                            <a:ext cx="2015165" cy="228584"/>
                          </a:xfrm>
                          <a:prstGeom prst="rect">
                            <a:avLst/>
                          </a:prstGeom>
                        </wps:spPr>
                        <wps:txbx>
                          <w:txbxContent>
                            <w:p w:rsidR="00622A92" w:rsidRDefault="00110FC7">
                              <w:pPr>
                                <w:pStyle w:val="NormalWeb"/>
                                <w:rPr>
                                  <w:rFonts w:ascii="Times New Roman" w:hAnsi="Times New Roman"/>
                                  <w:sz w:val="18"/>
                                  <w:szCs w:val="18"/>
                                </w:rPr>
                              </w:pPr>
                              <w:r>
                                <w:rPr>
                                  <w:rFonts w:ascii="Times New Roman" w:hAnsi="Times New Roman"/>
                                  <w:color w:val="808080"/>
                                  <w:kern w:val="24"/>
                                  <w:sz w:val="18"/>
                                </w:rPr>
                                <w:t>% do Rendimento Nacional Bruto</w:t>
                              </w:r>
                            </w:p>
                          </w:txbxContent>
                        </wps:txbx>
                        <wps:bodyPr wrap="square">
                          <a:noAutofit/>
                        </wps:bodyPr>
                      </wps:wsp>
                      <wps:wsp>
                        <wps:cNvPr id="98" name="Rectangle 19"/>
                        <wps:cNvSpPr/>
                        <wps:spPr>
                          <a:xfrm>
                            <a:off x="350885" y="2186456"/>
                            <a:ext cx="1392089" cy="610978"/>
                          </a:xfrm>
                          <a:prstGeom prst="rect">
                            <a:avLst/>
                          </a:prstGeom>
                        </wps:spPr>
                        <wps:txbx>
                          <w:txbxContent>
                            <w:p w:rsidR="00622A92" w:rsidRDefault="00110FC7">
                              <w:pPr>
                                <w:pStyle w:val="NormalWeb"/>
                                <w:rPr>
                                  <w:rFonts w:ascii="Times New Roman" w:hAnsi="Times New Roman"/>
                                  <w:sz w:val="17"/>
                                  <w:szCs w:val="17"/>
                                </w:rPr>
                              </w:pPr>
                              <w:r>
                                <w:rPr>
                                  <w:rFonts w:ascii="Times New Roman" w:hAnsi="Times New Roman"/>
                                  <w:color w:val="808080"/>
                                  <w:kern w:val="24"/>
                                  <w:sz w:val="17"/>
                                  <w:szCs w:val="17"/>
                                </w:rPr>
                                <w:t>Contribuições financeiras</w:t>
                              </w:r>
                            </w:p>
                            <w:p w:rsidR="00622A92" w:rsidRDefault="00110FC7">
                              <w:pPr>
                                <w:pStyle w:val="NormalWeb"/>
                                <w:rPr>
                                  <w:rFonts w:ascii="Times New Roman" w:hAnsi="Times New Roman"/>
                                  <w:sz w:val="17"/>
                                  <w:szCs w:val="17"/>
                                </w:rPr>
                              </w:pPr>
                              <w:r>
                                <w:rPr>
                                  <w:rFonts w:ascii="Times New Roman" w:hAnsi="Times New Roman"/>
                                  <w:color w:val="808080"/>
                                  <w:kern w:val="24"/>
                                  <w:sz w:val="17"/>
                                  <w:szCs w:val="17"/>
                                </w:rPr>
                                <w:t>Direitos aduaneiros</w:t>
                              </w:r>
                            </w:p>
                            <w:p w:rsidR="00622A92" w:rsidRDefault="00110FC7">
                              <w:pPr>
                                <w:pStyle w:val="NormalWeb"/>
                                <w:rPr>
                                  <w:rFonts w:ascii="Times New Roman" w:hAnsi="Times New Roman"/>
                                  <w:sz w:val="17"/>
                                  <w:szCs w:val="17"/>
                                </w:rPr>
                              </w:pPr>
                              <w:r>
                                <w:rPr>
                                  <w:rFonts w:ascii="Times New Roman" w:hAnsi="Times New Roman"/>
                                  <w:color w:val="808080"/>
                                  <w:kern w:val="24"/>
                                  <w:sz w:val="17"/>
                                  <w:szCs w:val="17"/>
                                </w:rPr>
                                <w:t xml:space="preserve">Recursos próprios baseados </w:t>
                              </w:r>
                              <w:r>
                                <w:rPr>
                                  <w:rFonts w:ascii="Times New Roman" w:hAnsi="Times New Roman"/>
                                  <w:color w:val="808080"/>
                                  <w:kern w:val="24"/>
                                  <w:sz w:val="17"/>
                                  <w:szCs w:val="17"/>
                                </w:rPr>
                                <w:br/>
                                <w:t>no IVA estatístico</w:t>
                              </w:r>
                            </w:p>
                          </w:txbxContent>
                        </wps:txbx>
                        <wps:bodyPr wrap="square">
                          <a:noAutofit/>
                        </wps:bodyPr>
                      </wps:wsp>
                      <wps:wsp>
                        <wps:cNvPr id="101" name="Rectangle 20"/>
                        <wps:cNvSpPr/>
                        <wps:spPr>
                          <a:xfrm>
                            <a:off x="1778497" y="2190005"/>
                            <a:ext cx="2498541" cy="508298"/>
                          </a:xfrm>
                          <a:prstGeom prst="rect">
                            <a:avLst/>
                          </a:prstGeom>
                        </wps:spPr>
                        <wps:txbx>
                          <w:txbxContent>
                            <w:p w:rsidR="00622A92" w:rsidRDefault="00110FC7">
                              <w:pPr>
                                <w:pStyle w:val="NormalWeb"/>
                                <w:rPr>
                                  <w:rFonts w:ascii="Times New Roman" w:hAnsi="Times New Roman"/>
                                  <w:sz w:val="17"/>
                                  <w:szCs w:val="17"/>
                                </w:rPr>
                              </w:pPr>
                              <w:r>
                                <w:rPr>
                                  <w:rFonts w:ascii="Times New Roman" w:hAnsi="Times New Roman"/>
                                  <w:color w:val="808080"/>
                                  <w:kern w:val="24"/>
                                  <w:sz w:val="17"/>
                                  <w:szCs w:val="17"/>
                                </w:rPr>
                                <w:t>Recursos próprios baseados no Rendimento Nacional Bruto</w:t>
                              </w:r>
                            </w:p>
                            <w:p w:rsidR="00622A92" w:rsidRDefault="00110FC7">
                              <w:pPr>
                                <w:pStyle w:val="NormalWeb"/>
                                <w:rPr>
                                  <w:rFonts w:ascii="Times New Roman" w:hAnsi="Times New Roman"/>
                                  <w:sz w:val="17"/>
                                  <w:szCs w:val="17"/>
                                </w:rPr>
                              </w:pPr>
                              <w:r>
                                <w:rPr>
                                  <w:rFonts w:ascii="Times New Roman" w:hAnsi="Times New Roman"/>
                                  <w:color w:val="808080"/>
                                  <w:kern w:val="24"/>
                                  <w:sz w:val="17"/>
                                  <w:szCs w:val="17"/>
                                </w:rPr>
                                <w:t>Outras receitas</w:t>
                              </w:r>
                            </w:p>
                          </w:txbxContent>
                        </wps:txbx>
                        <wps:bodyPr wrap="square">
                          <a:noAutofit/>
                        </wps:bodyPr>
                      </wps:wsp>
                    </wpg:wgp>
                  </a:graphicData>
                </a:graphic>
              </wp:inline>
            </w:drawing>
          </mc:Choice>
          <mc:Fallback>
            <w:pict>
              <v:group id="Group 2" o:spid="_x0000_s1046" style="width:388.85pt;height:209.8pt;mso-position-horizontal-relative:char;mso-position-vertical-relative:line" coordorigin="-946,151" coordsize="43716,27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">
                <v:shape id="Picture 2" o:spid="_x0000_s1047" type="#_x0000_t75" style="position:absolute;left:1106;top:151;width:31689;height:2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left:-946;top:2250;width:4454;height:15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1,2 %</w:t>
                        </w:r>
                      </w:p>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1,0 %</w:t>
                        </w:r>
                      </w:p>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0,8 %</w:t>
                        </w:r>
                      </w:p>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0,6 %</w:t>
                        </w:r>
                      </w:p>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0,4 %</w:t>
                        </w:r>
                      </w:p>
                      <w:p>
                        <w:pPr>
                          <w:pStyle w:val="NormalWeb"/>
                          <w:spacing w:after="140"/>
                          <w:jc w:val="right"/>
                          <w:rPr>
                            <w:rFonts w:ascii="Times New Roman" w:hAnsi="Times New Roman"/>
                            <w:sz w:val="16"/>
                            <w:szCs w:val="16"/>
                          </w:rPr>
                        </w:pPr>
                        <w:r>
                          <w:rPr>
                            <w:rFonts w:ascii="Times New Roman" w:hAnsi="Times New Roman"/>
                            <w:color w:val="7F7F7F"/>
                            <w:kern w:val="24"/>
                            <w:sz w:val="16"/>
                            <w:szCs w:val="16"/>
                            <w14:textFill>
                              <w14:solidFill>
                                <w14:srgbClr w14:val="7F7F7F">
                                  <w14:lumMod w14:val="50000"/>
                                  <w14:lumOff w14:val="50000"/>
                                </w14:srgbClr>
                              </w14:solidFill>
                            </w14:textFill>
                          </w:rPr>
                          <w:t>0,2 %</w:t>
                        </w:r>
                      </w:p>
                      <w:p>
                        <w:pPr>
                          <w:pStyle w:val="NormalWeb"/>
                          <w:spacing w:after="140"/>
                          <w:jc w:val="right"/>
                          <w:rPr>
                            <w:rFonts w:ascii="Times New Roman" w:hAnsi="Times New Roman"/>
                            <w:sz w:val="18"/>
                            <w:szCs w:val="18"/>
                          </w:rPr>
                        </w:pPr>
                        <w:r>
                          <w:rPr>
                            <w:rFonts w:ascii="Times New Roman" w:hAnsi="Times New Roman"/>
                            <w:color w:val="7F7F7F"/>
                            <w:kern w:val="24"/>
                            <w:sz w:val="16"/>
                            <w:szCs w:val="16"/>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926;top:17516;width:3835;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7516;width:3835;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957;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1543;top:350;width:201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pPr>
                          <w:pStyle w:val="NormalWeb"/>
                          <w:rPr>
                            <w:rFonts w:ascii="Times New Roman" w:hAnsi="Times New Roman"/>
                            <w:sz w:val="18"/>
                            <w:szCs w:val="18"/>
                          </w:rPr>
                        </w:pPr>
                        <w:r>
                          <w:rPr>
                            <w:rFonts w:ascii="Times New Roman" w:hAnsi="Times New Roman"/>
                            <w:color w:val="808080"/>
                            <w:kern w:val="24"/>
                            <w:sz w:val="18"/>
                          </w:rPr>
                          <w:t>% do Rendimento Nacional Bruto</w:t>
                        </w:r>
                      </w:p>
                    </w:txbxContent>
                  </v:textbox>
                </v:rect>
                <v:rect id="Rectangle 19" o:spid="_x0000_s1063" style="position:absolute;left:3508;top:21864;width:13921;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pPr>
                          <w:pStyle w:val="NormalWeb"/>
                          <w:rPr>
                            <w:rFonts w:ascii="Times New Roman" w:hAnsi="Times New Roman"/>
                            <w:sz w:val="17"/>
                            <w:szCs w:val="17"/>
                          </w:rPr>
                        </w:pPr>
                        <w:r>
                          <w:rPr>
                            <w:rFonts w:ascii="Times New Roman" w:hAnsi="Times New Roman"/>
                            <w:color w:val="808080"/>
                            <w:kern w:val="24"/>
                            <w:sz w:val="17"/>
                            <w:szCs w:val="17"/>
                          </w:rPr>
                          <w:t>Contribuições financeiras</w:t>
                        </w:r>
                      </w:p>
                      <w:p>
                        <w:pPr>
                          <w:pStyle w:val="NormalWeb"/>
                          <w:rPr>
                            <w:rFonts w:ascii="Times New Roman" w:hAnsi="Times New Roman"/>
                            <w:sz w:val="17"/>
                            <w:szCs w:val="17"/>
                          </w:rPr>
                        </w:pPr>
                        <w:r>
                          <w:rPr>
                            <w:rFonts w:ascii="Times New Roman" w:hAnsi="Times New Roman"/>
                            <w:color w:val="808080"/>
                            <w:kern w:val="24"/>
                            <w:sz w:val="17"/>
                            <w:szCs w:val="17"/>
                          </w:rPr>
                          <w:t>Direitos aduaneiros</w:t>
                        </w:r>
                      </w:p>
                      <w:p>
                        <w:pPr>
                          <w:pStyle w:val="NormalWeb"/>
                          <w:rPr>
                            <w:rFonts w:ascii="Times New Roman" w:hAnsi="Times New Roman"/>
                            <w:sz w:val="17"/>
                            <w:szCs w:val="17"/>
                          </w:rPr>
                        </w:pPr>
                        <w:r>
                          <w:rPr>
                            <w:rFonts w:ascii="Times New Roman" w:hAnsi="Times New Roman"/>
                            <w:color w:val="808080"/>
                            <w:kern w:val="24"/>
                            <w:sz w:val="17"/>
                            <w:szCs w:val="17"/>
                          </w:rPr>
                          <w:t xml:space="preserve">Recursos próprios baseados </w:t>
                        </w:r>
                        <w:r>
                          <w:rPr>
                            <w:rFonts w:ascii="Times New Roman" w:hAnsi="Times New Roman"/>
                            <w:color w:val="808080"/>
                            <w:kern w:val="24"/>
                            <w:sz w:val="17"/>
                            <w:szCs w:val="17"/>
                          </w:rPr>
                          <w:br/>
                          <w:t>no IVA estatístico</w:t>
                        </w:r>
                      </w:p>
                    </w:txbxContent>
                  </v:textbox>
                </v:rect>
                <v:rect id="Rectangle 20" o:spid="_x0000_s1064" style="position:absolute;left:17784;top:21900;width:24986;height: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pPr>
                          <w:pStyle w:val="NormalWeb"/>
                          <w:rPr>
                            <w:rFonts w:ascii="Times New Roman" w:hAnsi="Times New Roman"/>
                            <w:sz w:val="17"/>
                            <w:szCs w:val="17"/>
                          </w:rPr>
                        </w:pPr>
                        <w:r>
                          <w:rPr>
                            <w:rFonts w:ascii="Times New Roman" w:hAnsi="Times New Roman"/>
                            <w:color w:val="808080"/>
                            <w:kern w:val="24"/>
                            <w:sz w:val="17"/>
                            <w:szCs w:val="17"/>
                          </w:rPr>
                          <w:t>Recursos próprios baseados no Rendimento Nacional Bruto</w:t>
                        </w:r>
                      </w:p>
                      <w:p>
                        <w:pPr>
                          <w:pStyle w:val="NormalWeb"/>
                          <w:rPr>
                            <w:rFonts w:ascii="Times New Roman" w:hAnsi="Times New Roman"/>
                            <w:sz w:val="17"/>
                            <w:szCs w:val="17"/>
                          </w:rPr>
                        </w:pPr>
                        <w:r>
                          <w:rPr>
                            <w:rFonts w:ascii="Times New Roman" w:hAnsi="Times New Roman"/>
                            <w:color w:val="808080"/>
                            <w:kern w:val="24"/>
                            <w:sz w:val="17"/>
                            <w:szCs w:val="17"/>
                          </w:rPr>
                          <w:t>Outras receitas</w:t>
                        </w:r>
                      </w:p>
                    </w:txbxContent>
                  </v:textbox>
                </v:rect>
                <w10:anchorlock/>
              </v:group>
            </w:pict>
          </mc:Fallback>
        </mc:AlternateContent>
      </w:r>
    </w:p>
    <w:p w:rsidR="00622A92" w:rsidRDefault="00622A92">
      <w:pPr>
        <w:spacing w:before="120" w:after="0"/>
        <w:jc w:val="center"/>
        <w:rPr>
          <w:rFonts w:ascii="Times New Roman" w:eastAsia="EC Square Sans Cond Pro" w:hAnsi="Times New Roman" w:cs="Times New Roman"/>
          <w:noProof/>
          <w:sz w:val="10"/>
          <w:szCs w:val="10"/>
        </w:rPr>
      </w:pPr>
    </w:p>
    <w:p w:rsidR="00622A92" w:rsidRDefault="00110FC7">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Uma reforma da parte do orçamento da UE </w:t>
      </w:r>
      <w:r>
        <w:rPr>
          <w:rFonts w:ascii="Times New Roman" w:hAnsi="Times New Roman"/>
          <w:noProof/>
          <w:sz w:val="24"/>
        </w:rPr>
        <w:t>respeitante às receitas ajudar-nos-ia a centrar o debate em objetivos e nos domínios em que a ação da UE pode ter um verdadeiro valor acrescentado</w:t>
      </w:r>
      <w:r>
        <w:rPr>
          <w:rFonts w:ascii="Times New Roman" w:hAnsi="Times New Roman"/>
          <w:noProof/>
          <w:sz w:val="24"/>
          <w:vertAlign w:val="superscript"/>
        </w:rPr>
        <w:footnoteReference w:id="7"/>
      </w:r>
      <w:r>
        <w:rPr>
          <w:rFonts w:ascii="Times New Roman" w:hAnsi="Times New Roman"/>
          <w:noProof/>
          <w:sz w:val="24"/>
        </w:rPr>
        <w: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22A92">
        <w:trPr>
          <w:trHeight w:val="567"/>
        </w:trPr>
        <w:tc>
          <w:tcPr>
            <w:tcW w:w="9288" w:type="dxa"/>
            <w:shd w:val="clear" w:color="auto" w:fill="2AA19F"/>
            <w:vAlign w:val="center"/>
          </w:tcPr>
          <w:p w:rsidR="00622A92" w:rsidRDefault="00110FC7">
            <w:pPr>
              <w:keepNext/>
              <w:spacing w:before="139"/>
              <w:ind w:left="5"/>
              <w:jc w:val="center"/>
              <w:rPr>
                <w:rFonts w:ascii="Times New Roman" w:eastAsia="EC Square Sans Pro" w:hAnsi="Times New Roman"/>
                <w:noProof/>
                <w:sz w:val="24"/>
                <w:szCs w:val="24"/>
              </w:rPr>
            </w:pPr>
            <w:r>
              <w:rPr>
                <w:rFonts w:ascii="Times New Roman" w:hAnsi="Times New Roman"/>
                <w:noProof/>
                <w:sz w:val="24"/>
                <w:szCs w:val="24"/>
                <w:lang w:val="en-GB" w:eastAsia="en-GB" w:bidi="ar-SA"/>
              </w:rPr>
              <mc:AlternateContent>
                <mc:Choice Requires="wpg">
                  <w:drawing>
                    <wp:anchor distT="0" distB="0" distL="114300" distR="114300" simplePos="0" relativeHeight="251815424" behindDoc="0" locked="0" layoutInCell="1" allowOverlap="1">
                      <wp:simplePos x="0" y="0"/>
                      <wp:positionH relativeFrom="column">
                        <wp:posOffset>95885</wp:posOffset>
                      </wp:positionH>
                      <wp:positionV relativeFrom="paragraph">
                        <wp:posOffset>49530</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5"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3361"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7.55pt;margin-top:3.9pt;width:45.25pt;height:45.25pt;z-index:25181542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OPÇÕES PARA O FUTURO QUADRO FINANCEIRO</w:t>
            </w:r>
          </w:p>
        </w:tc>
      </w:tr>
      <w:tr w:rsidR="00622A92">
        <w:trPr>
          <w:trHeight w:val="466"/>
        </w:trPr>
        <w:tc>
          <w:tcPr>
            <w:tcW w:w="9288" w:type="dxa"/>
            <w:shd w:val="clear" w:color="auto" w:fill="CBE7E5"/>
            <w:vAlign w:val="center"/>
          </w:tcPr>
          <w:p w:rsidR="00622A92" w:rsidRDefault="00110FC7">
            <w:pPr>
              <w:keepNext/>
              <w:jc w:val="center"/>
              <w:rPr>
                <w:rFonts w:ascii="Times New Roman" w:eastAsia="EC Square Sans Pro" w:hAnsi="Times New Roman"/>
                <w:noProof/>
                <w:sz w:val="24"/>
                <w:szCs w:val="24"/>
              </w:rPr>
            </w:pPr>
            <w:r>
              <w:rPr>
                <w:rFonts w:ascii="Times New Roman" w:hAnsi="Times New Roman"/>
                <w:b/>
                <w:i/>
                <w:noProof/>
                <w:color w:val="2AA19F"/>
                <w:sz w:val="24"/>
              </w:rPr>
              <w:t>Que vantagens, para o orçamento da UE, de novos recursos próprios?</w:t>
            </w:r>
          </w:p>
        </w:tc>
      </w:tr>
      <w:tr w:rsidR="00622A92">
        <w:trPr>
          <w:cantSplit/>
          <w:trHeight w:val="7574"/>
        </w:trPr>
        <w:tc>
          <w:tcPr>
            <w:tcW w:w="9288" w:type="dxa"/>
            <w:shd w:val="clear" w:color="auto" w:fill="CBE7E5"/>
          </w:tcPr>
          <w:p w:rsidR="00622A92" w:rsidRDefault="00110FC7">
            <w:pPr>
              <w:pStyle w:val="BodyText"/>
              <w:tabs>
                <w:tab w:val="left" w:pos="8931"/>
              </w:tabs>
              <w:spacing w:before="71" w:line="242" w:lineRule="auto"/>
              <w:ind w:left="305" w:right="141"/>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13376" behindDoc="0" locked="0" layoutInCell="1" allowOverlap="1">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9pt;margin-top:5.35pt;width:7.1pt;height:7.1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Regime de comércio de licenças de emissão</w:t>
            </w:r>
            <w:r>
              <w:rPr>
                <w:rFonts w:ascii="Times New Roman" w:hAnsi="Times New Roman"/>
                <w:noProof/>
                <w:color w:val="231F20"/>
                <w:sz w:val="20"/>
              </w:rPr>
              <w:t>: O regime europeu de comércio de licenças de emissão constitui a pedra angular da política climática da UE. Os Estados-Membros leiloam um determinado número de licenças de emissão, compradas por empresas de form</w:t>
            </w:r>
            <w:r>
              <w:rPr>
                <w:rFonts w:ascii="Times New Roman" w:hAnsi="Times New Roman"/>
                <w:noProof/>
                <w:color w:val="231F20"/>
                <w:sz w:val="20"/>
              </w:rPr>
              <w:t>a a compensar as suas emissões de gases com efeito de estufa. Parte das receitas destes leilões poderiam ser consagradas ao orçamento da UE. Em função dos preços de mercado para as licenças de emissão, uma parte das receitas geradas pelo regime de comércio</w:t>
            </w:r>
            <w:r>
              <w:rPr>
                <w:rFonts w:ascii="Times New Roman" w:hAnsi="Times New Roman"/>
                <w:noProof/>
                <w:color w:val="231F20"/>
                <w:sz w:val="20"/>
              </w:rPr>
              <w:t xml:space="preserve"> dessas licenças poderia gerar receitas entre 7 mil milhões e 105 mil milhões de EUR durante sete anos. </w:t>
            </w:r>
          </w:p>
          <w:p w:rsidR="00622A92" w:rsidRDefault="00110FC7">
            <w:pPr>
              <w:pStyle w:val="BodyText"/>
              <w:spacing w:before="71" w:line="242" w:lineRule="auto"/>
              <w:ind w:left="305" w:right="141"/>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17472" behindDoc="0" locked="0" layoutInCell="1" allowOverlap="1">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3pt;margin-top:5.05pt;width:7.1pt;height:7.1pt;z-index:2518174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Recursos próprios baseados no IVA</w:t>
            </w:r>
            <w:r>
              <w:rPr>
                <w:rFonts w:ascii="Times New Roman" w:hAnsi="Times New Roman"/>
                <w:noProof/>
                <w:color w:val="231F20"/>
                <w:sz w:val="20"/>
              </w:rPr>
              <w:t>: O imposto sobre o valor acrescentado é um imposto sobre o consumo que se baseia no valor acrescentado e é aplicável</w:t>
            </w:r>
            <w:r>
              <w:rPr>
                <w:rFonts w:ascii="Times New Roman" w:hAnsi="Times New Roman"/>
                <w:noProof/>
                <w:color w:val="231F20"/>
                <w:sz w:val="20"/>
              </w:rPr>
              <w:t xml:space="preserve"> a todos os bens e serviços vendidos na UE. Atualmente, os recursos próprios baseados no IVA dependem de cálculos estatísticos altamente complexos. Poder-se-iam cobrar recursos próprios revistos com base numa matéria coletável do IVA simplificada. As recei</w:t>
            </w:r>
            <w:r>
              <w:rPr>
                <w:rFonts w:ascii="Times New Roman" w:hAnsi="Times New Roman"/>
                <w:noProof/>
                <w:color w:val="231F20"/>
                <w:sz w:val="20"/>
              </w:rPr>
              <w:t>tas atuais dos recursos próprios baseados no IVA ascendem a cerca de 105-140 mil milhões de EUR durante sete anos e poderiam ser ajustadas calibrando a respetiva taxa de mobilização em função dos níveis requeridos.</w:t>
            </w:r>
          </w:p>
          <w:p w:rsidR="00622A92" w:rsidRDefault="00110FC7">
            <w:pPr>
              <w:pStyle w:val="BodyText"/>
              <w:spacing w:before="71" w:line="242" w:lineRule="auto"/>
              <w:ind w:left="305" w:right="141"/>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14400" behindDoc="0" locked="0" layoutInCell="1" allowOverlap="1">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15pt;margin-top:5.65pt;width:7.1pt;height:7.1pt;z-index:2518144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Matéria coletável comum consolidada do i</w:t>
            </w:r>
            <w:r>
              <w:rPr>
                <w:rFonts w:ascii="Times New Roman" w:hAnsi="Times New Roman"/>
                <w:b/>
                <w:noProof/>
                <w:color w:val="231F20"/>
                <w:sz w:val="20"/>
              </w:rPr>
              <w:t>mposto sobre as pessoas coletivas</w:t>
            </w:r>
            <w:r>
              <w:rPr>
                <w:rFonts w:ascii="Times New Roman" w:hAnsi="Times New Roman"/>
                <w:noProof/>
                <w:color w:val="231F20"/>
                <w:sz w:val="20"/>
              </w:rPr>
              <w:t>: As grandes empresas beneficiam amplamente do Mercado Único. A matéria coletável comum consolidada do imposto sobre as pessoas coletivas constitui um conjunto de normas para o cálculo dos lucros tributáveis das empresas na</w:t>
            </w:r>
            <w:r>
              <w:rPr>
                <w:rFonts w:ascii="Times New Roman" w:hAnsi="Times New Roman"/>
                <w:noProof/>
                <w:color w:val="231F20"/>
                <w:sz w:val="20"/>
              </w:rPr>
              <w:t xml:space="preserve"> União. Uma contribuição baseada num imposto sobre as pessoas coletivas harmonizado, eventualmente incluindo uma dimensão digital, reforçaria a ligação entre as vantagens do Mercado Único e o financiamento da União. Cada Estado-Membro manteria a possibilid</w:t>
            </w:r>
            <w:r>
              <w:rPr>
                <w:rFonts w:ascii="Times New Roman" w:hAnsi="Times New Roman"/>
                <w:noProof/>
                <w:color w:val="231F20"/>
                <w:sz w:val="20"/>
              </w:rPr>
              <w:t>ade de tributar a sua quota-parte dos lucros aplicando a sua própria taxa de tributação nacional. Em função do modelo escolhido e da taxa de mobilização aplicada, um imposto ligado à matéria coletável comum consolidada do imposto sobre as pessoas coletivas</w:t>
            </w:r>
            <w:r>
              <w:rPr>
                <w:rFonts w:ascii="Times New Roman" w:hAnsi="Times New Roman"/>
                <w:noProof/>
                <w:color w:val="231F20"/>
                <w:sz w:val="20"/>
              </w:rPr>
              <w:t xml:space="preserve"> poderia gerar entre 21 e 140 mil milhões de EUR durante sete anos, excluindo as receitas previsíveis graças à redução da evasão fiscal.</w:t>
            </w:r>
          </w:p>
          <w:p w:rsidR="00622A92" w:rsidRDefault="00110FC7">
            <w:pPr>
              <w:pStyle w:val="BodyText"/>
              <w:spacing w:before="71" w:line="242" w:lineRule="auto"/>
              <w:ind w:left="305" w:right="141"/>
              <w:jc w:val="both"/>
              <w:rPr>
                <w:rFonts w:ascii="Times New Roman" w:hAnsi="Times New Roman"/>
                <w:noProof/>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16448" behindDoc="0" locked="0" layoutInCell="1" allowOverlap="1">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8pt;margin-top:6.35pt;width:7.1pt;height:7.1pt;z-index:2518164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Senhoriagem</w:t>
            </w:r>
            <w:r>
              <w:rPr>
                <w:rFonts w:ascii="Times New Roman" w:hAnsi="Times New Roman"/>
                <w:noProof/>
                <w:color w:val="231F20"/>
                <w:sz w:val="20"/>
              </w:rPr>
              <w:t xml:space="preserve"> é o termo utilizado para descrever as receitas obtidas pelos bancos centrais e pelos governos com a emissão de moeda. Uma vez que os proventos monetários que o Banco Central Europeu obtém pela emissão do euro estão diretamente relacionados com a União Eco</w:t>
            </w:r>
            <w:r>
              <w:rPr>
                <w:rFonts w:ascii="Times New Roman" w:hAnsi="Times New Roman"/>
                <w:noProof/>
                <w:color w:val="231F20"/>
                <w:sz w:val="20"/>
              </w:rPr>
              <w:t>nómica e Monetária, poderiam considerar-se como eventuais novos recursos próprios. Poder-se-ia disponibilizar ao orçamento da UE, como contribuição nacional, um montante correspondente a uma parte dos lucros líquidos provenientes das quotas-partes dos banc</w:t>
            </w:r>
            <w:r>
              <w:rPr>
                <w:rFonts w:ascii="Times New Roman" w:hAnsi="Times New Roman"/>
                <w:noProof/>
                <w:color w:val="231F20"/>
                <w:sz w:val="20"/>
              </w:rPr>
              <w:t xml:space="preserve">os centrais nacionais nos proventos monetários da área do euro, pagos aos erários nacionais. </w:t>
            </w:r>
            <w:r>
              <w:rPr>
                <w:rFonts w:ascii="Times New Roman" w:hAnsi="Times New Roman"/>
                <w:noProof/>
                <w:sz w:val="20"/>
              </w:rPr>
              <w:t>Aplicou-se uma lógica análoga em 2012, no que respeitava aos proveitos gerados pelo Banco Central Europeu e pelos bancos centrais nacionais graças aos títulos de d</w:t>
            </w:r>
            <w:r>
              <w:rPr>
                <w:rFonts w:ascii="Times New Roman" w:hAnsi="Times New Roman"/>
                <w:noProof/>
                <w:sz w:val="20"/>
              </w:rPr>
              <w:t>ívida pública do governo grego acumulados, quando os ministros do Eurogrupo acordaram em transferir para a Grécia o equivalente dos proveitos gerados pelo Eurosistema (Banco Central Europeu e bancos centrais nacionais) com os títulos de dívida pública greg</w:t>
            </w:r>
            <w:r>
              <w:rPr>
                <w:rFonts w:ascii="Times New Roman" w:hAnsi="Times New Roman"/>
                <w:noProof/>
                <w:sz w:val="20"/>
              </w:rPr>
              <w:t>os.</w:t>
            </w:r>
            <w:r>
              <w:rPr>
                <w:rFonts w:ascii="Times New Roman" w:hAnsi="Times New Roman"/>
                <w:noProof/>
                <w:sz w:val="24"/>
              </w:rPr>
              <w:t xml:space="preserve"> </w:t>
            </w:r>
            <w:r>
              <w:rPr>
                <w:rFonts w:ascii="Times New Roman" w:hAnsi="Times New Roman"/>
                <w:noProof/>
                <w:color w:val="231F20"/>
                <w:sz w:val="20"/>
              </w:rPr>
              <w:t xml:space="preserve">Dependendo da percentagem aplicada, as receitas da senhoriagem previstas poderiam variar entre 10,5 mil milhões de EUR (10 %) e 56 mil milhões de EUR (50 %) durante sete anos. </w:t>
            </w:r>
          </w:p>
          <w:p w:rsidR="00622A92" w:rsidRDefault="00622A92">
            <w:pPr>
              <w:spacing w:line="231" w:lineRule="exact"/>
              <w:ind w:left="200"/>
              <w:rPr>
                <w:rFonts w:ascii="Times New Roman" w:eastAsia="EC Square Sans Pro" w:hAnsi="Times New Roman"/>
                <w:noProof/>
              </w:rPr>
            </w:pPr>
          </w:p>
        </w:tc>
      </w:tr>
    </w:tbl>
    <w:p w:rsidR="00622A92" w:rsidRDefault="00110FC7">
      <w:pPr>
        <w:spacing w:before="16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Poder-se-iam utilizar novos recursos próprios para estabelecer uma </w:t>
      </w:r>
      <w:r>
        <w:rPr>
          <w:rFonts w:ascii="Times New Roman" w:hAnsi="Times New Roman"/>
          <w:noProof/>
          <w:sz w:val="24"/>
        </w:rPr>
        <w:t>ligação ainda mais direta com os domínios de intervenção da União</w:t>
      </w:r>
      <w:r>
        <w:rPr>
          <w:rFonts w:ascii="Times New Roman" w:hAnsi="Times New Roman"/>
          <w:noProof/>
          <w:vertAlign w:val="superscript"/>
        </w:rPr>
        <w:footnoteReference w:id="8"/>
      </w:r>
      <w:r>
        <w:rPr>
          <w:rFonts w:ascii="Times New Roman" w:hAnsi="Times New Roman"/>
          <w:noProof/>
          <w:sz w:val="24"/>
        </w:rPr>
        <w:t>, nomeadamente para apoiar os objetivos de sustentabilidade, o Mercado Único e a União Económica e Monetária. Por exemplo, parte das receitas do regime de comércio de licenças de emissão pod</w:t>
      </w:r>
      <w:r>
        <w:rPr>
          <w:rFonts w:ascii="Times New Roman" w:hAnsi="Times New Roman"/>
          <w:noProof/>
          <w:sz w:val="24"/>
        </w:rPr>
        <w:t xml:space="preserve">eria apoiar os objetivos de sustentabilidade da UE. Dever-se-iam simplificar os recursos próprios baseados no imposto sobre o valor acrescentado, que deveria ter em conta as atuais reformas atuais com vista a um espaço único europeu para o imposto sobre o </w:t>
      </w:r>
      <w:r>
        <w:rPr>
          <w:rFonts w:ascii="Times New Roman" w:hAnsi="Times New Roman"/>
          <w:noProof/>
          <w:sz w:val="24"/>
        </w:rPr>
        <w:t>valor acrescentado. Recursos próprios baseados numa parte das receitas de uma nova matéria coletável comum consolidada do imposto sobre as pessoas coletivas reforçariam a ligação entre as vantagens do Mercado Único e o financiamento do orçamento da UE. Out</w:t>
      </w:r>
      <w:r>
        <w:rPr>
          <w:rFonts w:ascii="Times New Roman" w:hAnsi="Times New Roman"/>
          <w:noProof/>
          <w:sz w:val="24"/>
        </w:rPr>
        <w:t>ro exemplo de uma possível nova fonte de receitas para o orçamento da UE seria uma parte dos proveitos obtidos pelo Banco Central Europeu pela emissão de moeda. Outros recursos próprios, incluindo os mencionados no relatório Monti, estão atualmente a ser e</w:t>
      </w:r>
      <w:r>
        <w:rPr>
          <w:rFonts w:ascii="Times New Roman" w:hAnsi="Times New Roman"/>
          <w:noProof/>
          <w:sz w:val="24"/>
        </w:rPr>
        <w:t>studados de forma mais aprofundada.</w:t>
      </w:r>
    </w:p>
    <w:p w:rsidR="00622A92" w:rsidRDefault="00110FC7">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A saída do Reino Unido constituirá uma oportunidade para simplificar radicalmente a parte do orçamento respeitante às receitas. A correção anteriormente concedida ao Reino Unido e outras correções concedidas a outros Est</w:t>
      </w:r>
      <w:r>
        <w:rPr>
          <w:rFonts w:ascii="Times New Roman" w:hAnsi="Times New Roman"/>
          <w:noProof/>
          <w:sz w:val="24"/>
        </w:rPr>
        <w:t>ados-Membros que contribuem para financiar a correção britânica tornaram a parte do orçamento respeitante às receitas mais complexa e menos transparente. Há agora fortes argumentos para eliminar estas correções, no âmbito de um pacote orçamental justo e eq</w:t>
      </w:r>
      <w:r>
        <w:rPr>
          <w:rFonts w:ascii="Times New Roman" w:hAnsi="Times New Roman"/>
          <w:noProof/>
          <w:sz w:val="24"/>
        </w:rPr>
        <w:t>uilibrado.</w:t>
      </w:r>
    </w:p>
    <w:p w:rsidR="00622A92" w:rsidRDefault="00110FC7">
      <w:pPr>
        <w:pStyle w:val="Heading1"/>
        <w:spacing w:before="360" w:after="240"/>
        <w:ind w:left="709" w:hanging="709"/>
        <w:rPr>
          <w:rFonts w:ascii="Times New Roman" w:hAnsi="Times New Roman" w:cs="Times New Roman"/>
          <w:noProof/>
          <w:color w:val="006B75"/>
        </w:rPr>
      </w:pPr>
      <w:r>
        <w:rPr>
          <w:rFonts w:ascii="Times New Roman" w:hAnsi="Times New Roman"/>
          <w:noProof/>
          <w:color w:val="006B75"/>
        </w:rPr>
        <w:t>6. A importância de um calendário adequado</w:t>
      </w:r>
    </w:p>
    <w:p w:rsidR="00622A92" w:rsidRDefault="00110FC7">
      <w:pPr>
        <w:spacing w:after="240" w:line="240" w:lineRule="auto"/>
        <w:jc w:val="both"/>
        <w:rPr>
          <w:rFonts w:ascii="Times New Roman" w:eastAsia="Calibri" w:hAnsi="Times New Roman" w:cs="Times New Roman"/>
          <w:b/>
          <w:noProof/>
          <w:sz w:val="24"/>
          <w:szCs w:val="24"/>
        </w:rPr>
      </w:pPr>
      <w:r>
        <w:rPr>
          <w:rFonts w:ascii="Times New Roman" w:hAnsi="Times New Roman"/>
          <w:b/>
          <w:noProof/>
          <w:sz w:val="24"/>
        </w:rPr>
        <w:t>É essencial alcançar rapidamente um acordo político sobre um orçamento da UE renovado e moderno, para provar que a União está pronta a alcançar resultados no que toca à ambiciosa agenda política definid</w:t>
      </w:r>
      <w:r>
        <w:rPr>
          <w:rFonts w:ascii="Times New Roman" w:hAnsi="Times New Roman"/>
          <w:b/>
          <w:noProof/>
          <w:sz w:val="24"/>
        </w:rPr>
        <w:t xml:space="preserve">a em Bratislava e Roma.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Este acordo demonstraria que, após a saída do Reino Unido, em 2019, a Europa dos 27 está unida, tem um sentido de missão e uma orientação e está pronta a obter resultados. O êxito dos novos programas depende em grande medida de ser</w:t>
      </w:r>
      <w:r>
        <w:rPr>
          <w:rFonts w:ascii="Times New Roman" w:hAnsi="Times New Roman"/>
          <w:noProof/>
          <w:sz w:val="24"/>
        </w:rPr>
        <w:t>em lançados a tempo, em 1 de janeiro de 2021, traduzindo os objetivos políticos em resultados rápidos no terreno.</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Um acordo atempado não é meramente desejável do ponto de vista político, mas constitui também um imperativo prático: todos os nossos parceiros</w:t>
      </w:r>
      <w:r>
        <w:rPr>
          <w:rFonts w:ascii="Times New Roman" w:hAnsi="Times New Roman"/>
          <w:noProof/>
          <w:sz w:val="24"/>
        </w:rPr>
        <w:t xml:space="preserve"> e beneficiários de financiamento europeu, bem como as autoridades nacionais e regionais, necessitam de segurança jurídica e financeira, bem como de tempo para preparar a execução dos novos programas. A adoção tardia do atual quadro financeiro plurianual l</w:t>
      </w:r>
      <w:r>
        <w:rPr>
          <w:rFonts w:ascii="Times New Roman" w:hAnsi="Times New Roman"/>
          <w:noProof/>
          <w:sz w:val="24"/>
        </w:rPr>
        <w:t xml:space="preserve">evou a atrasos significativos no lançamento dos novos programas e, em consequência, a atrasos no cumprimento das nossas prioridades de financiamento.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Os custos de oportunidades destes atrasos são elevados. Uma transição serena para o novo quadro financeir</w:t>
      </w:r>
      <w:r>
        <w:rPr>
          <w:rFonts w:ascii="Times New Roman" w:hAnsi="Times New Roman"/>
          <w:noProof/>
          <w:sz w:val="24"/>
        </w:rPr>
        <w:t>o plurianual será vital para manter o ritmo da retoma económica e permitir à União continuar a intervir de forma rápida e decisiva nos muitos domínios em que essa rapidez de reação é fulcral.</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Por conseguinte, importa assegurar que os atrasos verificados no</w:t>
      </w:r>
      <w:r>
        <w:rPr>
          <w:rFonts w:ascii="Times New Roman" w:hAnsi="Times New Roman"/>
          <w:noProof/>
          <w:sz w:val="24"/>
        </w:rPr>
        <w:t xml:space="preserve"> atual quadro financeiro não se repitam.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Chegar a acordo sobre o próximo quadro financeiro plurianual em 2019 não só enviaria um sinal de que uma Europa a 27 forte e unida é capaz de alcançar bons resultados como também garantiria a previsibilidade e a co</w:t>
      </w:r>
      <w:r>
        <w:rPr>
          <w:rFonts w:ascii="Times New Roman" w:hAnsi="Times New Roman"/>
          <w:noProof/>
          <w:sz w:val="24"/>
        </w:rPr>
        <w:t xml:space="preserve">ntinuidade do financiamento, para proveito de todos. </w:t>
      </w:r>
    </w:p>
    <w:tbl>
      <w:tblPr>
        <w:tblW w:w="9273" w:type="dxa"/>
        <w:tblLayout w:type="fixed"/>
        <w:tblLook w:val="04A0" w:firstRow="1" w:lastRow="0" w:firstColumn="1" w:lastColumn="0" w:noHBand="0" w:noVBand="1"/>
      </w:tblPr>
      <w:tblGrid>
        <w:gridCol w:w="9273"/>
      </w:tblGrid>
      <w:tr w:rsidR="00622A92">
        <w:trPr>
          <w:trHeight w:val="2118"/>
        </w:trPr>
        <w:tc>
          <w:tcPr>
            <w:tcW w:w="9273" w:type="dxa"/>
            <w:shd w:val="clear" w:color="auto" w:fill="CBE7E5"/>
          </w:tcPr>
          <w:p w:rsidR="00622A92" w:rsidRDefault="00110FC7">
            <w:pPr>
              <w:keepNext/>
              <w:tabs>
                <w:tab w:val="left" w:pos="8505"/>
                <w:tab w:val="left" w:pos="8775"/>
              </w:tabs>
              <w:spacing w:before="240" w:after="0" w:line="242" w:lineRule="auto"/>
              <w:ind w:left="198" w:right="284"/>
              <w:jc w:val="center"/>
              <w:rPr>
                <w:rFonts w:ascii="Times New Roman" w:eastAsia="Calibri" w:hAnsi="Times New Roman" w:cs="Times New Roman"/>
                <w:noProof/>
                <w:color w:val="231F20"/>
                <w:sz w:val="20"/>
                <w:szCs w:val="20"/>
              </w:rPr>
            </w:pPr>
            <w:r>
              <w:rPr>
                <w:rFonts w:ascii="Times New Roman" w:hAnsi="Times New Roman"/>
                <w:b/>
                <w:noProof/>
                <w:color w:val="006B75"/>
                <w:sz w:val="24"/>
              </w:rPr>
              <w:t>PORQUE É QUE É IMPORTANTE EVITAR ATRASOS?</w:t>
            </w:r>
          </w:p>
          <w:p w:rsidR="00622A92" w:rsidRDefault="00110FC7">
            <w:pPr>
              <w:keepNext/>
              <w:tabs>
                <w:tab w:val="left" w:pos="8505"/>
                <w:tab w:val="left" w:pos="8775"/>
              </w:tabs>
              <w:spacing w:before="240" w:after="0" w:line="242" w:lineRule="auto"/>
              <w:ind w:left="198" w:right="284"/>
              <w:jc w:val="both"/>
              <w:rPr>
                <w:rFonts w:ascii="Times New Roman" w:eastAsia="Calibri" w:hAnsi="Times New Roman" w:cs="Times New Roman"/>
                <w:noProof/>
                <w:color w:val="231F20"/>
                <w:sz w:val="20"/>
                <w:szCs w:val="20"/>
              </w:rPr>
            </w:pPr>
            <w:r>
              <w:rPr>
                <w:rFonts w:ascii="Times New Roman" w:hAnsi="Times New Roman"/>
                <w:noProof/>
                <w:color w:val="231F20"/>
                <w:sz w:val="20"/>
              </w:rPr>
              <w:t>O lançamento dos programas do Fundo Europeu Estrutural e de Investimento para 2014-2020 sofreu atrasos significativos. Só em dezembro de 2013, na sequência de um acordo sobre o quadro financeiro plurianual no primeiro semestre desse ano, se logrou finaliza</w:t>
            </w:r>
            <w:r>
              <w:rPr>
                <w:rFonts w:ascii="Times New Roman" w:hAnsi="Times New Roman"/>
                <w:noProof/>
                <w:color w:val="231F20"/>
                <w:sz w:val="20"/>
              </w:rPr>
              <w:t xml:space="preserve">r a legislação para os programas setoriais, o que atrasou a adoção das normas pormenorizadas necessárias para permitir aos programas funcionar no terreno, bem como as posteriores negociações dos acordos de parceria com os Estados-Membros. </w:t>
            </w:r>
          </w:p>
          <w:p w:rsidR="00622A92" w:rsidRDefault="00110FC7">
            <w:pPr>
              <w:keepNext/>
              <w:tabs>
                <w:tab w:val="left" w:pos="8080"/>
              </w:tabs>
              <w:spacing w:before="63" w:after="0" w:line="242" w:lineRule="auto"/>
              <w:ind w:left="198" w:right="283"/>
              <w:jc w:val="both"/>
              <w:rPr>
                <w:rFonts w:ascii="Times New Roman" w:eastAsia="Calibri" w:hAnsi="Times New Roman" w:cs="Times New Roman"/>
                <w:noProof/>
                <w:color w:val="231F20"/>
                <w:sz w:val="20"/>
                <w:szCs w:val="20"/>
              </w:rPr>
            </w:pPr>
            <w:r>
              <w:rPr>
                <w:rFonts w:ascii="Times New Roman" w:hAnsi="Times New Roman"/>
                <w:noProof/>
                <w:color w:val="231F20"/>
                <w:sz w:val="20"/>
              </w:rPr>
              <w:t>Consequentemente</w:t>
            </w:r>
            <w:r>
              <w:rPr>
                <w:rFonts w:ascii="Times New Roman" w:hAnsi="Times New Roman"/>
                <w:noProof/>
                <w:color w:val="231F20"/>
                <w:sz w:val="20"/>
              </w:rPr>
              <w:t xml:space="preserve">, também os investimentos e o apoio a projetos e reformas altamente necessários sofreram atrasos. Esta situação foi acompanhada por uma redução importante do número de dotações de autorização no início do período atual. </w:t>
            </w:r>
          </w:p>
          <w:p w:rsidR="00622A92" w:rsidRDefault="00622A92">
            <w:pPr>
              <w:keepNext/>
              <w:spacing w:before="63" w:after="0" w:line="242" w:lineRule="auto"/>
              <w:ind w:left="198"/>
              <w:jc w:val="both"/>
              <w:rPr>
                <w:rFonts w:ascii="Times New Roman" w:eastAsia="Calibri" w:hAnsi="Times New Roman" w:cs="Times New Roman"/>
                <w:noProof/>
                <w:color w:val="231F20"/>
                <w:sz w:val="20"/>
                <w:szCs w:val="20"/>
              </w:rPr>
            </w:pPr>
          </w:p>
          <w:p w:rsidR="00622A92" w:rsidRDefault="00110FC7">
            <w:pPr>
              <w:keepNext/>
              <w:spacing w:after="0" w:line="240" w:lineRule="auto"/>
              <w:jc w:val="center"/>
              <w:rPr>
                <w:rFonts w:ascii="Times New Roman" w:eastAsia="Calibri" w:hAnsi="Times New Roman" w:cs="Times New Roman"/>
                <w:b/>
                <w:noProof/>
              </w:rPr>
            </w:pPr>
            <w:r>
              <w:rPr>
                <w:rFonts w:ascii="Times New Roman" w:hAnsi="Times New Roman"/>
                <w:b/>
                <w:noProof/>
              </w:rPr>
              <w:t>Evolução dos limites máximos das d</w:t>
            </w:r>
            <w:r>
              <w:rPr>
                <w:rFonts w:ascii="Times New Roman" w:hAnsi="Times New Roman"/>
                <w:b/>
                <w:noProof/>
              </w:rPr>
              <w:t>otações de autorização entre 2000 e 2020 (preços atuais)</w:t>
            </w:r>
          </w:p>
          <w:p w:rsidR="00622A92" w:rsidRDefault="00110FC7">
            <w:pPr>
              <w:spacing w:before="63" w:after="0" w:line="242" w:lineRule="auto"/>
              <w:ind w:left="198"/>
              <w:jc w:val="both"/>
              <w:rPr>
                <w:rFonts w:ascii="Times New Roman" w:eastAsia="Calibri" w:hAnsi="Times New Roman" w:cs="Times New Roman"/>
                <w:noProof/>
                <w:color w:val="CBE7E5"/>
                <w:sz w:val="20"/>
                <w:szCs w:val="20"/>
              </w:rPr>
            </w:pPr>
            <w:r>
              <w:rPr>
                <w:noProof/>
                <w:lang w:val="en-GB" w:eastAsia="en-GB" w:bidi="ar-SA"/>
              </w:rPr>
              <mc:AlternateContent>
                <mc:Choice Requires="wps">
                  <w:drawing>
                    <wp:anchor distT="0" distB="0" distL="114300" distR="114300" simplePos="0" relativeHeight="251829760" behindDoc="0" locked="0" layoutInCell="1" allowOverlap="1">
                      <wp:simplePos x="0" y="0"/>
                      <wp:positionH relativeFrom="column">
                        <wp:posOffset>1019810</wp:posOffset>
                      </wp:positionH>
                      <wp:positionV relativeFrom="paragraph">
                        <wp:posOffset>3469005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rsidR="00622A92" w:rsidRDefault="00110FC7">
                                  <w:pPr>
                                    <w:pStyle w:val="NormalWeb"/>
                                    <w:rPr>
                                      <w:sz w:val="16"/>
                                      <w:szCs w:val="16"/>
                                    </w:rPr>
                                  </w:pPr>
                                  <w:r>
                                    <w:rPr>
                                      <w:color w:val="000000"/>
                                      <w:sz w:val="16"/>
                                    </w:rPr>
                                    <w:t>Limites máximos das dotações de autorização</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65" type="#_x0000_t202" style="position:absolute;left:0;text-align:left;margin-left:80.3pt;margin-top:273.15pt;width:65.7pt;height:41.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" fillcolor="#cbe7e5" stroked="f">
                      <v:textbox>
                        <w:txbxContent>
                          <w:p>
                            <w:pPr>
                              <w:pStyle w:val="NormalWeb"/>
                              <w:rPr>
                                <w:sz w:val="16"/>
                                <w:szCs w:val="16"/>
                              </w:rPr>
                            </w:pPr>
                            <w:r>
                              <w:rPr>
                                <w:color w:val="000000"/>
                                <w:sz w:val="16"/>
                              </w:rPr>
                              <w:t>Limites máximos das dotações de autorização</w:t>
                            </w:r>
                          </w:p>
                        </w:txbxContent>
                      </v:textbox>
                    </v:shape>
                  </w:pict>
                </mc:Fallback>
              </mc:AlternateContent>
            </w:r>
            <w:r>
              <w:rPr>
                <w:noProof/>
                <w:lang w:val="en-GB" w:eastAsia="en-GB" w:bidi="ar-SA"/>
              </w:rPr>
              <mc:AlternateContent>
                <mc:Choice Requires="wps">
                  <w:drawing>
                    <wp:anchor distT="0" distB="0" distL="114300" distR="114300" simplePos="0" relativeHeight="251819520" behindDoc="0" locked="0" layoutInCell="1" allowOverlap="1">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622A92" w:rsidRDefault="00110FC7">
                                  <w:pPr>
                                    <w:spacing w:after="454"/>
                                    <w:rPr>
                                      <w:rFonts w:ascii="Times New Roman" w:hAnsi="Times New Roman" w:cs="Times New Roman"/>
                                      <w:sz w:val="16"/>
                                      <w:szCs w:val="16"/>
                                    </w:rPr>
                                  </w:pPr>
                                  <w:r>
                                    <w:rPr>
                                      <w:rFonts w:ascii="Times New Roman" w:hAnsi="Times New Roman"/>
                                      <w:sz w:val="16"/>
                                    </w:rPr>
                                    <w:t>1,30 %</w:t>
                                  </w:r>
                                </w:p>
                                <w:p w:rsidR="00622A92" w:rsidRDefault="00110FC7">
                                  <w:pPr>
                                    <w:spacing w:after="454"/>
                                    <w:rPr>
                                      <w:rFonts w:ascii="Times New Roman" w:hAnsi="Times New Roman" w:cs="Times New Roman"/>
                                      <w:sz w:val="16"/>
                                      <w:szCs w:val="16"/>
                                    </w:rPr>
                                  </w:pPr>
                                  <w:r>
                                    <w:rPr>
                                      <w:rFonts w:ascii="Times New Roman" w:hAnsi="Times New Roman"/>
                                      <w:sz w:val="16"/>
                                    </w:rPr>
                                    <w:t>1,25 %</w:t>
                                  </w:r>
                                </w:p>
                                <w:p w:rsidR="00622A92" w:rsidRDefault="00110FC7">
                                  <w:pPr>
                                    <w:spacing w:after="454"/>
                                    <w:rPr>
                                      <w:rFonts w:ascii="Times New Roman" w:hAnsi="Times New Roman" w:cs="Times New Roman"/>
                                      <w:sz w:val="16"/>
                                      <w:szCs w:val="16"/>
                                    </w:rPr>
                                  </w:pPr>
                                  <w:r>
                                    <w:rPr>
                                      <w:rFonts w:ascii="Times New Roman" w:hAnsi="Times New Roman"/>
                                      <w:sz w:val="16"/>
                                    </w:rPr>
                                    <w:t>1,20 %</w:t>
                                  </w:r>
                                </w:p>
                                <w:p w:rsidR="00622A92" w:rsidRDefault="00110FC7">
                                  <w:pPr>
                                    <w:spacing w:after="454"/>
                                    <w:rPr>
                                      <w:rFonts w:ascii="Times New Roman" w:hAnsi="Times New Roman" w:cs="Times New Roman"/>
                                      <w:sz w:val="16"/>
                                      <w:szCs w:val="16"/>
                                    </w:rPr>
                                  </w:pPr>
                                  <w:r>
                                    <w:rPr>
                                      <w:rFonts w:ascii="Times New Roman" w:hAnsi="Times New Roman"/>
                                      <w:sz w:val="16"/>
                                    </w:rPr>
                                    <w:t>1,15 %</w:t>
                                  </w:r>
                                </w:p>
                                <w:p w:rsidR="00622A92" w:rsidRDefault="00110FC7">
                                  <w:pPr>
                                    <w:spacing w:after="454"/>
                                    <w:rPr>
                                      <w:rFonts w:ascii="Times New Roman" w:hAnsi="Times New Roman" w:cs="Times New Roman"/>
                                      <w:sz w:val="16"/>
                                      <w:szCs w:val="16"/>
                                    </w:rPr>
                                  </w:pPr>
                                  <w:r>
                                    <w:rPr>
                                      <w:rFonts w:ascii="Times New Roman" w:hAnsi="Times New Roman"/>
                                      <w:sz w:val="16"/>
                                    </w:rPr>
                                    <w:t>1,10 %</w:t>
                                  </w:r>
                                </w:p>
                                <w:p w:rsidR="00622A92" w:rsidRDefault="00110FC7">
                                  <w:pPr>
                                    <w:spacing w:after="454"/>
                                    <w:rPr>
                                      <w:rFonts w:ascii="Times New Roman" w:hAnsi="Times New Roman" w:cs="Times New Roman"/>
                                      <w:sz w:val="16"/>
                                      <w:szCs w:val="16"/>
                                    </w:rPr>
                                  </w:pPr>
                                  <w:r>
                                    <w:rPr>
                                      <w:rFonts w:ascii="Times New Roman" w:hAnsi="Times New Roman"/>
                                      <w:sz w:val="16"/>
                                    </w:rPr>
                                    <w:t>1,05 %</w:t>
                                  </w:r>
                                </w:p>
                                <w:p w:rsidR="00622A92" w:rsidRDefault="00110FC7">
                                  <w:pPr>
                                    <w:spacing w:after="454"/>
                                    <w:rPr>
                                      <w:rFonts w:ascii="Times New Roman" w:hAnsi="Times New Roman" w:cs="Times New Roman"/>
                                      <w:sz w:val="16"/>
                                      <w:szCs w:val="16"/>
                                    </w:rPr>
                                  </w:pPr>
                                  <w:r>
                                    <w:rPr>
                                      <w:rFonts w:ascii="Times New Roman" w:hAnsi="Times New Roman"/>
                                      <w:sz w:val="16"/>
                                    </w:rPr>
                                    <w:t>1,00 %</w:t>
                                  </w:r>
                                </w:p>
                                <w:p w:rsidR="00622A92" w:rsidRDefault="00110FC7">
                                  <w:pPr>
                                    <w:spacing w:after="454"/>
                                    <w:rPr>
                                      <w:rFonts w:ascii="Times New Roman" w:hAnsi="Times New Roman" w:cs="Times New Roman"/>
                                      <w:sz w:val="16"/>
                                      <w:szCs w:val="16"/>
                                    </w:rPr>
                                  </w:pPr>
                                  <w:r>
                                    <w:rPr>
                                      <w:rFonts w:ascii="Times New Roman" w:hAnsi="Times New Roman"/>
                                      <w:sz w:val="16"/>
                                    </w:rPr>
                                    <w:t>0,95 %</w:t>
                                  </w:r>
                                </w:p>
                                <w:p w:rsidR="00622A92" w:rsidRDefault="00110FC7">
                                  <w:pPr>
                                    <w:spacing w:after="454"/>
                                    <w:rPr>
                                      <w:rFonts w:ascii="Times New Roman" w:hAnsi="Times New Roman" w:cs="Times New Roman"/>
                                      <w:sz w:val="16"/>
                                      <w:szCs w:val="16"/>
                                    </w:rPr>
                                  </w:pPr>
                                  <w:r>
                                    <w:rPr>
                                      <w:rFonts w:ascii="Times New Roman" w:hAnsi="Times New Roman"/>
                                      <w:sz w:val="16"/>
                                    </w:rPr>
                                    <w:t>0,90 %</w:t>
                                  </w:r>
                                </w:p>
                                <w:p w:rsidR="00622A92" w:rsidRDefault="00110FC7">
                                  <w:pPr>
                                    <w:spacing w:after="454"/>
                                    <w:rPr>
                                      <w:rFonts w:ascii="Times New Roman" w:hAnsi="Times New Roman" w:cs="Times New Roman"/>
                                      <w:sz w:val="16"/>
                                      <w:szCs w:val="16"/>
                                    </w:rPr>
                                  </w:pPr>
                                  <w:r>
                                    <w:rPr>
                                      <w:rFonts w:ascii="Times New Roman" w:hAnsi="Times New Roman"/>
                                      <w:sz w:val="16"/>
                                    </w:rPr>
                                    <w:t>0,85 %</w:t>
                                  </w:r>
                                </w:p>
                                <w:p w:rsidR="00622A92" w:rsidRDefault="00622A92">
                                  <w:pPr>
                                    <w:rPr>
                                      <w:rFonts w:ascii="Times New Roman" w:hAnsi="Times New Roman" w:cs="Times New Roman"/>
                                      <w:sz w:val="16"/>
                                      <w:szCs w:val="16"/>
                                    </w:rPr>
                                  </w:pPr>
                                </w:p>
                                <w:p w:rsidR="00622A92" w:rsidRDefault="00622A92">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7.85pt;margin-top:34.55pt;width:30.6pt;height:321.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pPr>
                              <w:spacing w:after="454"/>
                              <w:rPr>
                                <w:rFonts w:ascii="Times New Roman" w:hAnsi="Times New Roman" w:cs="Times New Roman"/>
                                <w:sz w:val="16"/>
                                <w:szCs w:val="16"/>
                              </w:rPr>
                            </w:pPr>
                            <w:r>
                              <w:rPr>
                                <w:rFonts w:ascii="Times New Roman" w:hAnsi="Times New Roman"/>
                                <w:sz w:val="16"/>
                              </w:rPr>
                              <w:t>1,30 %</w:t>
                            </w:r>
                          </w:p>
                          <w:p>
                            <w:pPr>
                              <w:spacing w:after="454"/>
                              <w:rPr>
                                <w:rFonts w:ascii="Times New Roman" w:hAnsi="Times New Roman" w:cs="Times New Roman"/>
                                <w:sz w:val="16"/>
                                <w:szCs w:val="16"/>
                              </w:rPr>
                            </w:pPr>
                            <w:r>
                              <w:rPr>
                                <w:rFonts w:ascii="Times New Roman" w:hAnsi="Times New Roman"/>
                                <w:sz w:val="16"/>
                              </w:rPr>
                              <w:t>1,25 %</w:t>
                            </w:r>
                          </w:p>
                          <w:p>
                            <w:pPr>
                              <w:spacing w:after="454"/>
                              <w:rPr>
                                <w:rFonts w:ascii="Times New Roman" w:hAnsi="Times New Roman" w:cs="Times New Roman"/>
                                <w:sz w:val="16"/>
                                <w:szCs w:val="16"/>
                              </w:rPr>
                            </w:pPr>
                            <w:r>
                              <w:rPr>
                                <w:rFonts w:ascii="Times New Roman" w:hAnsi="Times New Roman"/>
                                <w:sz w:val="16"/>
                              </w:rPr>
                              <w:t>1,20 %</w:t>
                            </w:r>
                          </w:p>
                          <w:p>
                            <w:pPr>
                              <w:spacing w:after="454"/>
                              <w:rPr>
                                <w:rFonts w:ascii="Times New Roman" w:hAnsi="Times New Roman" w:cs="Times New Roman"/>
                                <w:sz w:val="16"/>
                                <w:szCs w:val="16"/>
                              </w:rPr>
                            </w:pPr>
                            <w:r>
                              <w:rPr>
                                <w:rFonts w:ascii="Times New Roman" w:hAnsi="Times New Roman"/>
                                <w:sz w:val="16"/>
                              </w:rPr>
                              <w:t>1,15 %</w:t>
                            </w:r>
                          </w:p>
                          <w:p>
                            <w:pPr>
                              <w:spacing w:after="454"/>
                              <w:rPr>
                                <w:rFonts w:ascii="Times New Roman" w:hAnsi="Times New Roman" w:cs="Times New Roman"/>
                                <w:sz w:val="16"/>
                                <w:szCs w:val="16"/>
                              </w:rPr>
                            </w:pPr>
                            <w:r>
                              <w:rPr>
                                <w:rFonts w:ascii="Times New Roman" w:hAnsi="Times New Roman"/>
                                <w:sz w:val="16"/>
                              </w:rPr>
                              <w:t>1,10 %</w:t>
                            </w:r>
                          </w:p>
                          <w:p>
                            <w:pPr>
                              <w:spacing w:after="454"/>
                              <w:rPr>
                                <w:rFonts w:ascii="Times New Roman" w:hAnsi="Times New Roman" w:cs="Times New Roman"/>
                                <w:sz w:val="16"/>
                                <w:szCs w:val="16"/>
                              </w:rPr>
                            </w:pPr>
                            <w:r>
                              <w:rPr>
                                <w:rFonts w:ascii="Times New Roman" w:hAnsi="Times New Roman"/>
                                <w:sz w:val="16"/>
                              </w:rPr>
                              <w:t>1,05 %</w:t>
                            </w:r>
                          </w:p>
                          <w:p>
                            <w:pPr>
                              <w:spacing w:after="454"/>
                              <w:rPr>
                                <w:rFonts w:ascii="Times New Roman" w:hAnsi="Times New Roman" w:cs="Times New Roman"/>
                                <w:sz w:val="16"/>
                                <w:szCs w:val="16"/>
                              </w:rPr>
                            </w:pPr>
                            <w:r>
                              <w:rPr>
                                <w:rFonts w:ascii="Times New Roman" w:hAnsi="Times New Roman"/>
                                <w:sz w:val="16"/>
                              </w:rPr>
                              <w:t>1,00 %</w:t>
                            </w:r>
                          </w:p>
                          <w:p>
                            <w:pPr>
                              <w:spacing w:after="454"/>
                              <w:rPr>
                                <w:rFonts w:ascii="Times New Roman" w:hAnsi="Times New Roman" w:cs="Times New Roman"/>
                                <w:sz w:val="16"/>
                                <w:szCs w:val="16"/>
                              </w:rPr>
                            </w:pPr>
                            <w:r>
                              <w:rPr>
                                <w:rFonts w:ascii="Times New Roman" w:hAnsi="Times New Roman"/>
                                <w:sz w:val="16"/>
                              </w:rPr>
                              <w:t>0,95 %</w:t>
                            </w:r>
                          </w:p>
                          <w:p>
                            <w:pPr>
                              <w:spacing w:after="454"/>
                              <w:rPr>
                                <w:rFonts w:ascii="Times New Roman" w:hAnsi="Times New Roman" w:cs="Times New Roman"/>
                                <w:sz w:val="16"/>
                                <w:szCs w:val="16"/>
                              </w:rPr>
                            </w:pPr>
                            <w:r>
                              <w:rPr>
                                <w:rFonts w:ascii="Times New Roman" w:hAnsi="Times New Roman"/>
                                <w:sz w:val="16"/>
                              </w:rPr>
                              <w:t>0,90 %</w:t>
                            </w:r>
                          </w:p>
                          <w:p>
                            <w:pPr>
                              <w:spacing w:after="454"/>
                              <w:rPr>
                                <w:rFonts w:ascii="Times New Roman" w:hAnsi="Times New Roman" w:cs="Times New Roman"/>
                                <w:sz w:val="16"/>
                                <w:szCs w:val="16"/>
                              </w:rPr>
                            </w:pPr>
                            <w:r>
                              <w:rPr>
                                <w:rFonts w:ascii="Times New Roman" w:hAnsi="Times New Roman"/>
                                <w:sz w:val="16"/>
                              </w:rPr>
                              <w:t>0,85 %</w:t>
                            </w:r>
                          </w:p>
                          <w:p>
                            <w:pPr>
                              <w:rPr>
                                <w:rFonts w:ascii="Times New Roman" w:hAnsi="Times New Roman" w:cs="Times New Roman"/>
                                <w:sz w:val="16"/>
                                <w:szCs w:val="16"/>
                              </w:rPr>
                            </w:pPr>
                          </w:p>
                          <w:p>
                            <w:pPr>
                              <w:rPr>
                                <w:rFonts w:ascii="Times New Roman" w:hAnsi="Times New Roman" w:cs="Times New Roman"/>
                                <w:sz w:val="16"/>
                                <w:szCs w:val="16"/>
                              </w:rPr>
                            </w:pPr>
                          </w:p>
                        </w:txbxContent>
                      </v:textbox>
                    </v:shape>
                  </w:pict>
                </mc:Fallback>
              </mc:AlternateContent>
            </w:r>
            <w:r>
              <w:rPr>
                <w:noProof/>
                <w:color w:val="CBE7E5"/>
                <w:lang w:val="en-GB" w:eastAsia="en-GB" w:bidi="ar-SA"/>
              </w:rPr>
              <w:drawing>
                <wp:inline distT="0" distB="0" distL="0" distR="0">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2A92" w:rsidRDefault="00110FC7">
            <w:pPr>
              <w:tabs>
                <w:tab w:val="left" w:pos="8080"/>
              </w:tabs>
              <w:spacing w:after="0" w:line="240" w:lineRule="auto"/>
              <w:ind w:left="198" w:right="284"/>
              <w:jc w:val="both"/>
              <w:rPr>
                <w:rFonts w:ascii="Times New Roman" w:eastAsia="Calibri" w:hAnsi="Times New Roman" w:cs="Times New Roman"/>
                <w:noProof/>
                <w:color w:val="231F20"/>
                <w:sz w:val="20"/>
                <w:szCs w:val="20"/>
              </w:rPr>
            </w:pPr>
            <w:r>
              <w:rPr>
                <w:rFonts w:ascii="Times New Roman" w:hAnsi="Times New Roman"/>
                <w:noProof/>
                <w:color w:val="231F20"/>
                <w:sz w:val="20"/>
              </w:rPr>
              <w:t>Os atrasos têm consequências reais para os indivíduos.</w:t>
            </w:r>
          </w:p>
          <w:p w:rsidR="00622A92" w:rsidRDefault="00110FC7">
            <w:pPr>
              <w:pStyle w:val="BodyText"/>
              <w:spacing w:before="71" w:after="120" w:line="242" w:lineRule="auto"/>
              <w:ind w:left="306" w:right="266"/>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1568" behindDoc="0" locked="0" layoutInCell="1" allowOverlap="1">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95pt;width:7.1pt;height:7.1pt;z-index:2518215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Os atos jurídicos relativos aos fundos para o asilo, a migração e a segurança só foram adotados em 2014, pelo que a designação das autoridades e a adoção dos programas só tiveram lugar em 2015. Este atraso levou a que os Estados-Membros não conseguissem in</w:t>
            </w:r>
            <w:r>
              <w:rPr>
                <w:rFonts w:ascii="Times New Roman" w:hAnsi="Times New Roman"/>
                <w:noProof/>
                <w:color w:val="231F20"/>
                <w:sz w:val="20"/>
              </w:rPr>
              <w:t xml:space="preserve">iciar os projetos a tempo, </w:t>
            </w:r>
            <w:r>
              <w:rPr>
                <w:rFonts w:ascii="Times New Roman" w:hAnsi="Times New Roman"/>
                <w:b/>
                <w:noProof/>
                <w:color w:val="231F20"/>
                <w:sz w:val="20"/>
              </w:rPr>
              <w:t>o que teve um impacto nas capacidades de receção e de alojamento dos Estados-Membros e na gestão das fronteiras</w:t>
            </w:r>
            <w:r>
              <w:rPr>
                <w:rFonts w:ascii="Times New Roman" w:hAnsi="Times New Roman"/>
                <w:noProof/>
                <w:color w:val="231F20"/>
                <w:sz w:val="20"/>
              </w:rPr>
              <w:t xml:space="preserve">. Os atrasos dificultaram significativamente a utilização dos fundos europeus pelas autoridades gregas para responder </w:t>
            </w:r>
            <w:r>
              <w:rPr>
                <w:rFonts w:ascii="Times New Roman" w:hAnsi="Times New Roman"/>
                <w:noProof/>
                <w:color w:val="231F20"/>
                <w:sz w:val="20"/>
              </w:rPr>
              <w:t>à crise em 2015. As instalações de acolhimento não estavam prontas e as condições de receção dos refugiados eram más num momento em que um elevado número de pessoas que necessitavam de proteção chegaram às ilhas, entre junho e setembro de 2015. Paralelamen</w:t>
            </w:r>
            <w:r>
              <w:rPr>
                <w:rFonts w:ascii="Times New Roman" w:hAnsi="Times New Roman"/>
                <w:noProof/>
                <w:color w:val="231F20"/>
                <w:sz w:val="20"/>
              </w:rPr>
              <w:t xml:space="preserve">te, outros Estados-Membros, como a Suécia e a Áustria, não dispunham de fundos da UE para preparar o alojamento de pessoas que chegavam pela rota dos Balcãs. A UE teve de recorrer à ajuda de emergência para assistir os referidos Estados-Membros nesta fase </w:t>
            </w:r>
            <w:r>
              <w:rPr>
                <w:rFonts w:ascii="Times New Roman" w:hAnsi="Times New Roman"/>
                <w:noProof/>
                <w:color w:val="231F20"/>
                <w:sz w:val="20"/>
              </w:rPr>
              <w:t>conturbada.</w:t>
            </w:r>
          </w:p>
          <w:p w:rsidR="00622A92" w:rsidRDefault="00622A92">
            <w:pPr>
              <w:pStyle w:val="BodyText"/>
              <w:spacing w:before="71" w:line="242" w:lineRule="auto"/>
              <w:ind w:left="305" w:right="268"/>
              <w:jc w:val="both"/>
              <w:rPr>
                <w:rFonts w:ascii="Times New Roman" w:eastAsia="Calibri" w:hAnsi="Times New Roman"/>
                <w:noProof/>
                <w:color w:val="231F20"/>
                <w:sz w:val="20"/>
                <w:szCs w:val="20"/>
              </w:rPr>
            </w:pPr>
          </w:p>
          <w:p w:rsidR="00622A92" w:rsidRDefault="00110FC7">
            <w:pPr>
              <w:pStyle w:val="BodyText"/>
              <w:spacing w:before="120" w:line="242" w:lineRule="auto"/>
              <w:ind w:left="306" w:right="266"/>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2592" behindDoc="0" locked="0" layoutInCell="1" allowOverlap="1">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7.8pt;width:7.1pt;height:7.1pt;z-index:2518225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sz w:val="20"/>
              </w:rPr>
              <w:t xml:space="preserve">Devido à adoção tardia do último quadro financeiro, não foi possível realizar várias ações internacionais ao abrigo do programa Erasmus+ em 2014. Assim, cerca de </w:t>
            </w:r>
            <w:r>
              <w:rPr>
                <w:rFonts w:ascii="Times New Roman" w:hAnsi="Times New Roman"/>
                <w:b/>
                <w:noProof/>
                <w:sz w:val="20"/>
              </w:rPr>
              <w:t>25 000 a 30 000 intercâmbios de estudantes e professores dos Estados-Membros e d</w:t>
            </w:r>
            <w:r>
              <w:rPr>
                <w:rFonts w:ascii="Times New Roman" w:hAnsi="Times New Roman"/>
                <w:b/>
                <w:noProof/>
                <w:sz w:val="20"/>
              </w:rPr>
              <w:t>os países parceiros previstos para 2014 não puderam realizar-se nesse ano</w:t>
            </w:r>
            <w:r>
              <w:rPr>
                <w:rFonts w:ascii="Times New Roman" w:hAnsi="Times New Roman"/>
                <w:noProof/>
                <w:sz w:val="20"/>
              </w:rPr>
              <w:t xml:space="preserve">. Se estes atrasos viessem a ocorrer ao longo de todo o programa, </w:t>
            </w:r>
            <w:r>
              <w:rPr>
                <w:rFonts w:ascii="Times New Roman" w:hAnsi="Times New Roman"/>
                <w:noProof/>
                <w:color w:val="231F20"/>
                <w:spacing w:val="-1"/>
                <w:sz w:val="20"/>
              </w:rPr>
              <w:t>cerca de 1 000 000 de jovens não poderiam participar num intercâmbio Erasmus+ em 2021.</w:t>
            </w:r>
          </w:p>
          <w:p w:rsidR="00622A92" w:rsidRDefault="00110FC7">
            <w:pPr>
              <w:pStyle w:val="BodyText"/>
              <w:spacing w:before="71" w:line="242" w:lineRule="auto"/>
              <w:ind w:left="305" w:right="268"/>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3616"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5pt;width:7.1pt;height:7.1pt;z-index:2518236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Atrasos na aplicação do próximo Programa-Quadro de Investigação traduzir-se-iam na </w:t>
            </w:r>
            <w:r>
              <w:rPr>
                <w:rFonts w:ascii="Times New Roman" w:hAnsi="Times New Roman"/>
                <w:b/>
                <w:noProof/>
                <w:color w:val="231F20"/>
                <w:sz w:val="20"/>
              </w:rPr>
              <w:t>perda de cerca de 5 000 postos de trabalho em investigação por mês</w:t>
            </w:r>
            <w:r>
              <w:rPr>
                <w:rFonts w:ascii="Times New Roman" w:hAnsi="Times New Roman"/>
                <w:noProof/>
                <w:color w:val="231F20"/>
                <w:sz w:val="20"/>
              </w:rPr>
              <w:t xml:space="preserve"> (aproximadamente 3 a 4 % do total de postos de trabalho em investigação na UE) e de 7 000 postos de trabal</w:t>
            </w:r>
            <w:r>
              <w:rPr>
                <w:rFonts w:ascii="Times New Roman" w:hAnsi="Times New Roman"/>
                <w:noProof/>
                <w:color w:val="231F20"/>
                <w:sz w:val="20"/>
              </w:rPr>
              <w:t xml:space="preserve">ho adicionais na economia em geral. No mesmo período, perder-se-iam mais de 200 publicações de artigos de investigação, dos quais cerca de 100 com impacto significativo. </w:t>
            </w:r>
          </w:p>
          <w:p w:rsidR="00622A92" w:rsidRDefault="00110FC7">
            <w:pPr>
              <w:pStyle w:val="BodyText"/>
              <w:spacing w:before="71" w:line="242" w:lineRule="auto"/>
              <w:ind w:left="305" w:right="268"/>
              <w:jc w:val="both"/>
              <w:rPr>
                <w:rFonts w:ascii="Times New Roman" w:eastAsia="Calibri" w:hAnsi="Times New Roman"/>
                <w:noProof/>
                <w:color w:val="231F20"/>
                <w:sz w:val="20"/>
                <w:szCs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4640" behindDoc="0" locked="0" layoutInCell="1" allowOverlap="1">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5pt;width:7.1pt;height:7.1pt;z-index:2518246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Atrasos na seleção dos projetos </w:t>
            </w:r>
            <w:r>
              <w:rPr>
                <w:rFonts w:ascii="Times New Roman" w:hAnsi="Times New Roman"/>
                <w:noProof/>
                <w:sz w:val="20"/>
              </w:rPr>
              <w:t>na primeira fase de execução dos programas de coesão</w:t>
            </w:r>
            <w:r>
              <w:rPr>
                <w:rFonts w:ascii="Times New Roman" w:hAnsi="Times New Roman"/>
                <w:noProof/>
                <w:sz w:val="20"/>
              </w:rPr>
              <w:t xml:space="preserve"> resultariam em </w:t>
            </w:r>
            <w:r>
              <w:rPr>
                <w:rFonts w:ascii="Times New Roman" w:hAnsi="Times New Roman"/>
                <w:b/>
                <w:noProof/>
                <w:sz w:val="20"/>
              </w:rPr>
              <w:t xml:space="preserve">mais de 100 000 projetos que ficariam impedidos de começar a tempo, </w:t>
            </w:r>
            <w:r>
              <w:rPr>
                <w:rFonts w:ascii="Times New Roman" w:hAnsi="Times New Roman"/>
                <w:noProof/>
                <w:sz w:val="20"/>
              </w:rPr>
              <w:t xml:space="preserve">em domínios que incluem o apoio a empresas, a eficiência energética, os cuidados de saúde, a educação e a inclusão social. </w:t>
            </w:r>
          </w:p>
          <w:p w:rsidR="00622A92" w:rsidRDefault="00110FC7">
            <w:pPr>
              <w:pStyle w:val="BodyText"/>
              <w:spacing w:before="71" w:line="242" w:lineRule="auto"/>
              <w:ind w:left="305" w:right="268"/>
              <w:jc w:val="both"/>
              <w:rPr>
                <w:rFonts w:ascii="Times New Roman" w:eastAsia="Calibri"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5664" behindDoc="0" locked="0" layoutInCell="1" allowOverlap="1">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6pt;margin-top:6.15pt;width:7.1pt;height:7.1pt;z-index:2518256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Atrasos na adoção do QFP teriam um forte impact</w:t>
            </w:r>
            <w:r>
              <w:rPr>
                <w:rFonts w:ascii="Times New Roman" w:hAnsi="Times New Roman"/>
                <w:noProof/>
                <w:color w:val="231F20"/>
                <w:sz w:val="20"/>
              </w:rPr>
              <w:t xml:space="preserve">o em vários projetos de infraestrutura de grande escala. Programas </w:t>
            </w:r>
            <w:r>
              <w:rPr>
                <w:rFonts w:ascii="Times New Roman" w:hAnsi="Times New Roman"/>
                <w:noProof/>
                <w:sz w:val="20"/>
              </w:rPr>
              <w:t>espaciais</w:t>
            </w:r>
            <w:r>
              <w:rPr>
                <w:rFonts w:ascii="Times New Roman" w:hAnsi="Times New Roman"/>
                <w:noProof/>
                <w:color w:val="231F20"/>
                <w:sz w:val="20"/>
              </w:rPr>
              <w:t xml:space="preserve"> como o Galileu ou o Copérnico caracterizam-se por ciclos de investimento longos, o que requer </w:t>
            </w:r>
            <w:r>
              <w:rPr>
                <w:rFonts w:ascii="Times New Roman" w:hAnsi="Times New Roman"/>
                <w:b/>
                <w:noProof/>
                <w:color w:val="231F20"/>
                <w:sz w:val="20"/>
              </w:rPr>
              <w:t>previsibilidade no que diz respeito à adjudicação de contratos</w:t>
            </w:r>
            <w:r>
              <w:rPr>
                <w:rFonts w:ascii="Times New Roman" w:hAnsi="Times New Roman"/>
                <w:noProof/>
                <w:color w:val="231F20"/>
                <w:sz w:val="20"/>
              </w:rPr>
              <w:t xml:space="preserve">. Em 2019 concluir-se-á um concurso público em curso para vários satélites Galileu que só poderá ser plenamente aplicado com os novos requisitos jurídicos e orçamentais completamente operacionais. </w:t>
            </w:r>
          </w:p>
          <w:p w:rsidR="00622A92" w:rsidRDefault="00110FC7">
            <w:pPr>
              <w:pStyle w:val="BodyText"/>
              <w:tabs>
                <w:tab w:val="left" w:pos="142"/>
              </w:tabs>
              <w:spacing w:before="71" w:line="242" w:lineRule="auto"/>
              <w:ind w:left="305" w:right="268"/>
              <w:jc w:val="both"/>
              <w:rPr>
                <w:rFonts w:ascii="Times New Roman" w:eastAsia="Calibri"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6688" behindDoc="0" locked="0" layoutInCell="1" allowOverlap="1">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35pt;margin-top:6.05pt;width:7.1pt;height:7.1pt;z-index:2518266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Um outro exemplo dos efeitos negativos de atrasos na adoç</w:t>
            </w:r>
            <w:r>
              <w:rPr>
                <w:rFonts w:ascii="Times New Roman" w:hAnsi="Times New Roman"/>
                <w:noProof/>
                <w:color w:val="231F20"/>
                <w:sz w:val="20"/>
              </w:rPr>
              <w:t xml:space="preserve">ão de um novo quadro financeiro plurianual é o projeto </w:t>
            </w:r>
            <w:r>
              <w:rPr>
                <w:rFonts w:ascii="Times New Roman" w:hAnsi="Times New Roman"/>
                <w:b/>
                <w:noProof/>
                <w:color w:val="231F20"/>
                <w:sz w:val="20"/>
              </w:rPr>
              <w:t xml:space="preserve">«Rail Baltica», </w:t>
            </w:r>
            <w:r>
              <w:rPr>
                <w:rFonts w:ascii="Times New Roman" w:hAnsi="Times New Roman"/>
                <w:noProof/>
                <w:color w:val="231F20"/>
                <w:sz w:val="20"/>
              </w:rPr>
              <w:t xml:space="preserve">que consiste na construção de uma </w:t>
            </w:r>
            <w:r>
              <w:rPr>
                <w:rFonts w:ascii="Times New Roman" w:hAnsi="Times New Roman"/>
                <w:b/>
                <w:noProof/>
                <w:color w:val="231F20"/>
                <w:sz w:val="20"/>
              </w:rPr>
              <w:t>ligação ferroviária fundamental com os Estados bálticos</w:t>
            </w:r>
            <w:r>
              <w:rPr>
                <w:rFonts w:ascii="Times New Roman" w:hAnsi="Times New Roman"/>
                <w:noProof/>
                <w:color w:val="231F20"/>
                <w:sz w:val="20"/>
              </w:rPr>
              <w:t xml:space="preserve"> e deveria estar concluído até 2025/2027. Importa que as autoridades possam abrir os concursos d</w:t>
            </w:r>
            <w:r>
              <w:rPr>
                <w:rFonts w:ascii="Times New Roman" w:hAnsi="Times New Roman"/>
                <w:noProof/>
                <w:color w:val="231F20"/>
                <w:sz w:val="20"/>
              </w:rPr>
              <w:t>e adjudicação pública necessários para a construção da ferrovia em 2021, o que será fundamental para completar um projeto que ajudará a ligar cinco milhões de pessoas dos Estados bálticos ao resto da Europa. Simultaneamente, a rede ferroviária de alta velo</w:t>
            </w:r>
            <w:r>
              <w:rPr>
                <w:rFonts w:ascii="Times New Roman" w:hAnsi="Times New Roman"/>
                <w:noProof/>
                <w:color w:val="231F20"/>
                <w:sz w:val="20"/>
              </w:rPr>
              <w:t xml:space="preserve">cidade permitirá o transporte de mercadorias da Finlândia até à Alemanha, ao Benelux e ao Adriático. </w:t>
            </w:r>
          </w:p>
          <w:p w:rsidR="00622A92" w:rsidRDefault="00110FC7">
            <w:pPr>
              <w:pStyle w:val="BodyText"/>
              <w:spacing w:before="71" w:line="242" w:lineRule="auto"/>
              <w:ind w:left="305" w:right="268"/>
              <w:jc w:val="both"/>
              <w:rPr>
                <w:rFonts w:ascii="Times New Roman" w:eastAsia="Calibri" w:hAnsi="Times New Roman"/>
                <w:noProof/>
                <w:color w:val="231F20"/>
                <w:sz w:val="20"/>
                <w:szCs w:val="22"/>
              </w:rPr>
            </w:pPr>
            <w:r>
              <w:rPr>
                <w:rFonts w:ascii="Times New Roman" w:hAnsi="Times New Roman"/>
                <w:noProof/>
                <w:sz w:val="20"/>
                <w:szCs w:val="20"/>
                <w:lang w:val="en-GB" w:eastAsia="en-GB" w:bidi="ar-SA"/>
              </w:rPr>
              <mc:AlternateContent>
                <mc:Choice Requires="wps">
                  <w:drawing>
                    <wp:anchor distT="0" distB="0" distL="114300" distR="114300" simplePos="0" relativeHeight="251827712" behindDoc="0" locked="0" layoutInCell="1" allowOverlap="1">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4pt;margin-top:6.1pt;width:7.1pt;height:7.1pt;z-index:2518277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rPr>
              <w:t xml:space="preserve">A conclusão do </w:t>
            </w:r>
            <w:r>
              <w:rPr>
                <w:rFonts w:ascii="Times New Roman" w:hAnsi="Times New Roman"/>
                <w:b/>
                <w:noProof/>
                <w:color w:val="231F20"/>
                <w:sz w:val="20"/>
              </w:rPr>
              <w:t>túnel de base do Brenner</w:t>
            </w:r>
            <w:r>
              <w:rPr>
                <w:rFonts w:ascii="Times New Roman" w:hAnsi="Times New Roman"/>
                <w:noProof/>
                <w:color w:val="231F20"/>
                <w:sz w:val="20"/>
              </w:rPr>
              <w:t xml:space="preserve"> está prevista para 2027, devendo as obras de engenharia ferroviária ter início ao abrigo do próximo QFP. Trata-se</w:t>
            </w:r>
            <w:r>
              <w:rPr>
                <w:rFonts w:ascii="Times New Roman" w:hAnsi="Times New Roman"/>
                <w:noProof/>
                <w:color w:val="231F20"/>
                <w:sz w:val="20"/>
              </w:rPr>
              <w:t xml:space="preserve"> de um projeto essencial, que visa transferir metade do trânsito, correspondente a 2,2 milhões de camiões, da autoestrada de Brenner para o transporte ferroviário, o que diminuirá a poluição nos vales com precioso valor paisagístico entre Munique-Innsbruck</w:t>
            </w:r>
            <w:r>
              <w:rPr>
                <w:rFonts w:ascii="Times New Roman" w:hAnsi="Times New Roman"/>
                <w:noProof/>
                <w:color w:val="231F20"/>
                <w:sz w:val="20"/>
              </w:rPr>
              <w:t xml:space="preserve"> e Verona. </w:t>
            </w:r>
          </w:p>
          <w:p w:rsidR="00622A92" w:rsidRDefault="00110FC7">
            <w:pPr>
              <w:pStyle w:val="BodyText"/>
              <w:spacing w:before="71" w:line="242" w:lineRule="auto"/>
              <w:ind w:left="305" w:right="268"/>
              <w:jc w:val="both"/>
              <w:rPr>
                <w:rFonts w:ascii="Times New Roman" w:eastAsia="Calibri" w:hAnsi="Times New Roman"/>
                <w:noProof/>
                <w:color w:val="231F20"/>
                <w:sz w:val="20"/>
              </w:rPr>
            </w:pPr>
            <w:r>
              <w:rPr>
                <w:rFonts w:ascii="Times New Roman" w:hAnsi="Times New Roman"/>
                <w:noProof/>
                <w:sz w:val="20"/>
                <w:szCs w:val="20"/>
                <w:lang w:val="en-GB" w:eastAsia="en-GB" w:bidi="ar-SA"/>
              </w:rPr>
              <mc:AlternateContent>
                <mc:Choice Requires="wps">
                  <w:drawing>
                    <wp:anchor distT="0" distB="0" distL="114300" distR="114300" simplePos="0" relativeHeight="251828736" behindDoc="0" locked="0" layoutInCell="1" allowOverlap="1">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25pt;margin-top:5.5pt;width:7.1pt;height:7.1pt;z-index:2518287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sz w:val="20"/>
              </w:rPr>
              <w:t>Também o</w:t>
            </w:r>
            <w:r>
              <w:rPr>
                <w:rFonts w:ascii="Times New Roman" w:hAnsi="Times New Roman"/>
                <w:noProof/>
                <w:color w:val="231F20"/>
                <w:sz w:val="20"/>
              </w:rPr>
              <w:t xml:space="preserve"> </w:t>
            </w:r>
            <w:r>
              <w:rPr>
                <w:rFonts w:ascii="Times New Roman" w:hAnsi="Times New Roman"/>
                <w:b/>
                <w:noProof/>
                <w:color w:val="231F20"/>
                <w:sz w:val="20"/>
              </w:rPr>
              <w:t>estreito de Fehmarn, entre a Dinamarca e a Alemanha</w:t>
            </w:r>
            <w:r>
              <w:rPr>
                <w:rFonts w:ascii="Times New Roman" w:hAnsi="Times New Roman"/>
                <w:noProof/>
                <w:color w:val="231F20"/>
                <w:sz w:val="20"/>
              </w:rPr>
              <w:t xml:space="preserve">, a </w:t>
            </w:r>
            <w:r>
              <w:rPr>
                <w:rFonts w:ascii="Times New Roman" w:hAnsi="Times New Roman"/>
                <w:b/>
                <w:noProof/>
                <w:color w:val="231F20"/>
                <w:sz w:val="20"/>
              </w:rPr>
              <w:t>ligação ferroviária entre Évora e Mérida</w:t>
            </w:r>
            <w:r>
              <w:rPr>
                <w:rFonts w:ascii="Times New Roman" w:hAnsi="Times New Roman"/>
                <w:noProof/>
                <w:color w:val="231F20"/>
                <w:sz w:val="20"/>
              </w:rPr>
              <w:t>, que ligará finalmente Lisboa a Madrid</w:t>
            </w:r>
            <w:r>
              <w:rPr>
                <w:rFonts w:ascii="Times New Roman" w:hAnsi="Times New Roman"/>
                <w:b/>
                <w:noProof/>
                <w:color w:val="231F20"/>
                <w:sz w:val="20"/>
              </w:rPr>
              <w:t>, e o túnel de base Lyon-Turim</w:t>
            </w:r>
            <w:r>
              <w:rPr>
                <w:rFonts w:ascii="Times New Roman" w:hAnsi="Times New Roman"/>
                <w:noProof/>
                <w:color w:val="231F20"/>
                <w:sz w:val="20"/>
              </w:rPr>
              <w:t>, que ligará as redes de alta velocidade de França e Itália, deverão e</w:t>
            </w:r>
            <w:r>
              <w:rPr>
                <w:rFonts w:ascii="Times New Roman" w:hAnsi="Times New Roman"/>
                <w:noProof/>
                <w:color w:val="231F20"/>
                <w:sz w:val="20"/>
              </w:rPr>
              <w:t xml:space="preserve">star concluídos no final do próximo quadro financeiro plurianual. </w:t>
            </w:r>
          </w:p>
          <w:p w:rsidR="00622A92" w:rsidRDefault="00110FC7">
            <w:pPr>
              <w:tabs>
                <w:tab w:val="left" w:pos="8080"/>
              </w:tabs>
              <w:spacing w:before="63" w:after="0" w:line="242" w:lineRule="auto"/>
              <w:ind w:left="198" w:right="283"/>
              <w:jc w:val="both"/>
              <w:rPr>
                <w:rFonts w:ascii="Times New Roman" w:eastAsia="Calibri" w:hAnsi="Times New Roman" w:cs="Times New Roman"/>
                <w:noProof/>
                <w:color w:val="231F20"/>
                <w:sz w:val="20"/>
              </w:rPr>
            </w:pPr>
            <w:r>
              <w:rPr>
                <w:rFonts w:ascii="Times New Roman" w:hAnsi="Times New Roman"/>
                <w:noProof/>
                <w:color w:val="231F20"/>
                <w:sz w:val="20"/>
              </w:rPr>
              <w:t xml:space="preserve">Estes projetos não podem sofrer atrasos no planeamento e nos processos de adjudicação de contratos meramente devido à adoção tardia do próximo quadro financeiro plurianual. </w:t>
            </w:r>
          </w:p>
          <w:p w:rsidR="00622A92" w:rsidRDefault="00622A92">
            <w:pPr>
              <w:pStyle w:val="BodyText"/>
              <w:spacing w:before="71" w:line="242" w:lineRule="auto"/>
              <w:ind w:left="0" w:right="363"/>
              <w:jc w:val="both"/>
              <w:rPr>
                <w:rFonts w:ascii="Times New Roman" w:eastAsia="Calibri" w:hAnsi="Times New Roman"/>
                <w:noProof/>
                <w:color w:val="231F20"/>
              </w:rPr>
            </w:pPr>
          </w:p>
        </w:tc>
      </w:tr>
    </w:tbl>
    <w:p w:rsidR="00622A92" w:rsidRDefault="00110FC7">
      <w:pPr>
        <w:pStyle w:val="Heading1"/>
        <w:spacing w:before="360" w:after="240"/>
        <w:ind w:left="709" w:hanging="709"/>
        <w:rPr>
          <w:rFonts w:ascii="Times New Roman" w:hAnsi="Times New Roman" w:cs="Times New Roman"/>
          <w:noProof/>
          <w:color w:val="006B75"/>
        </w:rPr>
      </w:pPr>
      <w:r>
        <w:rPr>
          <w:rFonts w:ascii="Times New Roman" w:hAnsi="Times New Roman"/>
          <w:noProof/>
          <w:color w:val="006B75"/>
        </w:rPr>
        <w:t>CONCLUSÃO</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O quadro financeiro plurianual pós-2020 constituirá um teste decisivo para a União Europeia a 27. Importa que, quando os dirigentes europeus tomarem decisões sobre o futuro da Europa em Sibiu, na Roménia, em 9 de maio de 2019, </w:t>
      </w:r>
      <w:r>
        <w:rPr>
          <w:rFonts w:ascii="Times New Roman" w:hAnsi="Times New Roman"/>
          <w:b/>
          <w:noProof/>
          <w:sz w:val="24"/>
        </w:rPr>
        <w:t>a União dos 27 seja uma União</w:t>
      </w:r>
      <w:r>
        <w:rPr>
          <w:rFonts w:ascii="Times New Roman" w:hAnsi="Times New Roman"/>
          <w:b/>
          <w:noProof/>
          <w:sz w:val="24"/>
        </w:rPr>
        <w:t xml:space="preserve"> de ação. Um avanço decisivo no quadro financeiro</w:t>
      </w:r>
      <w:r>
        <w:rPr>
          <w:rFonts w:ascii="Times New Roman" w:hAnsi="Times New Roman"/>
          <w:noProof/>
          <w:sz w:val="24"/>
        </w:rPr>
        <w:t xml:space="preserve"> até lá seria um sinal de que a União é capaz de colmatar as lacunas entre as prioridades políticas e a obtenção de resultados concretos para benefício de todos os europeus.</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Um acordo atempado sobre um quadr</w:t>
      </w:r>
      <w:r>
        <w:rPr>
          <w:rFonts w:ascii="Times New Roman" w:hAnsi="Times New Roman"/>
          <w:noProof/>
          <w:sz w:val="24"/>
        </w:rPr>
        <w:t>o financeiro renovado e moderno só será possível sob uma liderança forte dos dirigentes da UE e com a participação, desde o início, do Parlamento Europeu. As reuniões do Conselho Europeu de outubro e dezembro de 2018 serão etapas cruciais neste processo.</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w:t>
      </w:r>
      <w:r>
        <w:rPr>
          <w:rFonts w:ascii="Times New Roman" w:hAnsi="Times New Roman"/>
          <w:noProof/>
          <w:sz w:val="24"/>
        </w:rPr>
        <w:t xml:space="preserve"> Comissão está pronta para desempenhar plenamente o seu papel. Temos ouvido as instituições da UE, os Estados-Membros, os parlamentos nacionais e os representantes das muitas partes interessadas no futuro do orçamento e continuaremos, nos próximos meses, a</w:t>
      </w:r>
      <w:r>
        <w:rPr>
          <w:rFonts w:ascii="Times New Roman" w:hAnsi="Times New Roman"/>
          <w:noProof/>
          <w:sz w:val="24"/>
        </w:rPr>
        <w:t xml:space="preserve"> estar atentos. </w:t>
      </w:r>
      <w:r>
        <w:rPr>
          <w:rFonts w:ascii="Times New Roman" w:hAnsi="Times New Roman"/>
          <w:b/>
          <w:noProof/>
          <w:sz w:val="24"/>
        </w:rPr>
        <w:t xml:space="preserve">Todas as opções e dados citados na presente Comunicação são ilustrativos e têm por fim estimular um debate aberto, não representando a posição definitiva da Comissão. </w:t>
      </w:r>
      <w:r>
        <w:rPr>
          <w:rFonts w:ascii="Times New Roman" w:hAnsi="Times New Roman"/>
          <w:noProof/>
          <w:sz w:val="24"/>
        </w:rPr>
        <w:t>Cabe aos líderes europeus tomar as decisões finais sobre o quadro finance</w:t>
      </w:r>
      <w:r>
        <w:rPr>
          <w:rFonts w:ascii="Times New Roman" w:hAnsi="Times New Roman"/>
          <w:noProof/>
          <w:sz w:val="24"/>
        </w:rPr>
        <w:t xml:space="preserve">iro plurianual, sob reserva do acordo do Parlamento Europeu.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As nossas propostas desenvolverão as ideias apresentadas na presente comunicação e constituirão um ponto de partida sólido para um acordo atempado entre todos os Estados-Membros, sob reserva do </w:t>
      </w:r>
      <w:r>
        <w:rPr>
          <w:rFonts w:ascii="Times New Roman" w:hAnsi="Times New Roman"/>
          <w:noProof/>
          <w:sz w:val="24"/>
        </w:rPr>
        <w:t xml:space="preserve">acordo do Parlamento Europeu. As nossas propostas basear-se-ão nas prioridades que os líderes da UE definirem em conjunto. </w:t>
      </w:r>
    </w:p>
    <w:p w:rsidR="00622A92" w:rsidRDefault="00110FC7">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As propostas da Comissão mostrarão claramente as implicações financeiras dessas prioridades. É fundamental manter esta ligação, em n</w:t>
      </w:r>
      <w:r>
        <w:rPr>
          <w:rFonts w:ascii="Times New Roman" w:hAnsi="Times New Roman"/>
          <w:noProof/>
          <w:sz w:val="24"/>
        </w:rPr>
        <w:t xml:space="preserve">ome da credibilidade do futuro orçamento da UE. Se a União decidir que irá fazer menos, um orçamento reduzido será suficiente. </w:t>
      </w:r>
    </w:p>
    <w:p w:rsidR="00622A92" w:rsidRDefault="00110FC7">
      <w:pPr>
        <w:spacing w:after="24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No entanto, sempre que a União decida fazer mais, isso terá consequências financeiras. </w:t>
      </w:r>
    </w:p>
    <w:p w:rsidR="00622A92" w:rsidRDefault="00110FC7">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Os europeus estão na expetativa de uma U</w:t>
      </w:r>
      <w:r>
        <w:rPr>
          <w:rFonts w:ascii="Times New Roman" w:hAnsi="Times New Roman"/>
          <w:noProof/>
          <w:sz w:val="24"/>
        </w:rPr>
        <w:t xml:space="preserve">nião forte, capaz de enfrentar os desafios do futuro, e de um orçamento que lhes ofereça resultados. </w:t>
      </w:r>
      <w:r>
        <w:rPr>
          <w:rFonts w:ascii="Times New Roman" w:hAnsi="Times New Roman"/>
          <w:b/>
          <w:noProof/>
          <w:sz w:val="24"/>
        </w:rPr>
        <w:t>Os seus líderes devem desempenhar o seu papel para assegurar o cumprimento dessas expetativas</w:t>
      </w:r>
      <w:r>
        <w:rPr>
          <w:rFonts w:ascii="Times New Roman" w:hAnsi="Times New Roman"/>
          <w:noProof/>
          <w:sz w:val="24"/>
        </w:rPr>
        <w:t>.</w:t>
      </w:r>
    </w:p>
    <w:p w:rsidR="00622A92" w:rsidRDefault="00110FC7">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GB" w:eastAsia="en-GB" w:bidi="ar-SA"/>
        </w:rPr>
        <mc:AlternateContent>
          <mc:Choice Requires="wps">
            <w:drawing>
              <wp:anchor distT="0" distB="0" distL="114300" distR="114300" simplePos="0" relativeHeight="251818496" behindDoc="0" locked="0" layoutInCell="1" allowOverlap="1">
                <wp:simplePos x="0" y="0"/>
                <wp:positionH relativeFrom="column">
                  <wp:posOffset>3810</wp:posOffset>
                </wp:positionH>
                <wp:positionV relativeFrom="paragraph">
                  <wp:posOffset>10160</wp:posOffset>
                </wp:positionV>
                <wp:extent cx="5756910" cy="4189095"/>
                <wp:effectExtent l="0" t="0" r="15240" b="20955"/>
                <wp:wrapTopAndBottom/>
                <wp:docPr id="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189095"/>
                        </a:xfrm>
                        <a:prstGeom prst="rect">
                          <a:avLst/>
                        </a:prstGeom>
                        <a:solidFill>
                          <a:srgbClr val="FFFFFF"/>
                        </a:solidFill>
                        <a:ln w="19050">
                          <a:solidFill>
                            <a:srgbClr val="006B75"/>
                          </a:solidFill>
                          <a:miter lim="800000"/>
                          <a:headEnd/>
                          <a:tailEnd/>
                        </a:ln>
                      </wps:spPr>
                      <wps:txbx>
                        <w:txbxContent>
                          <w:p w:rsidR="00622A92" w:rsidRDefault="00110FC7">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A Comissão convida os líderes europeus a:</w:t>
                            </w:r>
                          </w:p>
                          <w:p w:rsidR="00622A92" w:rsidRDefault="00110FC7">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um </w:t>
                            </w:r>
                            <w:r>
                              <w:rPr>
                                <w:rFonts w:ascii="Times New Roman" w:hAnsi="Times New Roman"/>
                                <w:b/>
                                <w:i/>
                                <w:noProof/>
                                <w:sz w:val="24"/>
                              </w:rPr>
                              <w:t>quadr</w:t>
                            </w:r>
                            <w:r>
                              <w:rPr>
                                <w:rFonts w:ascii="Times New Roman" w:hAnsi="Times New Roman"/>
                                <w:b/>
                                <w:i/>
                                <w:noProof/>
                                <w:sz w:val="24"/>
                              </w:rPr>
                              <w:t>o financeiro plurianual renovado e modernizado</w:t>
                            </w:r>
                            <w:r>
                              <w:rPr>
                                <w:rFonts w:ascii="Times New Roman" w:hAnsi="Times New Roman"/>
                                <w:i/>
                                <w:noProof/>
                                <w:sz w:val="24"/>
                              </w:rPr>
                              <w:t xml:space="preserve">, que sirva uma Europa que </w:t>
                            </w:r>
                            <w:r>
                              <w:rPr>
                                <w:rFonts w:ascii="Times New Roman" w:hAnsi="Times New Roman"/>
                                <w:b/>
                                <w:i/>
                                <w:noProof/>
                                <w:sz w:val="24"/>
                              </w:rPr>
                              <w:t>protege, habilita e defende</w:t>
                            </w:r>
                            <w:r>
                              <w:rPr>
                                <w:rFonts w:ascii="Times New Roman" w:hAnsi="Times New Roman"/>
                                <w:i/>
                                <w:noProof/>
                                <w:sz w:val="24"/>
                              </w:rPr>
                              <w:t xml:space="preserve">; </w:t>
                            </w:r>
                          </w:p>
                          <w:p w:rsidR="00622A92" w:rsidRDefault="00110FC7">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plena e firmemente as </w:t>
                            </w:r>
                            <w:r>
                              <w:rPr>
                                <w:rFonts w:ascii="Times New Roman" w:hAnsi="Times New Roman"/>
                                <w:b/>
                                <w:i/>
                                <w:noProof/>
                                <w:sz w:val="24"/>
                              </w:rPr>
                              <w:t>prioridades</w:t>
                            </w:r>
                            <w:r>
                              <w:rPr>
                                <w:rFonts w:ascii="Times New Roman" w:hAnsi="Times New Roman"/>
                                <w:i/>
                                <w:noProof/>
                                <w:sz w:val="24"/>
                              </w:rPr>
                              <w:t xml:space="preserve"> acordadas em 16 de setembro de 2016 em Bratislava e em 25 de março de 2017 na Declaração de Roma; </w:t>
                            </w:r>
                          </w:p>
                          <w:p w:rsidR="00622A92" w:rsidRDefault="00110FC7">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sz w:val="24"/>
                              </w:rPr>
                              <w:t>reconhecer qu</w:t>
                            </w:r>
                            <w:r>
                              <w:rPr>
                                <w:rFonts w:ascii="Times New Roman" w:hAnsi="Times New Roman"/>
                                <w:i/>
                                <w:sz w:val="24"/>
                              </w:rPr>
                              <w:t xml:space="preserve">e, de forma a traduzir estas prioridades em termos financeiros, </w:t>
                            </w:r>
                            <w:r>
                              <w:rPr>
                                <w:rFonts w:ascii="Times New Roman" w:hAnsi="Times New Roman"/>
                                <w:b/>
                                <w:i/>
                                <w:noProof/>
                                <w:sz w:val="24"/>
                              </w:rPr>
                              <w:t>será necessário um orçamento com uma dimensão suficiente</w:t>
                            </w:r>
                            <w:r>
                              <w:rPr>
                                <w:rFonts w:ascii="Times New Roman" w:hAnsi="Times New Roman"/>
                                <w:i/>
                                <w:sz w:val="24"/>
                              </w:rPr>
                              <w:t>, apoiado por uma combinação inteligente de poupanças, reafetações e novos recursos;</w:t>
                            </w:r>
                          </w:p>
                          <w:p w:rsidR="00622A92" w:rsidRDefault="00110FC7">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a reforma da </w:t>
                            </w:r>
                            <w:r>
                              <w:rPr>
                                <w:rFonts w:ascii="Times New Roman" w:hAnsi="Times New Roman"/>
                                <w:b/>
                                <w:i/>
                                <w:noProof/>
                                <w:sz w:val="24"/>
                              </w:rPr>
                              <w:t xml:space="preserve">parte da receita do orçamento </w:t>
                            </w:r>
                            <w:r>
                              <w:rPr>
                                <w:rFonts w:ascii="Times New Roman" w:hAnsi="Times New Roman"/>
                                <w:b/>
                                <w:i/>
                                <w:noProof/>
                                <w:sz w:val="24"/>
                              </w:rPr>
                              <w:t>da UE</w:t>
                            </w:r>
                            <w:r>
                              <w:rPr>
                                <w:rFonts w:ascii="Times New Roman" w:hAnsi="Times New Roman"/>
                                <w:i/>
                                <w:noProof/>
                                <w:sz w:val="24"/>
                              </w:rPr>
                              <w:t xml:space="preserve">, no âmbito de um pacote global equilibrado para o próximo quadro financeiro plurianual, </w:t>
                            </w:r>
                            <w:r>
                              <w:rPr>
                                <w:rFonts w:ascii="Times New Roman" w:hAnsi="Times New Roman"/>
                                <w:b/>
                                <w:i/>
                                <w:noProof/>
                                <w:sz w:val="24"/>
                              </w:rPr>
                              <w:t>eliminando as correções</w:t>
                            </w:r>
                            <w:r>
                              <w:rPr>
                                <w:rFonts w:ascii="Times New Roman" w:hAnsi="Times New Roman"/>
                                <w:i/>
                                <w:noProof/>
                                <w:sz w:val="24"/>
                              </w:rPr>
                              <w:t xml:space="preserve"> e estabelecendo uma ligação mais estreita com objetivos políticos concretos da União;</w:t>
                            </w:r>
                          </w:p>
                          <w:p w:rsidR="00622A92" w:rsidRDefault="00110FC7">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comprometerem-se em trabalhar em estreita colaboraçã</w:t>
                            </w:r>
                            <w:r>
                              <w:rPr>
                                <w:rFonts w:ascii="Times New Roman" w:hAnsi="Times New Roman"/>
                                <w:i/>
                                <w:noProof/>
                                <w:sz w:val="24"/>
                              </w:rPr>
                              <w:t xml:space="preserve">o com o Parlamento Europeu e a Comissão Europeia relativamente à proposta concreta para o quadro financeiro plurianual, tendo em mente que a Comissão apresentará a sua proposta até ao </w:t>
                            </w:r>
                            <w:r>
                              <w:rPr>
                                <w:rFonts w:ascii="Times New Roman" w:hAnsi="Times New Roman"/>
                                <w:b/>
                                <w:i/>
                                <w:noProof/>
                                <w:sz w:val="24"/>
                              </w:rPr>
                              <w:t>início de maio de 2018, o mais tardar</w:t>
                            </w:r>
                            <w:r>
                              <w:rPr>
                                <w:rFonts w:ascii="Times New Roman" w:hAnsi="Times New Roman"/>
                                <w:i/>
                                <w:noProof/>
                                <w:sz w:val="24"/>
                              </w:rPr>
                              <w:t>;</w:t>
                            </w:r>
                          </w:p>
                          <w:p w:rsidR="00622A92" w:rsidRDefault="00110FC7">
                            <w:pPr>
                              <w:pStyle w:val="ListParagraph"/>
                              <w:widowControl w:val="0"/>
                              <w:numPr>
                                <w:ilvl w:val="0"/>
                                <w:numId w:val="2"/>
                              </w:numPr>
                              <w:spacing w:before="120" w:after="120"/>
                              <w:ind w:left="714" w:hanging="357"/>
                              <w:jc w:val="both"/>
                              <w:rPr>
                                <w:rFonts w:ascii="Times New Roman" w:hAnsi="Times New Roman"/>
                                <w:i/>
                                <w:noProof/>
                                <w:sz w:val="24"/>
                                <w:szCs w:val="24"/>
                              </w:rPr>
                            </w:pPr>
                            <w:r>
                              <w:rPr>
                                <w:rFonts w:ascii="Times New Roman" w:hAnsi="Times New Roman"/>
                                <w:i/>
                                <w:noProof/>
                                <w:sz w:val="24"/>
                              </w:rPr>
                              <w:t xml:space="preserve">comprometerem-se a alcançar </w:t>
                            </w:r>
                            <w:r>
                              <w:rPr>
                                <w:rFonts w:ascii="Times New Roman" w:hAnsi="Times New Roman"/>
                                <w:b/>
                                <w:i/>
                                <w:noProof/>
                                <w:sz w:val="24"/>
                              </w:rPr>
                              <w:t>avanç</w:t>
                            </w:r>
                            <w:r>
                              <w:rPr>
                                <w:rFonts w:ascii="Times New Roman" w:hAnsi="Times New Roman"/>
                                <w:b/>
                                <w:i/>
                                <w:noProof/>
                                <w:sz w:val="24"/>
                              </w:rPr>
                              <w:t>os decisivos</w:t>
                            </w:r>
                            <w:r>
                              <w:rPr>
                                <w:rFonts w:ascii="Times New Roman" w:hAnsi="Times New Roman"/>
                                <w:i/>
                                <w:noProof/>
                                <w:sz w:val="24"/>
                              </w:rPr>
                              <w:t xml:space="preserve"> quanto ao quadro financeiro plurianual até à sua reunião em Sibiu, em 9 de maio de 2019, garantindo à Europa dos 27 o melhor ponto de partida possível.</w:t>
                            </w:r>
                          </w:p>
                          <w:p w:rsidR="00622A92" w:rsidRDefault="00622A92">
                            <w:pPr>
                              <w:widowControl w:val="0"/>
                              <w:spacing w:before="120" w:after="120"/>
                              <w:jc w:val="both"/>
                              <w:rPr>
                                <w:rFonts w:ascii="Times New Roman" w:hAnsi="Times New Roman"/>
                                <w:i/>
                                <w:noProof/>
                                <w:sz w:val="24"/>
                                <w:szCs w:val="24"/>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3pt;margin-top:.8pt;width:453.3pt;height:329.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" strokecolor="#006b75" strokeweight="1.5pt">
                <v:textbox inset=",,5mm">
                  <w:txbxContent>
                    <w:p>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A Comissão convida os líderes europeus a:</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um </w:t>
                      </w:r>
                      <w:r>
                        <w:rPr>
                          <w:rFonts w:ascii="Times New Roman" w:hAnsi="Times New Roman"/>
                          <w:b/>
                          <w:i/>
                          <w:noProof/>
                          <w:sz w:val="24"/>
                        </w:rPr>
                        <w:t>quadro financeiro plurianual renovado e modernizado</w:t>
                      </w:r>
                      <w:r>
                        <w:rPr>
                          <w:rFonts w:ascii="Times New Roman" w:hAnsi="Times New Roman"/>
                          <w:i/>
                          <w:noProof/>
                          <w:sz w:val="24"/>
                        </w:rPr>
                        <w:t xml:space="preserve">, que sirva uma Europa que </w:t>
                      </w:r>
                      <w:r>
                        <w:rPr>
                          <w:rFonts w:ascii="Times New Roman" w:hAnsi="Times New Roman"/>
                          <w:b/>
                          <w:i/>
                          <w:noProof/>
                          <w:sz w:val="24"/>
                        </w:rPr>
                        <w:t>protege, habilita e defende</w:t>
                      </w:r>
                      <w:r>
                        <w:rPr>
                          <w:rFonts w:ascii="Times New Roman" w:hAnsi="Times New Roman"/>
                          <w:i/>
                          <w:noProof/>
                          <w:sz w:val="24"/>
                        </w:rPr>
                        <w:t xml:space="preserve">; </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plena e firmemente as </w:t>
                      </w:r>
                      <w:r>
                        <w:rPr>
                          <w:rFonts w:ascii="Times New Roman" w:hAnsi="Times New Roman"/>
                          <w:b/>
                          <w:i/>
                          <w:noProof/>
                          <w:sz w:val="24"/>
                        </w:rPr>
                        <w:t>prioridades</w:t>
                      </w:r>
                      <w:r>
                        <w:rPr>
                          <w:rFonts w:ascii="Times New Roman" w:hAnsi="Times New Roman"/>
                          <w:i/>
                          <w:noProof/>
                          <w:sz w:val="24"/>
                        </w:rPr>
                        <w:t xml:space="preserve"> acordadas em 16 de setembro de 2016 em Bratislava e em 25 de março de 2017 na Declaração de Roma; </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sz w:val="24"/>
                        </w:rPr>
                        <w:t xml:space="preserve">reconhecer que, de forma a traduzir estas prioridades em termos financeiros, </w:t>
                      </w:r>
                      <w:r>
                        <w:rPr>
                          <w:rFonts w:ascii="Times New Roman" w:hAnsi="Times New Roman"/>
                          <w:b/>
                          <w:i/>
                          <w:noProof/>
                          <w:sz w:val="24"/>
                        </w:rPr>
                        <w:t>será necessário um orçamento com uma dimensão suficiente</w:t>
                      </w:r>
                      <w:r>
                        <w:rPr>
                          <w:rFonts w:ascii="Times New Roman" w:hAnsi="Times New Roman"/>
                          <w:i/>
                          <w:sz w:val="24"/>
                        </w:rPr>
                        <w:t>, apoiado por uma combinação inteligente de poupanças, reafetações e novos recursos;</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apoiar a reforma da </w:t>
                      </w:r>
                      <w:r>
                        <w:rPr>
                          <w:rFonts w:ascii="Times New Roman" w:hAnsi="Times New Roman"/>
                          <w:b/>
                          <w:i/>
                          <w:noProof/>
                          <w:sz w:val="24"/>
                        </w:rPr>
                        <w:t>parte da receita do orçamento da UE</w:t>
                      </w:r>
                      <w:r>
                        <w:rPr>
                          <w:rFonts w:ascii="Times New Roman" w:hAnsi="Times New Roman"/>
                          <w:i/>
                          <w:noProof/>
                          <w:sz w:val="24"/>
                        </w:rPr>
                        <w:t xml:space="preserve">, no âmbito de um pacote global equilibrado para o próximo quadro financeiro plurianual, </w:t>
                      </w:r>
                      <w:r>
                        <w:rPr>
                          <w:rFonts w:ascii="Times New Roman" w:hAnsi="Times New Roman"/>
                          <w:b/>
                          <w:i/>
                          <w:noProof/>
                          <w:sz w:val="24"/>
                        </w:rPr>
                        <w:t>eliminando as correções</w:t>
                      </w:r>
                      <w:r>
                        <w:rPr>
                          <w:rFonts w:ascii="Times New Roman" w:hAnsi="Times New Roman"/>
                          <w:i/>
                          <w:noProof/>
                          <w:sz w:val="24"/>
                        </w:rPr>
                        <w:t xml:space="preserve"> e estabelecendo uma ligação mais estreita com objetivos políticos concretos da União;</w:t>
                      </w:r>
                    </w:p>
                    <w:p>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rPr>
                        <w:t xml:space="preserve">comprometerem-se em trabalhar em estreita colaboração com o Parlamento Europeu e a Comissão Europeia relativamente à proposta concreta para o quadro financeiro plurianual, tendo em mente que a Comissão apresentará a sua proposta até ao </w:t>
                      </w:r>
                      <w:r>
                        <w:rPr>
                          <w:rFonts w:ascii="Times New Roman" w:hAnsi="Times New Roman"/>
                          <w:b/>
                          <w:i/>
                          <w:noProof/>
                          <w:sz w:val="24"/>
                        </w:rPr>
                        <w:t>início de maio de 2018, o mais tardar</w:t>
                      </w:r>
                      <w:r>
                        <w:rPr>
                          <w:rFonts w:ascii="Times New Roman" w:hAnsi="Times New Roman"/>
                          <w:i/>
                          <w:noProof/>
                          <w:sz w:val="24"/>
                        </w:rPr>
                        <w:t>;</w:t>
                      </w:r>
                    </w:p>
                    <w:p>
                      <w:pPr>
                        <w:pStyle w:val="ListParagraph"/>
                        <w:widowControl w:val="0"/>
                        <w:numPr>
                          <w:ilvl w:val="0"/>
                          <w:numId w:val="2"/>
                        </w:numPr>
                        <w:spacing w:before="120" w:after="120"/>
                        <w:ind w:left="714" w:hanging="357"/>
                        <w:jc w:val="both"/>
                        <w:rPr>
                          <w:rFonts w:ascii="Times New Roman" w:hAnsi="Times New Roman"/>
                          <w:i/>
                          <w:noProof/>
                          <w:sz w:val="24"/>
                          <w:szCs w:val="24"/>
                        </w:rPr>
                      </w:pPr>
                      <w:r>
                        <w:rPr>
                          <w:rFonts w:ascii="Times New Roman" w:hAnsi="Times New Roman"/>
                          <w:i/>
                          <w:noProof/>
                          <w:sz w:val="24"/>
                        </w:rPr>
                        <w:t xml:space="preserve">comprometerem-se a alcançar </w:t>
                      </w:r>
                      <w:r>
                        <w:rPr>
                          <w:rFonts w:ascii="Times New Roman" w:hAnsi="Times New Roman"/>
                          <w:b/>
                          <w:i/>
                          <w:noProof/>
                          <w:sz w:val="24"/>
                        </w:rPr>
                        <w:t>avanços decisivos</w:t>
                      </w:r>
                      <w:r>
                        <w:rPr>
                          <w:rFonts w:ascii="Times New Roman" w:hAnsi="Times New Roman"/>
                          <w:i/>
                          <w:noProof/>
                          <w:sz w:val="24"/>
                        </w:rPr>
                        <w:t xml:space="preserve"> quanto ao quadro financeiro plurianual até à sua reunião em Sibiu, em 9 de maio de 2019, garantindo à Europa dos 27 o melhor ponto de partida possível.</w:t>
                      </w:r>
                    </w:p>
                    <w:p>
                      <w:pPr>
                        <w:widowControl w:val="0"/>
                        <w:spacing w:before="120" w:after="120"/>
                        <w:jc w:val="both"/>
                        <w:rPr>
                          <w:rFonts w:ascii="Times New Roman" w:hAnsi="Times New Roman"/>
                          <w:i/>
                          <w:noProof/>
                          <w:sz w:val="24"/>
                          <w:szCs w:val="24"/>
                        </w:rPr>
                      </w:pPr>
                    </w:p>
                  </w:txbxContent>
                </v:textbox>
                <w10:wrap type="topAndBottom"/>
              </v:shape>
            </w:pict>
          </mc:Fallback>
        </mc:AlternateContent>
      </w:r>
    </w:p>
    <w:sectPr w:rsidR="00622A92">
      <w:headerReference w:type="even" r:id="rId27"/>
      <w:headerReference w:type="default" r:id="rId28"/>
      <w:footerReference w:type="even" r:id="rId29"/>
      <w:footerReference w:type="default" r:id="rId30"/>
      <w:headerReference w:type="first" r:id="rId31"/>
      <w:footerReference w:type="first" r:id="rId32"/>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A92" w:rsidRDefault="00110FC7">
      <w:pPr>
        <w:spacing w:after="0" w:line="240" w:lineRule="auto"/>
      </w:pPr>
      <w:r>
        <w:separator/>
      </w:r>
    </w:p>
  </w:endnote>
  <w:endnote w:type="continuationSeparator" w:id="0">
    <w:p w:rsidR="00622A92" w:rsidRDefault="00110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110FC7">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rsidR="00622A92" w:rsidRDefault="00110FC7">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rsidR="00622A92" w:rsidRDefault="00622A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A92" w:rsidRDefault="00110FC7">
      <w:pPr>
        <w:spacing w:after="0" w:line="240" w:lineRule="auto"/>
      </w:pPr>
      <w:r>
        <w:separator/>
      </w:r>
    </w:p>
  </w:footnote>
  <w:footnote w:type="continuationSeparator" w:id="0">
    <w:p w:rsidR="00622A92" w:rsidRDefault="00110FC7">
      <w:pPr>
        <w:spacing w:after="0" w:line="240" w:lineRule="auto"/>
      </w:pPr>
      <w:r>
        <w:continuationSeparator/>
      </w:r>
    </w:p>
  </w:footnote>
  <w:footnote w:id="1">
    <w:p w:rsidR="00622A92" w:rsidRDefault="00110FC7">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Fonte: Gabriel Felbermayr, Jasmin Gröschl, Inga Heiland (2018), </w:t>
      </w:r>
      <w:r>
        <w:rPr>
          <w:rFonts w:ascii="Times New Roman" w:hAnsi="Times New Roman"/>
          <w:i/>
        </w:rPr>
        <w:t>Undoing Europe in a New Quantitative Trade Model</w:t>
      </w:r>
      <w:r>
        <w:rPr>
          <w:rFonts w:ascii="Times New Roman" w:hAnsi="Times New Roman"/>
        </w:rPr>
        <w:t xml:space="preserve">, ifo Working Paper No. 250. O gráfico mostra os ganhos de rendimento atribuídos, segundo o modelo aplicado, à participação no Mercado Único. </w:t>
      </w:r>
    </w:p>
  </w:footnote>
  <w:footnote w:id="2">
    <w:p w:rsidR="00622A92" w:rsidRDefault="00110FC7">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Eurobarómetro especial n.º 464b: As atitudes dos europeus relativamente à segurança, dezembro de 2017.</w:t>
      </w:r>
    </w:p>
  </w:footnote>
  <w:footnote w:id="3">
    <w:p w:rsidR="00622A92" w:rsidRDefault="00110FC7">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As opções políticas apresentadas no presente documento têm por objetivo ilustrar aquelas que poderão ser as nossas escolhas, com base nas ideias apr</w:t>
      </w:r>
      <w:r>
        <w:rPr>
          <w:rFonts w:ascii="Times New Roman" w:hAnsi="Times New Roman"/>
        </w:rPr>
        <w:t xml:space="preserve">esentadas no debate público. Não são exaustivas nem refletem necessariamente a posição da Comissão Europeia. </w:t>
      </w:r>
    </w:p>
  </w:footnote>
  <w:footnote w:id="4">
    <w:p w:rsidR="00622A92" w:rsidRDefault="00110FC7">
      <w:pPr>
        <w:pStyle w:val="FootnoteText"/>
        <w:ind w:left="142" w:hanging="142"/>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Desse montante, cerca de 12 mil milhões de EUR, ou seja, cerca de 3 % da dotação atribuída à coesão para o período, estão pré-afetados ao Reino</w:t>
      </w:r>
      <w:r>
        <w:rPr>
          <w:rFonts w:ascii="Times New Roman" w:hAnsi="Times New Roman"/>
        </w:rPr>
        <w:t xml:space="preserve"> Unido. </w:t>
      </w:r>
    </w:p>
  </w:footnote>
  <w:footnote w:id="5">
    <w:p w:rsidR="00622A92" w:rsidRDefault="00110FC7">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Desse montante, cerca de 27 mil milhões de EUR, ou seja, cerca de 7 % dos fundos da política agrícola comum, estão pré-afetados ao Reino Unido. </w:t>
      </w:r>
    </w:p>
  </w:footnote>
  <w:footnote w:id="6">
    <w:p w:rsidR="00622A92" w:rsidRDefault="00110FC7">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Essa abordagem seria conforme com a lógica do disposto no artigo 7.º, n.º 3, do Tratado da União</w:t>
      </w:r>
      <w:r>
        <w:rPr>
          <w:rFonts w:ascii="Times New Roman" w:hAnsi="Times New Roman"/>
        </w:rPr>
        <w:t xml:space="preserve"> Europeia, que estabelece que qualquer suspensão dos direitos de um Estado-Membro «terá em conta as eventuais consequências (...) nos direitos e obrigações das pessoas singulares e coletivas.»</w:t>
      </w:r>
    </w:p>
  </w:footnote>
  <w:footnote w:id="7">
    <w:p w:rsidR="00622A92" w:rsidRDefault="00110FC7">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Cf. o relatório sobre «O futuro financiamento da UE», aprese</w:t>
      </w:r>
      <w:r>
        <w:rPr>
          <w:rFonts w:ascii="Times New Roman" w:hAnsi="Times New Roman"/>
        </w:rPr>
        <w:t xml:space="preserve">ntado em janeiro de 2017 por um grupo de alto nível criado conjuntamente pelo Parlamento Europeu, pelo Conselho e pela Comissão e presidido por Mario Monti. </w:t>
      </w:r>
    </w:p>
  </w:footnote>
  <w:footnote w:id="8">
    <w:p w:rsidR="00622A92" w:rsidRDefault="00110FC7">
      <w:pPr>
        <w:pStyle w:val="FootnoteText"/>
        <w:ind w:left="284" w:hanging="284"/>
        <w:jc w:val="both"/>
        <w:rPr>
          <w:rFonts w:ascii="EC Square Sans Cond Pro" w:eastAsia="EC Square Sans Cond Pro" w:hAnsi="EC Square Sans Cond Pro"/>
        </w:rPr>
      </w:pPr>
      <w:r>
        <w:rPr>
          <w:rStyle w:val="FootnoteReference"/>
        </w:rPr>
        <w:footnoteRef/>
      </w:r>
      <w:r>
        <w:t xml:space="preserve"> </w:t>
      </w:r>
      <w:r>
        <w:tab/>
      </w:r>
      <w:r>
        <w:rPr>
          <w:rFonts w:ascii="Times New Roman" w:hAnsi="Times New Roman"/>
        </w:rPr>
        <w:t>Alterar a Decisão relativa aos recursos próprios de forma a reformar o sistema exigiria unanimi</w:t>
      </w:r>
      <w:r>
        <w:rPr>
          <w:rFonts w:ascii="Times New Roman" w:hAnsi="Times New Roman"/>
        </w:rPr>
        <w:t>dade ao nível do Conselho, após consulta do Parlamento Europeu, e ratificação por todos os Estados-Membros, em conformidade com as respetivas disposições constitucionais. Alterações deste tipo já foram efetuadas no passado, aquando da adoção de cada novo q</w:t>
      </w:r>
      <w:r>
        <w:rPr>
          <w:rFonts w:ascii="Times New Roman" w:hAnsi="Times New Roman"/>
        </w:rPr>
        <w:t xml:space="preserve">uadro financeiro plurianual. É provável que sejam necessárias alterações do limite máximo dos recursos próprios, de forma a ter em conta a responsabilidade financeira ligada a empréstimos ou instrumentos financeiros garantidos pelo orçamento da UE, a nova </w:t>
      </w:r>
      <w:r>
        <w:rPr>
          <w:rFonts w:ascii="Times New Roman" w:hAnsi="Times New Roman"/>
        </w:rPr>
        <w:t>função de estabilização e a possível integração do Fundo Europeu de Desenvolvimento no quadro financeiro plurianual</w:t>
      </w:r>
      <w:r>
        <w:rPr>
          <w:rFonts w:ascii="Times New Roman" w:hAnsi="Times New Roman"/>
          <w:color w:val="231F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2" w:rsidRDefault="00622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lt;UNUSED&gt;"/>
    <w:docVar w:name="LW_CORRIGENDUM" w:val="&lt;UNUSED&gt;"/>
    <w:docVar w:name="LW_COVERPAGE_EXISTS" w:val="True"/>
    <w:docVar w:name="LW_COVERPAGE_GUID" w:val="B34CF4AA-2B73-4A7C-9C9B-0B6459FB2BDE"/>
    <w:docVar w:name="LW_COVERPAGE_TYPE" w:val="1"/>
    <w:docVar w:name="LW_CROSSREFERENCE" w:val="&lt;UNUSED&gt;"/>
    <w:docVar w:name="LW_DATE.ADOPT.CP_ISODATE" w:val="&lt;EMPTY&gt;"/>
    <w:docVar w:name="LW_DocType" w:val="NORMAL"/>
    <w:docVar w:name="LW_EMISSION" w:val="14.2.2018"/>
    <w:docVar w:name="LW_EMISSION_ISODATE" w:val="2018-02-14"/>
    <w:docVar w:name="LW_EMISSION_LOCATION" w:val="BRX"/>
    <w:docVar w:name="LW_EMISSION_PREFIX" w:val="Bruxelas, "/>
    <w:docVar w:name="LW_EMISSION_SUFFIX" w:val="&lt;EMPTY&gt;"/>
    <w:docVar w:name="LW_ID_DOCTYPE_NONLW" w:val="CP-009"/>
    <w:docVar w:name="LW_INTERETEEE.CP" w:val="&lt;UNUSED&gt;"/>
    <w:docVar w:name="LW_LANGUE" w:val="PT"/>
    <w:docVar w:name="LW_LANGUESFAISANTFOI.CP" w:val="&lt;UNUSED&gt;"/>
    <w:docVar w:name="LW_LEVEL_OF_SENSITIVITY" w:val="Standard treatment"/>
    <w:docVar w:name="LW_NOM.INST" w:val="COMISSÃO EUROPEIA"/>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Um quadro financeiro plurianual novo e moderno para a concretização eficaz das prioridades pós-2020 da União Europeia_x000b__x000b__x000b__x000b_&lt;FMT:Italic&gt;Contributo da Comissão Europeia para a reunião informal de líderes _x000b_de 23 de fevereiro de 2018&lt;/FMT&gt;"/>
    <w:docVar w:name="LW_TYPE.DOC.CP" w:val="COMUNICAÇÃO DA COMISSÃO"/>
    <w:docVar w:name="LW_TYPE.DOC.CP.USERTEXT" w:val="AO PARLAMENTO EUROPEU, AO CONSELHO EUROPEU E AO CONSELHO_x000b_"/>
    <w:docVar w:name="LW_TYPEACTEPRINCIPAL.CP" w:val="&lt;UNUSED&gt;"/>
  </w:docVars>
  <w:rsids>
    <w:rsidRoot w:val="00622A92"/>
    <w:rsid w:val="00110FC7"/>
    <w:rsid w:val="00622A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pt-PT"/>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pt-PT"/>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pt-PT"/>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pt-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pt-PT"/>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pt-PT"/>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pt-PT"/>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pt-PT"/>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pt-PT"/>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rPr>
      <w:rFonts w:ascii="Arial" w:eastAsia="Calibri" w:hAnsi="Arial" w:cs="Times New Roman"/>
      <w:sz w:val="20"/>
      <w:szCs w:val="20"/>
      <w:lang w:eastAsia="pt-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pt-PT"/>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pt-PT"/>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1.25%</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1.09%</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1.12%</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1.03%</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79227904"/>
        <c:axId val="99207040"/>
      </c:barChart>
      <c:catAx>
        <c:axId val="7922790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99207040"/>
        <c:crosses val="autoZero"/>
        <c:auto val="1"/>
        <c:lblAlgn val="ctr"/>
        <c:lblOffset val="100"/>
        <c:noMultiLvlLbl val="0"/>
      </c:catAx>
      <c:valAx>
        <c:axId val="99207040"/>
        <c:scaling>
          <c:orientation val="minMax"/>
          <c:min val="5.000000000000001E-3"/>
        </c:scaling>
        <c:delete val="1"/>
        <c:axPos val="l"/>
        <c:numFmt formatCode="0.00%" sourceLinked="1"/>
        <c:majorTickMark val="out"/>
        <c:minorTickMark val="none"/>
        <c:tickLblPos val="nextTo"/>
        <c:crossAx val="792279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n-US"/>
                      <a:t>Polónia: 10.1</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6-FDE2-4E90-94BF-2FA897CDC7FF}"/>
                </c:ext>
              </c:extLst>
            </c:dLbl>
            <c:dLbl>
              <c:idx val="1"/>
              <c:layout/>
              <c:tx>
                <c:rich>
                  <a:bodyPr/>
                  <a:lstStyle/>
                  <a:p>
                    <a:r>
                      <a:rPr lang="en-US"/>
                      <a:t>Roménia: 5.2</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en-US"/>
                      <a:t>Grécia: 4.8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en-US"/>
                      <a:t>Hungria: 4.6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tx>
                <c:rich>
                  <a:bodyPr/>
                  <a:lstStyle/>
                  <a:p>
                    <a:r>
                      <a:rPr lang="en-US"/>
                      <a:t>República Checa: 4.0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A-FDE2-4E90-94BF-2FA897CDC7FF}"/>
                </c:ext>
              </c:extLst>
            </c:dLbl>
            <c:dLbl>
              <c:idx val="5"/>
              <c:layout/>
              <c:tx>
                <c:rich>
                  <a:bodyPr/>
                  <a:lstStyle/>
                  <a:p>
                    <a:r>
                      <a:rPr lang="en-US"/>
                      <a:t>Espanha: 2.4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en-US"/>
                      <a:t>Eslováquia: 2.0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C-FDE2-4E90-94BF-2FA897CDC7FF}"/>
                </c:ext>
              </c:extLst>
            </c:dLbl>
            <c:dLbl>
              <c:idx val="7"/>
              <c:layout/>
              <c:tx>
                <c:rich>
                  <a:bodyPr/>
                  <a:lstStyle/>
                  <a:p>
                    <a:r>
                      <a:rPr lang="en-US"/>
                      <a:t>Bulgária: 2.0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tx>
                <c:rich>
                  <a:bodyPr/>
                  <a:lstStyle/>
                  <a:p>
                    <a:r>
                      <a:rPr lang="en-US"/>
                      <a:t>Portugal: 2.0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E-FDE2-4E90-94BF-2FA897CDC7FF}"/>
                </c:ext>
              </c:extLst>
            </c:dLbl>
            <c:dLbl>
              <c:idx val="9"/>
              <c:layout/>
              <c:tx>
                <c:rich>
                  <a:bodyPr/>
                  <a:lstStyle/>
                  <a:p>
                    <a:r>
                      <a:rPr lang="en-US"/>
                      <a:t>Lituânia: 1.1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tx>
                <c:rich>
                  <a:bodyPr/>
                  <a:lstStyle/>
                  <a:p>
                    <a:r>
                      <a:rPr lang="en-US"/>
                      <a:t>Letónia: 0.7</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en-US"/>
                      <a:t>Eslovénia: 0.5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en-US"/>
                      <a:t>Estónia: 0.4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en-US"/>
                      <a:t>Croácia: 0.3</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tx>
                <c:rich>
                  <a:bodyPr/>
                  <a:lstStyle/>
                  <a:p>
                    <a:r>
                      <a:rPr lang="en-US"/>
                      <a:t>Irlanda: 0.2</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n-US"/>
                      <a:t>Malta: 0.1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en-US" sz="1000"/>
                      <a:t>Chipre: 0.04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en-US" sz="1000"/>
                      <a:t>Luxemburgo: -0.004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en-US"/>
                      <a:t>Finlândia: -0.6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en-US"/>
                      <a:t>Dinamarca: -0.8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en-US"/>
                      <a:t>Áustria: -1.0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en-US"/>
                      <a:t>Bélgica: -1.4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en-US"/>
                      <a:t>Suécia: -1.8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en-US"/>
                      <a:t>Países Baixos: -2.8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en-US"/>
                      <a:t>Itália: -3.5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en-US"/>
                      <a:t>França: -7.4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tx>
                <c:rich>
                  <a:bodyPr/>
                  <a:lstStyle/>
                  <a:p>
                    <a:r>
                      <a:rPr lang="en-US"/>
                      <a:t>Reino Unido: -7.6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3-FDE2-4E90-94BF-2FA897CDC7FF}"/>
                </c:ext>
              </c:extLst>
            </c:dLbl>
            <c:dLbl>
              <c:idx val="27"/>
              <c:layout>
                <c:manualLayout>
                  <c:x val="-8.804345968381859E-2"/>
                  <c:y val="2.1557880213638593E-7"/>
                </c:manualLayout>
              </c:layout>
              <c:tx>
                <c:rich>
                  <a:bodyPr/>
                  <a:lstStyle/>
                  <a:p>
                    <a:pPr>
                      <a:defRPr sz="1000">
                        <a:solidFill>
                          <a:schemeClr val="bg1"/>
                        </a:solidFill>
                      </a:defRPr>
                    </a:pPr>
                    <a:r>
                      <a:rPr lang="en-US"/>
                      <a:t>Alemanha: -13.6</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5-FDE2-4E90-94BF-2FA897CDC7FF}"/>
                </c:ext>
              </c:extLst>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220560000"/>
        <c:axId val="221350912"/>
      </c:barChart>
      <c:catAx>
        <c:axId val="220560000"/>
        <c:scaling>
          <c:orientation val="maxMin"/>
        </c:scaling>
        <c:delete val="1"/>
        <c:axPos val="l"/>
        <c:numFmt formatCode="General" sourceLinked="0"/>
        <c:majorTickMark val="out"/>
        <c:minorTickMark val="none"/>
        <c:tickLblPos val="nextTo"/>
        <c:crossAx val="221350912"/>
        <c:crosses val="autoZero"/>
        <c:auto val="1"/>
        <c:lblAlgn val="ctr"/>
        <c:lblOffset val="1000"/>
        <c:noMultiLvlLbl val="0"/>
      </c:catAx>
      <c:valAx>
        <c:axId val="221350912"/>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220560000"/>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229446016"/>
        <c:axId val="229447936"/>
      </c:barChart>
      <c:catAx>
        <c:axId val="229446016"/>
        <c:scaling>
          <c:orientation val="minMax"/>
        </c:scaling>
        <c:delete val="0"/>
        <c:axPos val="b"/>
        <c:numFmt formatCode="General" sourceLinked="0"/>
        <c:majorTickMark val="out"/>
        <c:minorTickMark val="none"/>
        <c:tickLblPos val="nextTo"/>
        <c:crossAx val="229447936"/>
        <c:crosses val="autoZero"/>
        <c:auto val="1"/>
        <c:lblAlgn val="ctr"/>
        <c:lblOffset val="100"/>
        <c:noMultiLvlLbl val="0"/>
      </c:catAx>
      <c:valAx>
        <c:axId val="229447936"/>
        <c:scaling>
          <c:orientation val="minMax"/>
          <c:max val="120"/>
        </c:scaling>
        <c:delete val="0"/>
        <c:axPos val="l"/>
        <c:majorGridlines/>
        <c:numFmt formatCode="0" sourceLinked="0"/>
        <c:majorTickMark val="out"/>
        <c:minorTickMark val="none"/>
        <c:tickLblPos val="nextTo"/>
        <c:crossAx val="229446016"/>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45327724445396E-2"/>
          <c:y val="9.8832249450443443E-2"/>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92683136"/>
        <c:axId val="292791424"/>
      </c:lineChart>
      <c:catAx>
        <c:axId val="29268313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92791424"/>
        <c:crosses val="autoZero"/>
        <c:auto val="0"/>
        <c:lblAlgn val="ctr"/>
        <c:lblOffset val="100"/>
        <c:tickLblSkip val="1"/>
        <c:tickMarkSkip val="1"/>
        <c:noMultiLvlLbl val="0"/>
      </c:catAx>
      <c:valAx>
        <c:axId val="292791424"/>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92683136"/>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8.3403803976557722E-2"/>
          <c:y val="0.7093922640714397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0.0008</cdr:x>
      <cdr:y>0.01579</cdr:y>
    </cdr:from>
    <cdr:to>
      <cdr:x>0.16453</cdr:x>
      <cdr:y>0.04797</cdr:y>
    </cdr:to>
    <cdr:sp macro="" textlink="">
      <cdr:nvSpPr>
        <cdr:cNvPr id="4099" name="Text Box 3"/>
        <cdr:cNvSpPr txBox="1">
          <a:spLocks xmlns:a="http://schemas.openxmlformats.org/drawingml/2006/main" noChangeArrowheads="1"/>
        </cdr:cNvSpPr>
      </cdr:nvSpPr>
      <cdr:spPr bwMode="auto">
        <a:xfrm xmlns:a="http://schemas.openxmlformats.org/drawingml/2006/main">
          <a:off x="4445" y="77747"/>
          <a:ext cx="910765" cy="1584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pt-PT" sz="800" b="0" i="0" u="none" strike="noStrike" baseline="0">
              <a:solidFill>
                <a:srgbClr val="000000"/>
              </a:solidFill>
              <a:latin typeface="Arial"/>
            </a:rPr>
            <a:t>% do RNB DA UE</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0.68607</cdr:x>
      <cdr:y>0.25626</cdr:y>
    </cdr:from>
    <cdr:to>
      <cdr:x>0.96233</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816350" y="1261931"/>
          <a:ext cx="1536700" cy="5013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pt-PT" sz="900" b="0" i="0" u="none" strike="noStrike" baseline="0">
              <a:solidFill>
                <a:srgbClr val="276360"/>
              </a:solidFill>
              <a:latin typeface="Times New Roman" panose="02020603050405020304" pitchFamily="18" charset="0"/>
            </a:rPr>
            <a:t>1,20 % do RNB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pt-PT" sz="800" b="0" i="0" u="none" strike="noStrike" baseline="0">
              <a:solidFill>
                <a:srgbClr val="276360"/>
              </a:solidFill>
              <a:latin typeface="Times New Roman" panose="02020603050405020304" pitchFamily="18" charset="0"/>
            </a:rPr>
            <a:t>(</a:t>
          </a:r>
          <a:r>
            <a:rPr lang="pt-PT" sz="800"/>
            <a:t>Sistema Europeu de Contas 2010</a:t>
          </a:r>
          <a:r>
            <a:rPr lang="pt-PT" sz="800" b="0" i="0" u="none" strike="noStrike" baseline="0">
              <a:solidFill>
                <a:srgbClr val="276360"/>
              </a:solidFill>
              <a:latin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0.06461</cdr:x>
      <cdr:y>0.46302</cdr:y>
    </cdr:from>
    <cdr:to>
      <cdr:x>0.36343</cdr:x>
      <cdr:y>0.46345</cdr:y>
    </cdr:to>
    <cdr:sp macro="" textlink="">
      <cdr:nvSpPr>
        <cdr:cNvPr id="51" name="Line 6"/>
        <cdr:cNvSpPr>
          <a:spLocks xmlns:a="http://schemas.openxmlformats.org/drawingml/2006/main" noChangeShapeType="1"/>
        </cdr:cNvSpPr>
      </cdr:nvSpPr>
      <cdr:spPr bwMode="auto">
        <a:xfrm xmlns:a="http://schemas.openxmlformats.org/drawingml/2006/main">
          <a:off x="359410" y="2280122"/>
          <a:ext cx="1662216" cy="2118"/>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0.41737</cdr:y>
    </cdr:from>
    <cdr:to>
      <cdr:x>0.67369</cdr:x>
      <cdr:y>0.41752</cdr:y>
    </cdr:to>
    <cdr:sp macro="" textlink="">
      <cdr:nvSpPr>
        <cdr:cNvPr id="52" name="Line 7"/>
        <cdr:cNvSpPr>
          <a:spLocks xmlns:a="http://schemas.openxmlformats.org/drawingml/2006/main" noChangeShapeType="1"/>
        </cdr:cNvSpPr>
      </cdr:nvSpPr>
      <cdr:spPr bwMode="auto">
        <a:xfrm xmlns:a="http://schemas.openxmlformats.org/drawingml/2006/main">
          <a:off x="2050819" y="2055301"/>
          <a:ext cx="1696649" cy="739"/>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77" y="2809877"/>
          <a:ext cx="1775915" cy="2019"/>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pt-PT" sz="1000" b="0" i="0" u="none" strike="noStrike" baseline="0">
              <a:solidFill>
                <a:srgbClr val="004240"/>
              </a:solidFill>
              <a:latin typeface="Times New Roman" panose="02020603050405020304" pitchFamily="18" charset="0"/>
            </a:rPr>
            <a:t>2014-2020 média 1,03 %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t-PT" sz="1000" b="0" i="0" u="none" strike="noStrike" baseline="0">
              <a:solidFill>
                <a:srgbClr val="004240"/>
              </a:solidFill>
              <a:latin typeface="Times New Roman" panose="02020603050405020304" pitchFamily="18" charset="0"/>
            </a:rPr>
            <a:t>2007-2013 média 1,12 %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pt-PT" sz="1000" b="0" i="0" u="none" strike="noStrike" baseline="0">
              <a:solidFill>
                <a:srgbClr val="004240"/>
              </a:solidFill>
              <a:latin typeface="Times New Roman" panose="02020603050405020304" pitchFamily="18" charset="0"/>
            </a:rPr>
            <a:t>2000-2006 média 1,09 %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0.50173</cdr:x>
      <cdr:y>0.186</cdr:y>
    </cdr:from>
    <cdr:to>
      <cdr:x>0.63319</cdr:x>
      <cdr:y>0.28046</cdr:y>
    </cdr:to>
    <cdr:sp macro="" textlink="">
      <cdr:nvSpPr>
        <cdr:cNvPr id="2" name="TextBox 1"/>
        <cdr:cNvSpPr txBox="1"/>
      </cdr:nvSpPr>
      <cdr:spPr>
        <a:xfrm xmlns:a="http://schemas.openxmlformats.org/drawingml/2006/main">
          <a:off x="2790910" y="915939"/>
          <a:ext cx="731260" cy="4651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pt-PT" sz="900"/>
            <a:t>1,23 % do RNB </a:t>
          </a:r>
          <a:br>
            <a:rPr lang="pt-PT" sz="900"/>
          </a:br>
          <a:r>
            <a:rPr lang="pt-PT" sz="900"/>
            <a:t>incl. SIFIM</a:t>
          </a:r>
          <a:endParaRPr lang="en-GB" sz="9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0.14147</cdr:x>
      <cdr:y>0.12671</cdr:y>
    </cdr:from>
    <cdr:to>
      <cdr:x>0.54281</cdr:x>
      <cdr:y>0.29787</cdr:y>
    </cdr:to>
    <cdr:sp macro="" textlink="">
      <cdr:nvSpPr>
        <cdr:cNvPr id="3" name="TextBox 2"/>
        <cdr:cNvSpPr txBox="1"/>
      </cdr:nvSpPr>
      <cdr:spPr>
        <a:xfrm xmlns:a="http://schemas.openxmlformats.org/drawingml/2006/main">
          <a:off x="786915" y="623988"/>
          <a:ext cx="2232510" cy="842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en-GB" sz="800">
              <a:solidFill>
                <a:srgbClr val="276360"/>
              </a:solidFill>
              <a:effectLst/>
              <a:latin typeface="Times New Roman" panose="02020603050405020304" pitchFamily="18" charset="0"/>
              <a:ea typeface="+mn-ea"/>
              <a:cs typeface="Times New Roman" panose="02020603050405020304" pitchFamily="18" charset="0"/>
            </a:rPr>
            <a:t/>
          </a:r>
          <a:br>
            <a:rPr lang="en-GB" sz="800">
              <a:solidFill>
                <a:srgbClr val="276360"/>
              </a:solidFill>
              <a:effectLst/>
              <a:latin typeface="Times New Roman" panose="02020603050405020304" pitchFamily="18" charset="0"/>
              <a:ea typeface="+mn-ea"/>
              <a:cs typeface="Times New Roman" panose="02020603050405020304" pitchFamily="18" charset="0"/>
            </a:rPr>
          </a:br>
          <a:r>
            <a:rPr lang="pt-PT" sz="900"/>
            <a:t>1,27 % do RBB = 1,24 % do RNB </a:t>
          </a:r>
          <a:r>
            <a:rPr lang="pt-PT"/>
            <a:t/>
          </a:r>
          <a:br>
            <a:rPr lang="pt-PT"/>
          </a:br>
          <a:r>
            <a:rPr lang="pt-PT" sz="800"/>
            <a:t>excluindo os serviços de intermediação </a:t>
          </a:r>
          <a:br>
            <a:rPr lang="pt-PT" sz="800"/>
          </a:br>
          <a:r>
            <a:rPr lang="pt-PT" sz="800"/>
            <a:t>financeira  indiretamente medidos (SIFIM)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0.67706</cdr:x>
      <cdr:y>0.80438</cdr:y>
    </cdr:from>
    <cdr:to>
      <cdr:x>0.83048</cdr:x>
      <cdr:y>0.84182</cdr:y>
    </cdr:to>
    <cdr:sp macro="" textlink="">
      <cdr:nvSpPr>
        <cdr:cNvPr id="14" name="TextBox 13"/>
        <cdr:cNvSpPr txBox="1"/>
      </cdr:nvSpPr>
      <cdr:spPr>
        <a:xfrm xmlns:a="http://schemas.openxmlformats.org/drawingml/2006/main">
          <a:off x="3766196" y="3961130"/>
          <a:ext cx="853414" cy="1843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PT" sz="900"/>
            <a:t>revisão de 2015</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0.06461</cdr:x>
      <cdr:y>0.20391</cdr:y>
    </cdr:from>
    <cdr:to>
      <cdr:x>0.15499</cdr:x>
      <cdr:y>0.204</cdr:y>
    </cdr:to>
    <cdr:sp macro="" textlink="">
      <cdr:nvSpPr>
        <cdr:cNvPr id="43" name="Line 24"/>
        <cdr:cNvSpPr>
          <a:spLocks xmlns:a="http://schemas.openxmlformats.org/drawingml/2006/main" noChangeShapeType="1"/>
        </cdr:cNvSpPr>
      </cdr:nvSpPr>
      <cdr:spPr bwMode="auto">
        <a:xfrm xmlns:a="http://schemas.openxmlformats.org/drawingml/2006/main">
          <a:off x="359410" y="1004126"/>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0.2038</cdr:y>
    </cdr:from>
    <cdr:to>
      <cdr:x>0.48801</cdr:x>
      <cdr:y>0.204</cdr:y>
    </cdr:to>
    <cdr:sp macro="" textlink="">
      <cdr:nvSpPr>
        <cdr:cNvPr id="24" name="Line 24"/>
        <cdr:cNvSpPr>
          <a:spLocks xmlns:a="http://schemas.openxmlformats.org/drawingml/2006/main" noChangeShapeType="1"/>
        </cdr:cNvSpPr>
      </cdr:nvSpPr>
      <cdr:spPr bwMode="auto">
        <a:xfrm xmlns:a="http://schemas.openxmlformats.org/drawingml/2006/main">
          <a:off x="2402487" y="1003584"/>
          <a:ext cx="312117" cy="98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72"/>
          <a:ext cx="450237" cy="837"/>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935C292-ED0E-4563-A241-EFD12AB1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10707</Words>
  <Characters>57074</Characters>
  <Application>Microsoft Office Word</Application>
  <DocSecurity>0</DocSecurity>
  <Lines>9512</Lines>
  <Paragraphs>5648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2018-02-16T09:21:00Z</dcterms:created>
  <dcterms:modified xsi:type="dcterms:W3CDTF">2018-02-16T15:16:00Z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