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81EF29C3-0914-42C9-B4D5-3A765CDE00FE" style="width:454.6pt;height:43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2018/0199 (COD)</w:t>
      </w:r>
    </w:p>
    <w:p>
      <w:pPr>
        <w:pStyle w:val="Typedudocument"/>
        <w:rPr>
          <w:noProof/>
        </w:rPr>
      </w:pPr>
      <w:r>
        <w:rPr>
          <w:noProof/>
        </w:rPr>
        <w:t>COMUNICARE A COMISIEI CĂTRE PARLAMENTUL EUROPEAN</w:t>
      </w:r>
      <w:r>
        <w:rPr>
          <w:noProof/>
        </w:rPr>
        <w:br/>
      </w:r>
      <w:r>
        <w:rPr>
          <w:noProof/>
        </w:rPr>
        <w:br/>
        <w:t>în conformitate cu articolul 294 alineatul (6) din Tratatul privind funcţionarea Uniunii Europene</w:t>
      </w:r>
      <w:r>
        <w:rPr>
          <w:noProof/>
        </w:rPr>
        <w:br/>
      </w:r>
      <w:r>
        <w:rPr>
          <w:noProof/>
        </w:rPr>
        <w:br/>
        <w:t>privind</w:t>
      </w:r>
    </w:p>
    <w:p>
      <w:pPr>
        <w:pStyle w:val="Titreobjet"/>
        <w:rPr>
          <w:noProof/>
        </w:rPr>
      </w:pPr>
      <w:r>
        <w:rPr>
          <w:noProof/>
        </w:rPr>
        <w:t xml:space="preserve">poziția Consiliului privind adoptarea unui Regulament al Parlamentului European și al Consiliului privind dispoziții specifice pentru obiectivul de cooperare teritorială europeană (Interreg) sprijinit de Fondul european de dezvoltare regională și de instrumentele de finanțare externă </w:t>
      </w:r>
      <w:r>
        <w:rPr>
          <w:noProof/>
        </w:rPr>
        <w:br/>
      </w:r>
    </w:p>
    <w:p>
      <w:pPr>
        <w:pStyle w:val="ManualHeading1"/>
        <w:rPr>
          <w:noProof/>
          <w:sz w:val="22"/>
        </w:rPr>
      </w:pPr>
      <w:r>
        <w:rPr>
          <w:noProof/>
        </w:rPr>
        <w:t>1.</w:t>
      </w:r>
      <w:r>
        <w:rPr>
          <w:noProof/>
        </w:rPr>
        <w:tab/>
        <w:t>Context</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 xml:space="preserve">Data transmiterii propunerii către Parlamentul European și Consiliu </w:t>
            </w:r>
            <w:r>
              <w:rPr>
                <w:noProof/>
              </w:rPr>
              <w:br/>
              <w:t>[documentul COM(2018) 374 final – 2018/0199/(COD)]:</w:t>
            </w:r>
          </w:p>
        </w:tc>
        <w:tc>
          <w:tcPr>
            <w:tcW w:w="2483" w:type="dxa"/>
          </w:tcPr>
          <w:p>
            <w:pPr>
              <w:jc w:val="left"/>
              <w:rPr>
                <w:noProof/>
              </w:rPr>
            </w:pPr>
            <w:r>
              <w:rPr>
                <w:noProof/>
              </w:rPr>
              <w:t>29 mai 2018</w:t>
            </w:r>
          </w:p>
        </w:tc>
      </w:tr>
      <w:tr>
        <w:tc>
          <w:tcPr>
            <w:tcW w:w="6804" w:type="dxa"/>
          </w:tcPr>
          <w:p>
            <w:pPr>
              <w:rPr>
                <w:noProof/>
              </w:rPr>
            </w:pPr>
            <w:r>
              <w:rPr>
                <w:noProof/>
              </w:rPr>
              <w:t>Data avizului Comitetului Economic și Social European:</w:t>
            </w:r>
          </w:p>
        </w:tc>
        <w:tc>
          <w:tcPr>
            <w:tcW w:w="2483" w:type="dxa"/>
          </w:tcPr>
          <w:p>
            <w:pPr>
              <w:jc w:val="left"/>
              <w:rPr>
                <w:noProof/>
              </w:rPr>
            </w:pPr>
            <w:r>
              <w:rPr>
                <w:noProof/>
              </w:rPr>
              <w:t>19 septembrie 2018</w:t>
            </w:r>
          </w:p>
        </w:tc>
      </w:tr>
      <w:tr>
        <w:tc>
          <w:tcPr>
            <w:tcW w:w="6804" w:type="dxa"/>
          </w:tcPr>
          <w:p>
            <w:pPr>
              <w:rPr>
                <w:noProof/>
              </w:rPr>
            </w:pPr>
            <w:r>
              <w:rPr>
                <w:noProof/>
              </w:rPr>
              <w:t>Data poziției Parlamentului European în primă lectură:</w:t>
            </w:r>
          </w:p>
        </w:tc>
        <w:tc>
          <w:tcPr>
            <w:tcW w:w="2483" w:type="dxa"/>
          </w:tcPr>
          <w:p>
            <w:pPr>
              <w:jc w:val="left"/>
              <w:rPr>
                <w:noProof/>
              </w:rPr>
            </w:pPr>
            <w:r>
              <w:rPr>
                <w:noProof/>
              </w:rPr>
              <w:t>26 martie 2019</w:t>
            </w:r>
          </w:p>
        </w:tc>
      </w:tr>
      <w:tr>
        <w:tc>
          <w:tcPr>
            <w:tcW w:w="6804" w:type="dxa"/>
          </w:tcPr>
          <w:p>
            <w:pPr>
              <w:rPr>
                <w:noProof/>
              </w:rPr>
            </w:pPr>
            <w:r>
              <w:rPr>
                <w:noProof/>
              </w:rPr>
              <w:t>Data trilogului (acord asupra textului final)</w:t>
            </w:r>
          </w:p>
        </w:tc>
        <w:tc>
          <w:tcPr>
            <w:tcW w:w="2483" w:type="dxa"/>
          </w:tcPr>
          <w:p>
            <w:pPr>
              <w:jc w:val="left"/>
              <w:rPr>
                <w:noProof/>
              </w:rPr>
            </w:pPr>
            <w:r>
              <w:rPr>
                <w:noProof/>
              </w:rPr>
              <w:t>2 decembrie 2020</w:t>
            </w:r>
          </w:p>
        </w:tc>
      </w:tr>
      <w:tr>
        <w:tc>
          <w:tcPr>
            <w:tcW w:w="6804" w:type="dxa"/>
          </w:tcPr>
          <w:p>
            <w:pPr>
              <w:rPr>
                <w:noProof/>
              </w:rPr>
            </w:pPr>
            <w:r>
              <w:rPr>
                <w:noProof/>
              </w:rPr>
              <w:t>Data adoptării poziției Consiliului în primă lectură:</w:t>
            </w:r>
          </w:p>
        </w:tc>
        <w:tc>
          <w:tcPr>
            <w:tcW w:w="2483" w:type="dxa"/>
          </w:tcPr>
          <w:p>
            <w:pPr>
              <w:jc w:val="left"/>
              <w:rPr>
                <w:noProof/>
              </w:rPr>
            </w:pPr>
            <w:r>
              <w:rPr>
                <w:noProof/>
              </w:rPr>
              <w:t>27 mai 2021</w:t>
            </w:r>
          </w:p>
        </w:tc>
      </w:tr>
    </w:tbl>
    <w:p>
      <w:pPr>
        <w:pStyle w:val="ManualHeading1"/>
        <w:rPr>
          <w:noProof/>
        </w:rPr>
      </w:pPr>
      <w:r>
        <w:rPr>
          <w:noProof/>
        </w:rPr>
        <w:t>2.</w:t>
      </w:r>
      <w:r>
        <w:rPr>
          <w:noProof/>
        </w:rPr>
        <w:tab/>
        <w:t>Obiectul propunerii Comisiei</w:t>
      </w:r>
    </w:p>
    <w:p>
      <w:pPr>
        <w:rPr>
          <w:noProof/>
        </w:rPr>
      </w:pPr>
      <w:r>
        <w:rPr>
          <w:noProof/>
        </w:rPr>
        <w:t>Propunerea de regulament privind Interreg vizează stabilirea unor dispoziții specifice care să reglementeze cooperarea teritorială europeană, specificând și completând dispozițiile prevăzute în Regulamentul (UE) 2021/... al Parlamentului European și al Consiliului de stabilire a unor dispoziții comune privind Fondul european de dezvoltare regională, Fondul social european plus, Fondul de coeziune, Fondul pentru o tranziție justă și Fondul european pentru dezvoltare regională (Fondul european pentru pescuit și acvacultură), și normele financiare aplicabile acestor fonduri, precum și Fondului pentru azil, migrație și integrare, Fondului pentru securitate internă și Instrumentului de sprijin financiar pentru gestionarea frontierelor și politica privind vizele, care reglementează punerea în aplicare a Regulamentului (RDC), precum și a Fondului pentru azil, migrație și integrare, a Fondului pentru securitate internă și a Instrumentului de sprijin financiar pentru gestionarea frontierelor și politica privind vizele (RDC), care reglementează sistemul de implementare și punere în aplicare a Fondului european pentru dezvoltare regională (FEDR).</w:t>
      </w:r>
    </w:p>
    <w:p>
      <w:pPr>
        <w:rPr>
          <w:noProof/>
        </w:rPr>
      </w:pPr>
      <w:r>
        <w:rPr>
          <w:noProof/>
        </w:rPr>
        <w:t>Accentul este pus în principal pe chestiuni esențiale de implementare și cooperare, în special:</w:t>
      </w:r>
    </w:p>
    <w:p>
      <w:pPr>
        <w:pStyle w:val="Bullet0"/>
        <w:numPr>
          <w:ilvl w:val="0"/>
          <w:numId w:val="9"/>
        </w:numPr>
        <w:rPr>
          <w:noProof/>
        </w:rPr>
      </w:pPr>
      <w:r>
        <w:rPr>
          <w:noProof/>
        </w:rPr>
        <w:t>definirea și acoperirea geografică a diferitelor componente de cooperare (regiuni transfrontaliere, transnaționale, interregionale și ultraperiferice);</w:t>
      </w:r>
    </w:p>
    <w:p>
      <w:pPr>
        <w:pStyle w:val="Bullet0"/>
        <w:rPr>
          <w:noProof/>
        </w:rPr>
      </w:pPr>
      <w:r>
        <w:rPr>
          <w:noProof/>
        </w:rPr>
        <w:t>definirea normelor specifice privind concentrarea tematică;</w:t>
      </w:r>
    </w:p>
    <w:p>
      <w:pPr>
        <w:pStyle w:val="Bullet0"/>
        <w:rPr>
          <w:noProof/>
        </w:rPr>
      </w:pPr>
      <w:r>
        <w:rPr>
          <w:noProof/>
        </w:rPr>
        <w:t>stabilirea obiectivelor specifice Interreg și a domeniului de aplicare;</w:t>
      </w:r>
    </w:p>
    <w:p>
      <w:pPr>
        <w:pStyle w:val="Bullet0"/>
        <w:rPr>
          <w:noProof/>
        </w:rPr>
      </w:pPr>
      <w:r>
        <w:rPr>
          <w:noProof/>
        </w:rPr>
        <w:lastRenderedPageBreak/>
        <w:t>adaptările normelor RDC privind programarea, autoritățile responsabile de program, gestiunea și controlul și gestiunea financiară; precum și</w:t>
      </w:r>
    </w:p>
    <w:p>
      <w:pPr>
        <w:pStyle w:val="Bullet0"/>
        <w:rPr>
          <w:noProof/>
        </w:rPr>
      </w:pPr>
      <w:r>
        <w:rPr>
          <w:noProof/>
        </w:rPr>
        <w:t>integrarea instrumentelor de finanțare externă ale UE.</w:t>
      </w:r>
    </w:p>
    <w:p>
      <w:pPr>
        <w:rPr>
          <w:noProof/>
        </w:rPr>
      </w:pPr>
      <w:r>
        <w:rPr>
          <w:noProof/>
        </w:rPr>
        <w:t>Acordul provizoriu respectă arhitectura Interreg, împărțită în patru componente, care includ nouă componentă dedicată cooperării regiunilor ultraperiferice ale UE. Acesta confirmă, de asemenea, alocarea financiară globală și echilibrul dintre componente, permițând instrumentului să își atingă obiectivele. El include, de asemenea, mai multe dispoziții de simplificare, în concordanță cu propunerea Comisiei, privind fondurile pentru proiecte mici (articolul 25), asistența tehnică (articolul 27), utilizarea opțiunilor simplificate în materie de costuri (articolul 53 din RDC) sau mecanismele de audit și verificare (capitolul VI).</w:t>
      </w:r>
    </w:p>
    <w:p>
      <w:pPr>
        <w:rPr>
          <w:noProof/>
        </w:rPr>
      </w:pPr>
      <w:r>
        <w:rPr>
          <w:noProof/>
        </w:rPr>
        <w:t>Cele două modificări principale convenite de colegiuitori se referă la cooperarea maritimă, reinstalată în cadrul cooperării transfrontaliere, și la relaxarea cerințelor privind concentrarea tematică pentru obiectivele specifice Interreg. Cu toate acestea, ele nu subminează capacitatea părților interesate de a continua cooperarea maritimă într-un mod raționalizat și nici de a sprijini acțiunile prioritare de consolidare a capacităților în cadrul „unei mai bune guvernanțe a cooperării”.</w:t>
      </w:r>
    </w:p>
    <w:p>
      <w:pPr>
        <w:rPr>
          <w:noProof/>
        </w:rPr>
      </w:pPr>
      <w:r>
        <w:rPr>
          <w:noProof/>
        </w:rPr>
        <w:t xml:space="preserve">Conceptul de investiții interregionale pentru inovare este menținut, însă este transferat în Regulamentul privind Fondul european de dezvoltare regională/Fondul de coeziune (FEDR/FC), cu o alocare redusă. </w:t>
      </w:r>
    </w:p>
    <w:p>
      <w:pPr>
        <w:pStyle w:val="ManualHeading1"/>
        <w:rPr>
          <w:noProof/>
        </w:rPr>
      </w:pPr>
      <w:r>
        <w:rPr>
          <w:noProof/>
        </w:rPr>
        <w:t>3.</w:t>
      </w:r>
      <w:r>
        <w:rPr>
          <w:noProof/>
        </w:rPr>
        <w:tab/>
        <w:t>Observații privind poziția Consiliului</w:t>
      </w:r>
    </w:p>
    <w:p>
      <w:pPr>
        <w:rPr>
          <w:rFonts w:eastAsia="Times New Roman"/>
          <w:noProof/>
        </w:rPr>
      </w:pPr>
      <w:r>
        <w:rPr>
          <w:noProof/>
        </w:rPr>
        <w:t>Poziția Consiliului reflectă întocmai acordul la care s-a ajuns în cadrul trilogurilor. Printre modificările cele mai importante introduse în plus față de propunerea Comisiei se numără următoarele:</w:t>
      </w:r>
    </w:p>
    <w:p>
      <w:pPr>
        <w:pStyle w:val="Bullet0"/>
        <w:rPr>
          <w:noProof/>
        </w:rPr>
      </w:pPr>
      <w:r>
        <w:rPr>
          <w:noProof/>
        </w:rPr>
        <w:t>o arhitectură revizuită, care să mențină cooperarea maritimă transfrontalieră în cadrul componentei A (transfrontaliere);</w:t>
      </w:r>
    </w:p>
    <w:p>
      <w:pPr>
        <w:pStyle w:val="Bullet0"/>
        <w:rPr>
          <w:noProof/>
        </w:rPr>
      </w:pPr>
      <w:r>
        <w:rPr>
          <w:noProof/>
        </w:rPr>
        <w:t>reintroducerea programelor „Urbact” și „Interreg Europe” în cadrul componentei de cooperare interregională;</w:t>
      </w:r>
    </w:p>
    <w:p>
      <w:pPr>
        <w:pStyle w:val="Bullet0"/>
        <w:rPr>
          <w:noProof/>
        </w:rPr>
      </w:pPr>
      <w:r>
        <w:rPr>
          <w:noProof/>
        </w:rPr>
        <w:t>confirmarea concentrării tematice, în temeiul articolului 15 alineatul (1), privind trei obiective de politică, inclusiv obiectivul de politică 2 (O Europă mai ecologică, cu emisii scăzute de carbon), cu o obligație suplimentară de a include obiectivul de politică 4 (O Europă mai socială) pentru frontierele terestre interne. Cerințele de concentrare tematică privind obiectivele specifice Interreg, „Îmbunătățirea guvernanței în materie de cooperare” și „Sporirea siguranței și securității Europei”, au fost, pe de altă parte, revizuite, devenind opționale, sub plafoanele respective de 20 % și, respectiv, 5 % din alocările programului. În ceea ce privește cooperarea transnațională, alinierea la prioritățile strategiilor macroregionale și ale strategiilor privind bazinele maritime a fost ajustată la 80 %;</w:t>
      </w:r>
    </w:p>
    <w:p>
      <w:pPr>
        <w:pStyle w:val="Bullet0"/>
        <w:rPr>
          <w:noProof/>
        </w:rPr>
      </w:pPr>
      <w:r>
        <w:rPr>
          <w:noProof/>
        </w:rPr>
        <w:t>introducerea unei obligații de a sprijini proiecte cu un volum financiar limitat, inclusiv prin fonduri pentru proiecte mici, pentru a încuraja sprijinirea acțiunilor interpersonale și a proiectelor mici;</w:t>
      </w:r>
    </w:p>
    <w:p>
      <w:pPr>
        <w:pStyle w:val="Bullet0"/>
        <w:rPr>
          <w:noProof/>
        </w:rPr>
      </w:pPr>
      <w:r>
        <w:rPr>
          <w:noProof/>
        </w:rPr>
        <w:t>trecerea investițiilor interregionale pentru inovare la Regulamentul privind FEDR/FC, cu o alocare redusă, menținând și clarificând în același timp obiectivele și mecanismele propuse de Comisie;</w:t>
      </w:r>
    </w:p>
    <w:p>
      <w:pPr>
        <w:pStyle w:val="Bullet0"/>
        <w:rPr>
          <w:noProof/>
        </w:rPr>
      </w:pPr>
      <w:r>
        <w:rPr>
          <w:noProof/>
        </w:rPr>
        <w:t>ajustarea ratelor de prefinanțare și cofinanțare, cu o ușoară creștere, în conformitate cu RDC. Ratele de prefinanțare și cofinanțare, împreună cu rata sprijinului acordat în cadrul asistenței tehnice, au fost, de asemenea, specificate pentru programele externe, inclusiv sprijinul din partea Instrumentului de asistență pentru preaderare (IPA), a Instrumentului de vecinătate, cooperare pentru dezvoltare și cooperare internațională (IVCDCI) și a Deciziei de asociere peste mări (OAD);</w:t>
      </w:r>
    </w:p>
    <w:p>
      <w:pPr>
        <w:pStyle w:val="Bullet0"/>
        <w:rPr>
          <w:noProof/>
        </w:rPr>
      </w:pPr>
      <w:r>
        <w:rPr>
          <w:noProof/>
        </w:rPr>
        <w:t>confirmarea resurselor financiare, inclusiv o consolidare a componentelor A și D, astfel cum s-a detaliat mai sus, cu repartizarea ulterioară a alocării:</w:t>
      </w:r>
    </w:p>
    <w:p>
      <w:pPr>
        <w:pStyle w:val="Bullet1"/>
        <w:numPr>
          <w:ilvl w:val="0"/>
          <w:numId w:val="10"/>
        </w:numPr>
        <w:rPr>
          <w:noProof/>
        </w:rPr>
      </w:pPr>
      <w:r>
        <w:rPr>
          <w:noProof/>
        </w:rPr>
        <w:t>5 813 de milioane EUR pentru cooperarea transfrontalieră</w:t>
      </w:r>
    </w:p>
    <w:p>
      <w:pPr>
        <w:pStyle w:val="Bullet1"/>
        <w:rPr>
          <w:noProof/>
        </w:rPr>
      </w:pPr>
      <w:r>
        <w:rPr>
          <w:noProof/>
        </w:rPr>
        <w:t>1 466 de milioane EUR pentru cooperarea transnațională</w:t>
      </w:r>
    </w:p>
    <w:p>
      <w:pPr>
        <w:pStyle w:val="Bullet1"/>
        <w:rPr>
          <w:noProof/>
        </w:rPr>
      </w:pPr>
      <w:r>
        <w:rPr>
          <w:noProof/>
        </w:rPr>
        <w:t>490 de milioane EUR pentru cooperarea interregională</w:t>
      </w:r>
    </w:p>
    <w:p>
      <w:pPr>
        <w:pStyle w:val="Bullet1"/>
        <w:rPr>
          <w:noProof/>
        </w:rPr>
      </w:pPr>
      <w:r>
        <w:rPr>
          <w:noProof/>
        </w:rPr>
        <w:t>281 de milioane EUR pentru regiunile ultraperiferice.</w:t>
      </w:r>
    </w:p>
    <w:p>
      <w:pPr>
        <w:rPr>
          <w:rFonts w:eastAsia="Times New Roman"/>
          <w:noProof/>
        </w:rPr>
      </w:pPr>
      <w:r>
        <w:rPr>
          <w:noProof/>
        </w:rPr>
        <w:t>În general, deși Comisia nu a fost în măsură să convingă Consiliul cu privire la propunerea sa privind concentrarea tematică obligatorie pentru obiectivele specifice Interreg și cu privire la raționalizarea cooperării maritime în cadrul cooperării transnaționale, structura propunerii și principalele sale mecanisme de punere în aplicare sunt respectate. În special, acordul permite continuarea programului PEACE PLUS pentru a sprijini pacea și reconcilierea între comitatele de graniță ale Irlandei și Irlandei de Nord și confirmă noua componentă privind regiunile ultraperiferice și integrarea cooperării la frontierele externe, cu dispoziții adaptate.</w:t>
      </w:r>
    </w:p>
    <w:p>
      <w:pPr>
        <w:rPr>
          <w:rFonts w:eastAsia="Times New Roman"/>
          <w:noProof/>
        </w:rPr>
      </w:pPr>
      <w:r>
        <w:rPr>
          <w:noProof/>
        </w:rPr>
        <w:t>Modificările adoptate mențin, prin urmare, arhitectura generală a propunerii Comisiei, resursele acesteia și capacitatea sa de a atinge obiectivele de cooperare urmărite de instrument.</w:t>
      </w:r>
    </w:p>
    <w:p>
      <w:pPr>
        <w:pStyle w:val="ManualHeading1"/>
        <w:rPr>
          <w:noProof/>
        </w:rPr>
      </w:pPr>
      <w:r>
        <w:rPr>
          <w:noProof/>
        </w:rPr>
        <w:t>4.</w:t>
      </w:r>
      <w:r>
        <w:rPr>
          <w:noProof/>
        </w:rPr>
        <w:tab/>
        <w:t>Concluzie</w:t>
      </w:r>
    </w:p>
    <w:p>
      <w:pPr>
        <w:rPr>
          <w:noProof/>
        </w:rPr>
      </w:pPr>
      <w:r>
        <w:rPr>
          <w:noProof/>
        </w:rPr>
        <w:t>Comisia sprijină rezultatele negocierilor interinstituționale și acceptă, prin urmare, poziția adoptată de Consiliu.</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RO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2D4B9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9A9F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B2C5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DACEAC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C084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D6A8E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29CFA36"/>
    <w:lvl w:ilvl="0">
      <w:start w:val="1"/>
      <w:numFmt w:val="decimal"/>
      <w:pStyle w:val="ListNumber"/>
      <w:lvlText w:val="%1."/>
      <w:lvlJc w:val="left"/>
      <w:pPr>
        <w:tabs>
          <w:tab w:val="num" w:pos="360"/>
        </w:tabs>
        <w:ind w:left="360" w:hanging="360"/>
      </w:pPr>
    </w:lvl>
  </w:abstractNum>
  <w:abstractNum w:abstractNumId="7">
    <w:nsid w:val="FFFFFF89"/>
    <w:multiLevelType w:val="singleLevel"/>
    <w:tmpl w:val="E99805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lvlOverride w:ilvl="0">
      <w:startOverride w:val="1"/>
    </w:lvlOverride>
  </w:num>
  <w:num w:numId="10">
    <w:abstractNumId w:val="17"/>
    <w:lvlOverride w:ilvl="0">
      <w:startOverride w:val="1"/>
    </w:lvlOverride>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2"/>
  </w:num>
  <w:num w:numId="27">
    <w:abstractNumId w:val="21"/>
  </w:num>
  <w:num w:numId="28">
    <w:abstractNumId w:val="11"/>
  </w:num>
  <w:num w:numId="29">
    <w:abstractNumId w:val="13"/>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5-28 11:29:2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1EF29C3-0914-42C9-B4D5-3A765CDE00FE"/>
    <w:docVar w:name="LW_COVERPAGE_TYPE" w:val="1"/>
    <w:docVar w:name="LW_CROSSREFERENCE" w:val="&lt;UNUSED&gt;"/>
    <w:docVar w:name="LW_DocType" w:val="COM"/>
    <w:docVar w:name="LW_EMISSION" w:val="1.6.2021"/>
    <w:docVar w:name="LW_EMISSION_ISODATE" w:val="2021-06-01"/>
    <w:docVar w:name="LW_EMISSION_LOCATION" w:val="BRX"/>
    <w:docVar w:name="LW_EMISSION_PREFIX" w:val="Bruxelles, "/>
    <w:docVar w:name="LW_EMISSION_SUFFIX" w:val=" "/>
    <w:docVar w:name="LW_ID_DOCMODEL" w:val="SJ-028"/>
    <w:docVar w:name="LW_ID_DOCSTRUCTURE" w:val="COM/PL/CODEC"/>
    <w:docVar w:name="LW_ID_DOCTYPE" w:val="SJ-028"/>
    <w:docVar w:name="LW_INTERETEEE.CP" w:val="&lt;UNUSED&gt;"/>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OD"/>
    <w:docVar w:name="LW_REF.II.NEW.CP_NUMBER" w:val="0199"/>
    <w:docVar w:name="LW_REF.II.NEW.CP_YEAR" w:val="2018"/>
    <w:docVar w:name="LW_REF.INST.NEW" w:val="COM"/>
    <w:docVar w:name="LW_REF.INST.NEW_ADOPTED" w:val="final"/>
    <w:docVar w:name="LW_REF.INST.NEW_TEXT" w:val="(2021) 2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zi\u539?ia Consiliului privind adoptarea unui Regulament al Parlamentului European \u537?i al Consiliului privind dispozi\u539?ii specifice pentru obiectivul de cooperare teritorial\u259? european\u259? (Interreg) sprijinit de Fondul european de dezvoltare regional\u259? \u537?i de instrumentele de finan\u539?are extern\u259? _x000b_"/>
    <w:docVar w:name="LW_TYPE.DOC.CP" w:val="COMUNICARE A COMISIEI C\u258?TRE PARLAMENTUL EUROPEAN_x000b__x000b_în conformitate cu articolul 294 alineatul (6) din Tratatul privind func\u355?ionarea Uniunii Europene_x000b__x000b_privind"/>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Pages>
  <Words>972</Words>
  <Characters>6517</Characters>
  <Application>Microsoft Office Word</Application>
  <DocSecurity>0</DocSecurity>
  <Lines>114</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32</cp:revision>
  <dcterms:created xsi:type="dcterms:W3CDTF">2021-05-25T09:38:00Z</dcterms:created>
  <dcterms:modified xsi:type="dcterms:W3CDTF">2021-05-28T09:29:00Z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