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A1DF" w14:textId="5E7FC7E1" w:rsidR="004B3EAF" w:rsidRPr="001766B2" w:rsidRDefault="00151ECD" w:rsidP="00151ECD">
      <w:pPr>
        <w:pStyle w:val="Pagedecouverture"/>
        <w:rPr>
          <w:noProof/>
        </w:rPr>
      </w:pPr>
      <w:r>
        <w:rPr>
          <w:noProof/>
        </w:rPr>
        <w:pict w14:anchorId="47C89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E352A3-E445-4177-85EB-FCD08FEFFE62" style="width:455.25pt;height:383.25pt">
            <v:imagedata r:id="rId11" o:title=""/>
          </v:shape>
        </w:pict>
      </w:r>
    </w:p>
    <w:p w14:paraId="7B47C24C" w14:textId="77777777" w:rsidR="00424DFB" w:rsidRPr="001766B2" w:rsidRDefault="00424DFB" w:rsidP="00424DFB">
      <w:pPr>
        <w:pStyle w:val="Pagedecouverture"/>
        <w:rPr>
          <w:noProof/>
        </w:rPr>
        <w:sectPr w:rsidR="00424DFB" w:rsidRPr="001766B2" w:rsidSect="00151ECD">
          <w:footerReference w:type="default" r:id="rId12"/>
          <w:pgSz w:w="11907" w:h="16839"/>
          <w:pgMar w:top="1134" w:right="1417" w:bottom="1134" w:left="1417" w:header="709" w:footer="709" w:gutter="0"/>
          <w:pgNumType w:start="0"/>
          <w:cols w:space="720"/>
          <w:docGrid w:linePitch="360"/>
        </w:sectPr>
      </w:pPr>
    </w:p>
    <w:p w14:paraId="0AF5D918" w14:textId="77777777" w:rsidR="00C1332E" w:rsidRPr="001766B2" w:rsidRDefault="00586D7D">
      <w:pPr>
        <w:pStyle w:val="Exposdesmotifstitre"/>
        <w:rPr>
          <w:noProof/>
        </w:rPr>
      </w:pPr>
      <w:bookmarkStart w:id="0" w:name="_GoBack"/>
      <w:bookmarkEnd w:id="0"/>
      <w:r w:rsidRPr="001766B2">
        <w:rPr>
          <w:noProof/>
        </w:rPr>
        <w:lastRenderedPageBreak/>
        <w:t>MOTIVERING</w:t>
      </w:r>
    </w:p>
    <w:p w14:paraId="14962E63" w14:textId="77777777" w:rsidR="00C1332E" w:rsidRPr="001766B2" w:rsidRDefault="00586D7D">
      <w:pPr>
        <w:pStyle w:val="ManualHeading1"/>
        <w:rPr>
          <w:noProof/>
        </w:rPr>
      </w:pPr>
      <w:r w:rsidRPr="001766B2">
        <w:rPr>
          <w:noProof/>
        </w:rPr>
        <w:t>1.</w:t>
      </w:r>
      <w:r w:rsidRPr="001766B2">
        <w:rPr>
          <w:noProof/>
        </w:rPr>
        <w:tab/>
        <w:t>BAKGRUND TILL FÖRSLAGET</w:t>
      </w:r>
    </w:p>
    <w:p w14:paraId="607E3613" w14:textId="77777777" w:rsidR="00C1332E" w:rsidRPr="001766B2" w:rsidRDefault="00586D7D">
      <w:pPr>
        <w:pStyle w:val="ManualHeading2"/>
        <w:rPr>
          <w:rFonts w:eastAsia="Arial Unicode MS"/>
          <w:noProof/>
        </w:rPr>
      </w:pPr>
      <w:r w:rsidRPr="001766B2">
        <w:rPr>
          <w:noProof/>
          <w:color w:val="000000"/>
          <w:u w:color="000000"/>
          <w:bdr w:val="nil"/>
        </w:rPr>
        <w:t>•</w:t>
      </w:r>
      <w:r w:rsidRPr="001766B2">
        <w:rPr>
          <w:noProof/>
        </w:rPr>
        <w:tab/>
        <w:t>Motiv och syfte med förslaget</w:t>
      </w:r>
    </w:p>
    <w:p w14:paraId="64ED53E3" w14:textId="77777777" w:rsidR="00AB3B6A" w:rsidRPr="001766B2" w:rsidRDefault="002F554A" w:rsidP="002F554A">
      <w:pPr>
        <w:pBdr>
          <w:top w:val="nil"/>
          <w:left w:val="nil"/>
          <w:bottom w:val="nil"/>
          <w:right w:val="nil"/>
          <w:between w:val="nil"/>
          <w:bar w:val="nil"/>
        </w:pBdr>
        <w:spacing w:before="0" w:after="240"/>
        <w:rPr>
          <w:noProof/>
        </w:rPr>
      </w:pPr>
      <w:r w:rsidRPr="001766B2">
        <w:rPr>
          <w:noProof/>
        </w:rPr>
        <w:t xml:space="preserve">Rysslands anfallskrig mot Ukraina har medfört en rad oväntade utmaningar för Europeiska unionen just när unionen och medlemsstaterna kommit igång med återhämtningen av ekonomi och samhälle efter covid-19-pandemin. </w:t>
      </w:r>
    </w:p>
    <w:p w14:paraId="7FB81543" w14:textId="3B3734B1" w:rsidR="002F554A" w:rsidRPr="001766B2" w:rsidRDefault="002F554A" w:rsidP="006573D1">
      <w:pPr>
        <w:pBdr>
          <w:top w:val="nil"/>
          <w:left w:val="nil"/>
          <w:bottom w:val="nil"/>
          <w:right w:val="nil"/>
          <w:between w:val="nil"/>
          <w:bar w:val="nil"/>
        </w:pBdr>
        <w:spacing w:before="0" w:after="240"/>
        <w:rPr>
          <w:noProof/>
        </w:rPr>
      </w:pPr>
      <w:r w:rsidRPr="001766B2">
        <w:rPr>
          <w:noProof/>
        </w:rPr>
        <w:t>Sedan Rysslands oprovocerade invasion av Ukraina den 24 februari har unionen tagit emot över 6,2 miljoner ukrainska medborgare på flykt undan det ryska angreppet. EU har reagerat snabbt för att hjälpa medlemsstaterna och regionerna att hantera denna tillströmning av människor genom att mobilisera all tillgänglig finansiering. Med det ökande antalet nyanlända står det dock klart att det krävs ytterligare åtgärder. Vid Europeiska rådets extra möte i maj 2022 uppmanades kommissionen att lägga fram nya initiativ inom den fleråriga budgetramen för att stödja insatserna för skydd åt miljontals personer på flykt undan kriget i Ukraina.</w:t>
      </w:r>
    </w:p>
    <w:p w14:paraId="54149776" w14:textId="77777777" w:rsidR="00304116" w:rsidRPr="001766B2" w:rsidRDefault="002F554A" w:rsidP="002F554A">
      <w:pPr>
        <w:pBdr>
          <w:top w:val="nil"/>
          <w:left w:val="nil"/>
          <w:bottom w:val="nil"/>
          <w:right w:val="nil"/>
          <w:between w:val="nil"/>
          <w:bar w:val="nil"/>
        </w:pBdr>
        <w:spacing w:before="0" w:after="240"/>
        <w:rPr>
          <w:noProof/>
        </w:rPr>
      </w:pPr>
      <w:r w:rsidRPr="001766B2">
        <w:rPr>
          <w:noProof/>
        </w:rPr>
        <w:t xml:space="preserve">Förutom att ge stöd till medlemsstaterna i samband med tillströmningen av fördrivna personer har kommissionen också noga övervakat hur Rysslands oprovocerade invasion av Ukraina påverkar genomförandet av bland annat sammanhållningspolitiken. Konsekvenserna för infrastrukturprojekt har särskilt noterats, både när det gäller tillgången till och kostnaderna för råvaror och tillgången till arbetskraft. Europaparlamentet, rådet och regionerna har alla uttryckt oro över hur detta kan påverka genomförandet av programmen för 2014–2020 och säkerställa att de nya programmen för 2021–2027 startar. </w:t>
      </w:r>
    </w:p>
    <w:p w14:paraId="350367E7" w14:textId="722372E0" w:rsidR="005314BD" w:rsidRPr="001766B2" w:rsidRDefault="005314BD" w:rsidP="005314BD">
      <w:pPr>
        <w:pBdr>
          <w:top w:val="nil"/>
          <w:left w:val="nil"/>
          <w:bottom w:val="nil"/>
          <w:right w:val="nil"/>
          <w:between w:val="nil"/>
          <w:bar w:val="nil"/>
        </w:pBdr>
        <w:spacing w:before="0" w:after="240"/>
        <w:rPr>
          <w:noProof/>
        </w:rPr>
      </w:pPr>
      <w:r w:rsidRPr="001766B2">
        <w:rPr>
          <w:noProof/>
        </w:rPr>
        <w:t>Sedan den 24 februari 2022 har kommissionen lagt fram ett antal förslag inom sammanhållningsinsatser för flyktingar i Europa (Care), så att alla medel som finns tillgängliga i sammanhållningspolitiken 2014–2020 och Europeiska fonden för dem som har det sämst ställt snabbt ska kunna mobiliseras för att ta itu med de utmaningar i närtid som medlemsstaterna och flera av deras östra regioner står inför, särskilt när det gäller dem som flyr undan det ryska angreppet.</w:t>
      </w:r>
    </w:p>
    <w:p w14:paraId="5EB5E12F" w14:textId="77777777" w:rsidR="000013B8" w:rsidRPr="001766B2" w:rsidRDefault="00944661" w:rsidP="000013B8">
      <w:pPr>
        <w:pBdr>
          <w:top w:val="nil"/>
          <w:left w:val="nil"/>
          <w:bottom w:val="nil"/>
          <w:right w:val="nil"/>
          <w:between w:val="nil"/>
          <w:bar w:val="nil"/>
        </w:pBdr>
        <w:spacing w:before="0" w:after="240"/>
        <w:rPr>
          <w:noProof/>
        </w:rPr>
      </w:pPr>
      <w:r w:rsidRPr="001766B2">
        <w:rPr>
          <w:noProof/>
        </w:rPr>
        <w:t>Ändringarna har gjort det möjligt att mobilisera tillgänglig finansiering för att hantera de omedelbara konsekvenserna av det ryska anfallskriget mot Ukraina, och samtidigt låta medlemsstaterna fortsätta sina ansträngningar för en grön, digital och resilient ekonomisk återhämtning efter den kris som covid-19-pandemin orsakade.</w:t>
      </w:r>
    </w:p>
    <w:p w14:paraId="028CA0DE" w14:textId="0B9FB8A9" w:rsidR="00944661" w:rsidRPr="001766B2" w:rsidRDefault="00944661" w:rsidP="00944661">
      <w:pPr>
        <w:pBdr>
          <w:top w:val="nil"/>
          <w:left w:val="nil"/>
          <w:bottom w:val="nil"/>
          <w:right w:val="nil"/>
          <w:between w:val="nil"/>
          <w:bar w:val="nil"/>
        </w:pBdr>
        <w:spacing w:before="0" w:after="240"/>
        <w:rPr>
          <w:noProof/>
        </w:rPr>
      </w:pPr>
      <w:r w:rsidRPr="001766B2">
        <w:rPr>
          <w:noProof/>
        </w:rPr>
        <w:t xml:space="preserve">Möjligheten att använda Europeiska regionala utvecklingsfonden (Eruf) och Europeiska socialfonden (ESF) för insatser för att hantera migrationsutmaningar till följd av det ryska militära angreppet enligt reglerna för den andra fonden gör det möjligt att använda tillgängliga resurser för befintliga behov, utan att några överföringar behövs. Dessutom görs dessa insatser stödberättigande från och med dagen för invasionen, för att möjliggöra stöd till alla relaterade behov. Vidare införs en ny enhetskostnad, medan formerna för deltagarnas rapportering har förenklats för att minska den administrativa bördan för både stödmottagarna och medlemsstaternas förvaltningar när de hanterar migrationsutmaningarna. Slutligen utökades möjligheten att använda 100 % EU-medfinansiering för dessa åtgärder även till det räkenskapsår som avslutades den 30 juni 2022 för att bidra till att minska bördan på medlemsstaternas offentliga finanser, och den betydande ökningen av förfinansieringen med React-EU-medel gav medlemsstaterna den likviditet som behövdes för att tillgodose de mest akuta behoven. </w:t>
      </w:r>
    </w:p>
    <w:p w14:paraId="6804217D" w14:textId="3F81D5BF" w:rsidR="00944661" w:rsidRPr="001766B2" w:rsidRDefault="00944661" w:rsidP="00944661">
      <w:pPr>
        <w:pBdr>
          <w:top w:val="nil"/>
          <w:left w:val="nil"/>
          <w:bottom w:val="nil"/>
          <w:right w:val="nil"/>
          <w:between w:val="nil"/>
          <w:bar w:val="nil"/>
        </w:pBdr>
        <w:spacing w:before="0" w:after="240"/>
        <w:rPr>
          <w:noProof/>
        </w:rPr>
      </w:pPr>
      <w:r w:rsidRPr="001766B2">
        <w:rPr>
          <w:noProof/>
        </w:rPr>
        <w:t>Konsekvenserna av det ryska militära angreppet har ökat i omfattning och dess effekter tilltar. Därför ställs medlemsstaterna inför ett kontinuerligt betydande inflöde av personer som flyr från det ryska angreppet. Samtidigt står vissa medlemsstater inför brist på arbetskraft och brist på insatsvaror i vissa sektorer. Den här situationen kommer ovanpå konsekvenserna av covid-19-pandemin, bland annat i form av störning av värdekedjor, som sätter press på offentliga budgetar som var inriktade på ekonomisk återhämtning, men riskerar också att avsevärt försena investeringar, särskilt i infrastruktur.</w:t>
      </w:r>
    </w:p>
    <w:p w14:paraId="0185A523" w14:textId="5DE3621A" w:rsidR="00944661" w:rsidRPr="001766B2" w:rsidRDefault="00012F1F" w:rsidP="00944661">
      <w:pPr>
        <w:pBdr>
          <w:top w:val="nil"/>
          <w:left w:val="nil"/>
          <w:bottom w:val="nil"/>
          <w:right w:val="nil"/>
          <w:between w:val="nil"/>
          <w:bar w:val="nil"/>
        </w:pBdr>
        <w:spacing w:before="0" w:after="240"/>
        <w:rPr>
          <w:noProof/>
        </w:rPr>
      </w:pPr>
      <w:r w:rsidRPr="001766B2">
        <w:rPr>
          <w:noProof/>
        </w:rPr>
        <w:t xml:space="preserve">Även om de åtgärder som redan har antagits har hart stor betydelse för att hjälpa medlemsstater och regioner att hantera krigets omedelbara effekter, är det uppenbart att den föränderliga situationen kräver ytterligare åtgärder. Ökad flexibilitet kommer särskilt att bidra till att optimera användningen av de återstående medlen för 2014–2020 och möjliggöra en smidigare uppdelning av försenade projekt mellan programmen 2014–2020 och 2021–2027. </w:t>
      </w:r>
    </w:p>
    <w:p w14:paraId="7F1CE955" w14:textId="77777777" w:rsidR="00944661" w:rsidRPr="001766B2" w:rsidRDefault="00944661" w:rsidP="00944661">
      <w:pPr>
        <w:pBdr>
          <w:top w:val="nil"/>
          <w:left w:val="nil"/>
          <w:bottom w:val="nil"/>
          <w:right w:val="nil"/>
          <w:between w:val="nil"/>
          <w:bar w:val="nil"/>
        </w:pBdr>
        <w:spacing w:before="0" w:after="240"/>
        <w:rPr>
          <w:noProof/>
        </w:rPr>
      </w:pPr>
      <w:r w:rsidRPr="001766B2">
        <w:rPr>
          <w:noProof/>
        </w:rPr>
        <w:t xml:space="preserve">Följaktligen bör ytterligare flexibilitet införas för att möjliggöra snabbare och mer fullständigt stöd från fonderna för att minska belastningen på de nationella budgetarna och underlätta genomförandet av insatser för att hantera både migrationsutmaningar och marknadsstörningar i centrala ekonomiska sektorer. </w:t>
      </w:r>
    </w:p>
    <w:p w14:paraId="133055DF" w14:textId="77777777" w:rsidR="00944661" w:rsidRPr="001766B2" w:rsidRDefault="00D42B7B" w:rsidP="00944661">
      <w:pPr>
        <w:pBdr>
          <w:top w:val="nil"/>
          <w:left w:val="nil"/>
          <w:bottom w:val="nil"/>
          <w:right w:val="nil"/>
          <w:between w:val="nil"/>
          <w:bar w:val="nil"/>
        </w:pBdr>
        <w:spacing w:before="0" w:after="240"/>
        <w:rPr>
          <w:noProof/>
        </w:rPr>
      </w:pPr>
      <w:r w:rsidRPr="001766B2">
        <w:rPr>
          <w:noProof/>
        </w:rPr>
        <w:t>För insatser för att hantera migrationsutmaningar till följd av det ryska militära angreppet är det därför lämpligt att, som en del av detta mer fullständiga stöd och som en undantagsåtgärd, utan att det påverkar regler som bör gälla i normala omständigheter, göra undantag från de krav som är kopplade till platsen för insatsen inom en viss medlemsstat, med tanke på att personer som flyr undan kriget kan förflytta sig mer än en gång. Med tanke på de fortsatta ryska angreppen är det dessutom motiverat att förlänga tidsfristen och höja den nyligen fastställda enhetskostnaden för att täcka grundläggande behov och stöd för personer som beviljats tillfälligt skydd eller annat tillräckligt skydd enligt nationell lagstiftning i enlighet med rådets genomförandebeslut (EU) 2022/382</w:t>
      </w:r>
      <w:r w:rsidRPr="001766B2">
        <w:rPr>
          <w:rStyle w:val="FootnoteReference"/>
          <w:noProof/>
        </w:rPr>
        <w:footnoteReference w:id="2"/>
      </w:r>
      <w:r w:rsidRPr="001766B2">
        <w:rPr>
          <w:noProof/>
        </w:rPr>
        <w:t xml:space="preserve"> och rådets direktiv 2001/55/EG</w:t>
      </w:r>
      <w:r w:rsidRPr="001766B2">
        <w:rPr>
          <w:rStyle w:val="FootnoteReference"/>
          <w:noProof/>
        </w:rPr>
        <w:footnoteReference w:id="3"/>
      </w:r>
      <w:r w:rsidRPr="001766B2">
        <w:rPr>
          <w:noProof/>
        </w:rPr>
        <w:t xml:space="preserve"> i alla medlemsstater.</w:t>
      </w:r>
    </w:p>
    <w:p w14:paraId="405B11EC" w14:textId="2647CC87" w:rsidR="00944661" w:rsidRPr="001766B2" w:rsidRDefault="00944661" w:rsidP="00944661">
      <w:pPr>
        <w:pBdr>
          <w:top w:val="nil"/>
          <w:left w:val="nil"/>
          <w:bottom w:val="nil"/>
          <w:right w:val="nil"/>
          <w:between w:val="nil"/>
          <w:bar w:val="nil"/>
        </w:pBdr>
        <w:spacing w:before="0" w:after="240"/>
        <w:rPr>
          <w:noProof/>
        </w:rPr>
      </w:pPr>
      <w:r w:rsidRPr="001766B2">
        <w:rPr>
          <w:noProof/>
        </w:rPr>
        <w:t>Dessutom föreslås att de återstående medlen från Sammanhållningsfonden 2014–2020 ska få stödja insatser inom tillämpningsområdet för antingen Eruf eller ESF, i enlighet med de regler som gäller för dessa fonder. Detta innebär att Sammanhållningsfonden också omfattas av den flexibilitet vid användningen av Eruf- och ESF-medel som infördes genom Europaparlamentets och rådets förordning (EU) 2022/562</w:t>
      </w:r>
      <w:r w:rsidRPr="001766B2">
        <w:rPr>
          <w:rStyle w:val="FootnoteReference"/>
          <w:noProof/>
        </w:rPr>
        <w:footnoteReference w:id="4"/>
      </w:r>
      <w:r w:rsidRPr="001766B2">
        <w:rPr>
          <w:noProof/>
        </w:rPr>
        <w:t>. Med tanke på att stödberättigandet för insatser för att hantera migrationsutmaningarna till följd av Rysslands militära angrepp fastställdes från och med den 24 februari 2022, bör det vara möjligt att redovisa utgifter för sådana insatser även när de redan fysiskt har slutförts eller genomförts fullt ut. Dessa möjligheter bör också utvidgas till att omfatta Europeiska havs- och fiskerifonden (EHFF) till följd av krigets konsekvenser för fiskeri- och vattenbrukssektorn.</w:t>
      </w:r>
    </w:p>
    <w:p w14:paraId="00CB5046" w14:textId="435ABF96" w:rsidR="00944661" w:rsidRPr="001766B2" w:rsidRDefault="00944661" w:rsidP="00944661">
      <w:pPr>
        <w:pBdr>
          <w:top w:val="nil"/>
          <w:left w:val="nil"/>
          <w:bottom w:val="nil"/>
          <w:right w:val="nil"/>
          <w:between w:val="nil"/>
          <w:bar w:val="nil"/>
        </w:pBdr>
        <w:spacing w:before="0" w:after="240"/>
        <w:rPr>
          <w:noProof/>
        </w:rPr>
      </w:pPr>
      <w:r w:rsidRPr="001766B2">
        <w:rPr>
          <w:noProof/>
        </w:rPr>
        <w:t>I samma anda och i syfte att minska den administrativa bördan för de medlemsstater som ständigt anpassar sig till de föränderliga behoven bör överföringar mellan tematiska mål inom en prioritering och inom en fond och regionkategori möjliggöras utan att kommissionen behöver fatta beslut om ändring av programmet. Dessutom föreslås en höjning av taket för flexibilitet mellan prioriteringarna för beräkningen av slutsaldot för bidraget från fonderna. När det gäller prioriteringar som främjar den socioekonomiska integrationen av tredjelandsmedborgare, inbegripet de som är avsedda för insatser för att hantera migrationsutmaningar till följd av det ryska militära angreppet, bör möjligheten till en medfinansieringssats på 100 % fastställas under båda programperioderna för att hjälpa medlemsstaterna att tillgodose flyktingarnas behoven nu och i framtiden.</w:t>
      </w:r>
    </w:p>
    <w:p w14:paraId="12D33020" w14:textId="77777777" w:rsidR="00944661" w:rsidRPr="001766B2" w:rsidRDefault="00143278" w:rsidP="00944661">
      <w:pPr>
        <w:pBdr>
          <w:top w:val="nil"/>
          <w:left w:val="nil"/>
          <w:bottom w:val="nil"/>
          <w:right w:val="nil"/>
          <w:between w:val="nil"/>
          <w:bar w:val="nil"/>
        </w:pBdr>
        <w:spacing w:before="0" w:after="240"/>
        <w:rPr>
          <w:noProof/>
        </w:rPr>
      </w:pPr>
      <w:r w:rsidRPr="001766B2">
        <w:rPr>
          <w:noProof/>
        </w:rPr>
        <w:t>För att återspegla de förenklade villkoren för att dela upp projekt mellan programperioderna är det också nödvändigt att införa riktad flexibilitet för programperioden 2021–2027.</w:t>
      </w:r>
    </w:p>
    <w:p w14:paraId="4AE9F2EC" w14:textId="77777777" w:rsidR="00A17F91" w:rsidRPr="001766B2" w:rsidRDefault="00A17F91" w:rsidP="00944661">
      <w:pPr>
        <w:pBdr>
          <w:top w:val="nil"/>
          <w:left w:val="nil"/>
          <w:bottom w:val="nil"/>
          <w:right w:val="nil"/>
          <w:between w:val="nil"/>
          <w:bar w:val="nil"/>
        </w:pBdr>
        <w:spacing w:before="0" w:after="240"/>
        <w:rPr>
          <w:noProof/>
        </w:rPr>
      </w:pPr>
      <w:r w:rsidRPr="001766B2">
        <w:rPr>
          <w:noProof/>
        </w:rPr>
        <w:t>För att hjälpa alla medlemsstater att hantera krigets effekter med hjälp av sina program för 2021–2027 bör stöd från Eruf, ESF+ och Sammanhållningsfonden inom målet Investering för sysselsättning och tillväxt snabbt mobiliseras genom en ökad förfinansieringsnivå.</w:t>
      </w:r>
    </w:p>
    <w:p w14:paraId="0C192F07" w14:textId="1A1F8D3B" w:rsidR="00A17F91" w:rsidRPr="001766B2" w:rsidRDefault="00A17F91" w:rsidP="00A17F91">
      <w:pPr>
        <w:pBdr>
          <w:top w:val="nil"/>
          <w:left w:val="nil"/>
          <w:bottom w:val="nil"/>
          <w:right w:val="nil"/>
          <w:between w:val="nil"/>
          <w:bar w:val="nil"/>
        </w:pBdr>
        <w:spacing w:before="0" w:after="240"/>
        <w:rPr>
          <w:noProof/>
        </w:rPr>
      </w:pPr>
      <w:r w:rsidRPr="001766B2">
        <w:rPr>
          <w:noProof/>
        </w:rPr>
        <w:t xml:space="preserve">Dessutom bör en medfinansieringsgrad på upp till 100 % införas för prioriteringar som främjar den socioekonomiska integrationen av tredjelandsmedborgare från programmen för 2021–2027 till och med mitten av 2024 och bör ses över på grundval av hur den har använts. </w:t>
      </w:r>
    </w:p>
    <w:p w14:paraId="3D2DCEE6" w14:textId="77777777" w:rsidR="00944661" w:rsidRPr="001766B2" w:rsidRDefault="00A17F91" w:rsidP="00944661">
      <w:pPr>
        <w:pBdr>
          <w:top w:val="nil"/>
          <w:left w:val="nil"/>
          <w:bottom w:val="nil"/>
          <w:right w:val="nil"/>
          <w:between w:val="nil"/>
          <w:bar w:val="nil"/>
        </w:pBdr>
        <w:spacing w:before="0" w:after="240"/>
        <w:rPr>
          <w:noProof/>
        </w:rPr>
      </w:pPr>
      <w:r w:rsidRPr="001766B2">
        <w:rPr>
          <w:noProof/>
        </w:rPr>
        <w:t>Slutligen bör taket för möjligheten att fasa in insatser från programmen 2014–2020 till programmen 2021–2027 sänkas så att denna möjlighet utvidgas till att omfatta fler insatser som försenats. Dessutom bör den andra etappen av insatserna inom programmen för 2021–2027 göras stödberättigande i enlighet med reglerna för 2014–2020, och förvaltningsmyndigheterna bör få möjlighet att bevilja stöd direkt till sådana insatser, förutsatt att ett begränsat antal nyckelvillkor är uppfyllda. En sådan flexibilitet i etappindelningen påverkar inte medlemsstaternas skyldigheter att uppfylla kraven på tematisk koncentration och klimatbidragsmålen.</w:t>
      </w:r>
    </w:p>
    <w:p w14:paraId="21671F9A" w14:textId="77777777" w:rsidR="00C1332E" w:rsidRPr="001766B2" w:rsidRDefault="00586D7D">
      <w:pPr>
        <w:pStyle w:val="ManualHeading2"/>
        <w:rPr>
          <w:rFonts w:eastAsia="Arial Unicode MS"/>
          <w:noProof/>
          <w:color w:val="000000"/>
          <w:u w:color="000000"/>
          <w:bdr w:val="nil"/>
        </w:rPr>
      </w:pPr>
      <w:r w:rsidRPr="001766B2">
        <w:rPr>
          <w:noProof/>
          <w:color w:val="000000"/>
          <w:u w:color="000000"/>
          <w:bdr w:val="nil"/>
        </w:rPr>
        <w:t>•</w:t>
      </w:r>
      <w:r w:rsidRPr="001766B2">
        <w:rPr>
          <w:noProof/>
        </w:rPr>
        <w:tab/>
        <w:t>Förenlighet med befintliga bestämmelser inom området</w:t>
      </w:r>
    </w:p>
    <w:p w14:paraId="0C342CD1" w14:textId="77777777" w:rsidR="00C1332E" w:rsidRPr="001766B2" w:rsidRDefault="00107C7D">
      <w:pPr>
        <w:pBdr>
          <w:top w:val="nil"/>
          <w:left w:val="nil"/>
          <w:bottom w:val="nil"/>
          <w:right w:val="nil"/>
          <w:between w:val="nil"/>
          <w:bar w:val="nil"/>
        </w:pBdr>
        <w:spacing w:before="0" w:after="240"/>
        <w:rPr>
          <w:noProof/>
        </w:rPr>
      </w:pPr>
      <w:r w:rsidRPr="001766B2">
        <w:rPr>
          <w:noProof/>
        </w:rPr>
        <w:t>Förslaget är förenligt med den allmänna rättsliga ram som inrättats för de europeiska struktur- och investeringsfonderna och sammanhållningspolitiken, och det är begränsat till riktade och exceptionella ändringar av förordningarna (EU) nr 1303/2013 och (EU) 2021/1060. Förslaget kompletterar också de tidigare ändringarna av förordning (EU) nr 1303/2013 genom ändringsförordningarna av den 6 april 2022 och 12 april 2022 samt alla andra åtgärder som syftar till att hantera den rådande unika situationen.</w:t>
      </w:r>
    </w:p>
    <w:p w14:paraId="48A8078C" w14:textId="77777777" w:rsidR="00C1332E" w:rsidRPr="001766B2" w:rsidRDefault="00586D7D">
      <w:pPr>
        <w:pStyle w:val="ManualHeading2"/>
        <w:rPr>
          <w:rFonts w:eastAsia="Arial Unicode MS"/>
          <w:noProof/>
        </w:rPr>
      </w:pPr>
      <w:r w:rsidRPr="001766B2">
        <w:rPr>
          <w:noProof/>
          <w:color w:val="000000"/>
          <w:u w:color="000000"/>
          <w:bdr w:val="nil"/>
        </w:rPr>
        <w:t>•</w:t>
      </w:r>
      <w:r w:rsidRPr="001766B2">
        <w:rPr>
          <w:noProof/>
        </w:rPr>
        <w:tab/>
        <w:t>Förenlighet med unionens politik inom andra områden</w:t>
      </w:r>
    </w:p>
    <w:p w14:paraId="7136537B" w14:textId="77777777" w:rsidR="00C1332E" w:rsidRPr="001766B2" w:rsidRDefault="00107C7D">
      <w:pPr>
        <w:pBdr>
          <w:top w:val="nil"/>
          <w:left w:val="nil"/>
          <w:bottom w:val="nil"/>
          <w:right w:val="nil"/>
          <w:between w:val="nil"/>
          <w:bar w:val="nil"/>
        </w:pBdr>
        <w:spacing w:before="0" w:after="240"/>
        <w:rPr>
          <w:noProof/>
        </w:rPr>
      </w:pPr>
      <w:r w:rsidRPr="001766B2">
        <w:rPr>
          <w:noProof/>
        </w:rPr>
        <w:t>Förslaget är begränsat till riktade och exceptionella ändringar av förordningarna (EU) nr 1303/2013 och (EU) 2021/1060 och upprätthåller förenligheten med unionens politik inom andra områden.</w:t>
      </w:r>
    </w:p>
    <w:p w14:paraId="4C2D9CC7" w14:textId="77777777" w:rsidR="00C1332E" w:rsidRPr="001766B2" w:rsidRDefault="00586D7D">
      <w:pPr>
        <w:pStyle w:val="ManualHeading1"/>
        <w:rPr>
          <w:noProof/>
        </w:rPr>
      </w:pPr>
      <w:r w:rsidRPr="001766B2">
        <w:rPr>
          <w:noProof/>
        </w:rPr>
        <w:t>2.</w:t>
      </w:r>
      <w:r w:rsidRPr="001766B2">
        <w:rPr>
          <w:noProof/>
        </w:rPr>
        <w:tab/>
        <w:t>RÄTTSLIG GRUND, SUBSIDIARITETSPRINCIPEN OCH PROPORTIONALITETSPRINCIPEN</w:t>
      </w:r>
    </w:p>
    <w:p w14:paraId="0CE46B51"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Rättslig grund</w:t>
      </w:r>
    </w:p>
    <w:p w14:paraId="31F5C0EB" w14:textId="77777777" w:rsidR="00C1332E" w:rsidRPr="001766B2" w:rsidRDefault="00586D7D">
      <w:pPr>
        <w:pBdr>
          <w:top w:val="nil"/>
          <w:left w:val="nil"/>
          <w:bottom w:val="nil"/>
          <w:right w:val="nil"/>
          <w:between w:val="nil"/>
          <w:bar w:val="nil"/>
        </w:pBdr>
        <w:spacing w:before="0" w:after="240"/>
        <w:rPr>
          <w:noProof/>
        </w:rPr>
      </w:pPr>
      <w:r w:rsidRPr="001766B2">
        <w:rPr>
          <w:noProof/>
        </w:rPr>
        <w:t xml:space="preserve">Förslaget baseras på artikel 177 i fördraget om Europeiska unionens funktionssätt. </w:t>
      </w:r>
    </w:p>
    <w:p w14:paraId="3BF6BD94"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 xml:space="preserve">Subsidiaritetsprincipen (för icke-exklusiv befogenhet) </w:t>
      </w:r>
    </w:p>
    <w:p w14:paraId="03D3B82D" w14:textId="2ECB1A95" w:rsidR="00E02C73" w:rsidRPr="001766B2" w:rsidRDefault="00107C7D" w:rsidP="00E02C73">
      <w:pPr>
        <w:pBdr>
          <w:top w:val="nil"/>
          <w:left w:val="nil"/>
          <w:bottom w:val="nil"/>
          <w:right w:val="nil"/>
          <w:between w:val="nil"/>
          <w:bar w:val="nil"/>
        </w:pBdr>
        <w:spacing w:before="0" w:after="240"/>
        <w:rPr>
          <w:noProof/>
        </w:rPr>
      </w:pPr>
      <w:r w:rsidRPr="001766B2">
        <w:rPr>
          <w:noProof/>
        </w:rPr>
        <w:t xml:space="preserve">Förslaget ändrar befintlig EU-lagstiftning och syftar till att underlätta medlemsstaternas och regionernas användning och flexibilitet i genomförandet av sammanhållningspolitiska resurser för att stödja åtgärder för att ta itu med migrationsutmaningar till följd av Rysslands militära angrepp i programmen för både 2014–2020 och 2021–2027. Att hantera dessa utmaningar kan inte i tillräcklig utsträckning uppnås av medlemsstaterna själva och kan bättre uppnås på unionsnivå. </w:t>
      </w:r>
    </w:p>
    <w:p w14:paraId="6C4D4EEB"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Proportionalitetsprincipen</w:t>
      </w:r>
    </w:p>
    <w:p w14:paraId="6CD96C87" w14:textId="77777777" w:rsidR="000A6742" w:rsidRPr="001766B2" w:rsidRDefault="00107C7D" w:rsidP="000A6742">
      <w:pPr>
        <w:pBdr>
          <w:top w:val="nil"/>
          <w:left w:val="nil"/>
          <w:bottom w:val="nil"/>
          <w:right w:val="nil"/>
          <w:between w:val="nil"/>
          <w:bar w:val="nil"/>
        </w:pBdr>
        <w:spacing w:before="0" w:after="240"/>
        <w:rPr>
          <w:noProof/>
        </w:rPr>
      </w:pPr>
      <w:r w:rsidRPr="001766B2">
        <w:rPr>
          <w:noProof/>
        </w:rPr>
        <w:t>Förslaget är begränsat till vad som är nödvändigt och syftar till att säkerställa att alla tillgängliga sammanhållningspolitiska resurser kan stödja åtgärder för att ta itu med migrationsutmaningar till följd av Rysslands militära angrepp. Den föreslagna flexibiliteten går inte utöver vad som är nödvändigt för att fullt ut utnyttja resurserna inom ramen för de europeiska struktur- och investeringsfondernas program för 2014–2020 och möjliggöra en smidigare etappindelning av insatserna i programmen för 2021–2027.</w:t>
      </w:r>
    </w:p>
    <w:p w14:paraId="6C256B41"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Val av instrument</w:t>
      </w:r>
    </w:p>
    <w:p w14:paraId="72909253" w14:textId="77777777" w:rsidR="00676147" w:rsidRPr="001766B2" w:rsidRDefault="00107C7D" w:rsidP="00676147">
      <w:pPr>
        <w:pBdr>
          <w:top w:val="nil"/>
          <w:left w:val="nil"/>
          <w:bottom w:val="nil"/>
          <w:right w:val="nil"/>
          <w:between w:val="nil"/>
          <w:bar w:val="nil"/>
        </w:pBdr>
        <w:spacing w:before="0" w:after="240"/>
        <w:rPr>
          <w:noProof/>
        </w:rPr>
      </w:pPr>
      <w:r w:rsidRPr="001766B2">
        <w:rPr>
          <w:noProof/>
        </w:rPr>
        <w:t>En förordning om ändring av befintliga förordningar är det lämpliga instrumentet för att underlätta användningen av sammanhållningspolitiska resurser för att ta itu med migrationsutmaningar till följd av Rysslands militära angrepp och för att utvidga möjligheten att dela in insatser med lägre totalkostnad i etapper, vilket är nödvändigt på grund av dessa unika omständigheter.</w:t>
      </w:r>
    </w:p>
    <w:p w14:paraId="2F4A61C8" w14:textId="77777777" w:rsidR="00C1332E" w:rsidRPr="001766B2" w:rsidRDefault="00586D7D">
      <w:pPr>
        <w:pStyle w:val="ManualHeading1"/>
        <w:rPr>
          <w:noProof/>
        </w:rPr>
      </w:pPr>
      <w:r w:rsidRPr="001766B2">
        <w:rPr>
          <w:noProof/>
        </w:rPr>
        <w:t>3.</w:t>
      </w:r>
      <w:r w:rsidRPr="001766B2">
        <w:rPr>
          <w:noProof/>
        </w:rPr>
        <w:tab/>
        <w:t>RESULTAT AV EFTERHANDSUTVÄRDERINGAR, SAMRÅD MED BERÖRDA PARTER OCH KONSEKVENSBEDÖMNINGAR</w:t>
      </w:r>
    </w:p>
    <w:p w14:paraId="5395F139"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Efterhandsutvärderingar/kontroller av ändamålsenligheten med befintlig lagstiftning</w:t>
      </w:r>
    </w:p>
    <w:p w14:paraId="3A54010F" w14:textId="77777777" w:rsidR="00C1332E" w:rsidRPr="001766B2" w:rsidRDefault="00586D7D">
      <w:pPr>
        <w:pBdr>
          <w:top w:val="nil"/>
          <w:left w:val="nil"/>
          <w:bottom w:val="nil"/>
          <w:right w:val="nil"/>
          <w:between w:val="nil"/>
          <w:bar w:val="nil"/>
        </w:pBdr>
        <w:spacing w:before="0" w:after="240"/>
        <w:rPr>
          <w:noProof/>
        </w:rPr>
      </w:pPr>
      <w:r w:rsidRPr="001766B2">
        <w:rPr>
          <w:noProof/>
        </w:rPr>
        <w:t>Ej tillämpligt</w:t>
      </w:r>
    </w:p>
    <w:p w14:paraId="43B95EC3"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Samråd med berörda parter</w:t>
      </w:r>
    </w:p>
    <w:p w14:paraId="39752F2A" w14:textId="77777777" w:rsidR="00C1332E" w:rsidRPr="001766B2" w:rsidRDefault="00107C7D">
      <w:pPr>
        <w:pBdr>
          <w:top w:val="nil"/>
          <w:left w:val="nil"/>
          <w:bottom w:val="nil"/>
          <w:right w:val="nil"/>
          <w:between w:val="nil"/>
          <w:bar w:val="nil"/>
        </w:pBdr>
        <w:spacing w:before="0" w:after="240"/>
        <w:rPr>
          <w:noProof/>
        </w:rPr>
      </w:pPr>
      <w:r w:rsidRPr="001766B2">
        <w:rPr>
          <w:noProof/>
        </w:rPr>
        <w:t>Förslaget har lagts fram efter diskussioner på hög nivå med andra institutioner och medlemsstater. Något offentligt samråd krävs inte eftersom det inte behövs någon konsekvensbedömning.</w:t>
      </w:r>
    </w:p>
    <w:p w14:paraId="5F9F2D4E"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Insamling och användning av sakkunnigutlåtanden</w:t>
      </w:r>
    </w:p>
    <w:p w14:paraId="7899FB60" w14:textId="77777777" w:rsidR="00C1332E" w:rsidRPr="001766B2" w:rsidRDefault="00586D7D">
      <w:pPr>
        <w:rPr>
          <w:noProof/>
        </w:rPr>
      </w:pPr>
      <w:r w:rsidRPr="001766B2">
        <w:rPr>
          <w:noProof/>
        </w:rPr>
        <w:t>Ej tillämpligt</w:t>
      </w:r>
    </w:p>
    <w:p w14:paraId="464D7D3F"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Konsekvensbedömning</w:t>
      </w:r>
    </w:p>
    <w:p w14:paraId="25CABEF8" w14:textId="77777777" w:rsidR="00C1332E" w:rsidRPr="001766B2" w:rsidRDefault="00107C7D">
      <w:pPr>
        <w:pBdr>
          <w:top w:val="nil"/>
          <w:left w:val="nil"/>
          <w:bottom w:val="nil"/>
          <w:right w:val="nil"/>
          <w:between w:val="nil"/>
          <w:bar w:val="nil"/>
        </w:pBdr>
        <w:spacing w:before="0" w:after="240"/>
        <w:rPr>
          <w:noProof/>
        </w:rPr>
      </w:pPr>
      <w:r w:rsidRPr="001766B2">
        <w:rPr>
          <w:noProof/>
        </w:rPr>
        <w:t>En konsekvensbedömning gjordes för att förbereda förslaget till förordningarna (EU) nr 1303/2013 och (EU) 2021/1060. Denna riktade ändring för att hantera en kritisk situation kräver ingen separat konsekvensbedömning.</w:t>
      </w:r>
    </w:p>
    <w:p w14:paraId="6E0CE4D7"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Lagstiftningens ändamålsenlighet och förenkling</w:t>
      </w:r>
    </w:p>
    <w:p w14:paraId="7FB40782" w14:textId="77777777" w:rsidR="00C1332E" w:rsidRPr="001766B2" w:rsidRDefault="00586D7D">
      <w:pPr>
        <w:rPr>
          <w:noProof/>
        </w:rPr>
      </w:pPr>
      <w:r w:rsidRPr="001766B2">
        <w:rPr>
          <w:noProof/>
        </w:rPr>
        <w:t>Ej tillämpligt</w:t>
      </w:r>
    </w:p>
    <w:p w14:paraId="38910CB9"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Grundläggande rättigheter</w:t>
      </w:r>
    </w:p>
    <w:p w14:paraId="2FA1F0D8" w14:textId="77777777" w:rsidR="00C1332E" w:rsidRPr="001766B2" w:rsidRDefault="00586D7D">
      <w:pPr>
        <w:rPr>
          <w:noProof/>
        </w:rPr>
      </w:pPr>
      <w:r w:rsidRPr="001766B2">
        <w:rPr>
          <w:noProof/>
        </w:rPr>
        <w:t>Ej tillämpligt</w:t>
      </w:r>
    </w:p>
    <w:p w14:paraId="72A16DED" w14:textId="77777777" w:rsidR="00C1332E" w:rsidRPr="001766B2" w:rsidRDefault="00586D7D">
      <w:pPr>
        <w:pStyle w:val="ManualHeading1"/>
        <w:rPr>
          <w:noProof/>
        </w:rPr>
      </w:pPr>
      <w:r w:rsidRPr="001766B2">
        <w:rPr>
          <w:noProof/>
        </w:rPr>
        <w:t>4.</w:t>
      </w:r>
      <w:r w:rsidRPr="001766B2">
        <w:rPr>
          <w:noProof/>
        </w:rPr>
        <w:tab/>
        <w:t>BUDGETKONSEKVENSER</w:t>
      </w:r>
    </w:p>
    <w:p w14:paraId="360306AC" w14:textId="77777777" w:rsidR="00431F4F" w:rsidRPr="001766B2" w:rsidRDefault="00107C7D" w:rsidP="00A17F91">
      <w:pPr>
        <w:rPr>
          <w:noProof/>
        </w:rPr>
      </w:pPr>
      <w:r w:rsidRPr="001766B2">
        <w:rPr>
          <w:noProof/>
        </w:rPr>
        <w:t xml:space="preserve">Förslaget avser sammanhållningspolitiska program från både perioden 2014–2020 och perioden 2021–2027 och ändrar inte de befintliga budgetåtagandena. </w:t>
      </w:r>
    </w:p>
    <w:p w14:paraId="2D23CBC7" w14:textId="77777777" w:rsidR="00431F4F" w:rsidRPr="001766B2" w:rsidRDefault="00431F4F" w:rsidP="00A17F91">
      <w:pPr>
        <w:rPr>
          <w:noProof/>
          <w:szCs w:val="24"/>
        </w:rPr>
      </w:pPr>
      <w:r w:rsidRPr="001766B2">
        <w:rPr>
          <w:noProof/>
        </w:rPr>
        <w:t xml:space="preserve">För perioden 2021–2027 ökas förfinansieringsnivån för program som får stöd från Eruf, ESF+ och Sammanhållningsfonden inom målet Investeringar för tillväxt och sysselsättning under 2022 och 2023. Detta kommer att leda till en tidigareläggning av betalningsbemyndigandena till 2022 och 2023 och är budgetneutralt under perioden 2021–2027. </w:t>
      </w:r>
    </w:p>
    <w:p w14:paraId="514D5C38" w14:textId="77777777" w:rsidR="00A17F91" w:rsidRPr="001766B2" w:rsidRDefault="00431F4F" w:rsidP="00A17F91">
      <w:pPr>
        <w:rPr>
          <w:noProof/>
        </w:rPr>
      </w:pPr>
      <w:r w:rsidRPr="001766B2">
        <w:rPr>
          <w:noProof/>
        </w:rPr>
        <w:t>Den ytterligare förfinansieringen på 1,74 miljarder euro för 2023 ingick inte i budgetförslaget. Kommissionen kommer därför att överväga att föreslå att de ytterligare betalningsbehoven ska täckas genom en ändringsskrivelse till budgetförslaget för 2023 med beaktande av medlemsstaternas reviderade prognoser.</w:t>
      </w:r>
    </w:p>
    <w:p w14:paraId="33577454" w14:textId="77777777" w:rsidR="008B061D" w:rsidRPr="001766B2" w:rsidRDefault="008B061D" w:rsidP="008B061D">
      <w:pPr>
        <w:rPr>
          <w:noProof/>
        </w:rPr>
      </w:pPr>
      <w:r w:rsidRPr="001766B2">
        <w:rPr>
          <w:noProof/>
        </w:rPr>
        <w:t xml:space="preserve">Den föreslagna ändringen kräver inte ändringar av de årliga taken för åtaganden och betalningar i den fleråriga budgetramen enligt bilaga I till rådets förordning (EU, Euratom) 2020/2093, och medför inga ändringar av de totala betalningsbehoven under någondera programperioderna. </w:t>
      </w:r>
    </w:p>
    <w:p w14:paraId="3D168AEA" w14:textId="77777777" w:rsidR="00676147" w:rsidRPr="001766B2" w:rsidRDefault="008B061D" w:rsidP="00EF5081">
      <w:pPr>
        <w:rPr>
          <w:noProof/>
        </w:rPr>
      </w:pPr>
      <w:r w:rsidRPr="001766B2">
        <w:rPr>
          <w:noProof/>
        </w:rPr>
        <w:t xml:space="preserve">Kommissionen kommer att noga övervaka effekterna av den föreslagna ändringen på betalningsbemyndigandena under 2022 och 2023, med beaktande av det övergripande genomförandet av budgeten, reviderade prognoser för medlemsstaterna samt eventuella nya behov eller prioriteringar. </w:t>
      </w:r>
    </w:p>
    <w:p w14:paraId="24DC0907" w14:textId="77777777" w:rsidR="00C1332E" w:rsidRPr="001766B2" w:rsidRDefault="00586D7D">
      <w:pPr>
        <w:pStyle w:val="ManualHeading1"/>
        <w:rPr>
          <w:noProof/>
        </w:rPr>
      </w:pPr>
      <w:r w:rsidRPr="001766B2">
        <w:rPr>
          <w:noProof/>
        </w:rPr>
        <w:t>5.</w:t>
      </w:r>
      <w:r w:rsidRPr="001766B2">
        <w:rPr>
          <w:noProof/>
        </w:rPr>
        <w:tab/>
        <w:t>ÖVRIGA INSLAG</w:t>
      </w:r>
    </w:p>
    <w:p w14:paraId="2853191A"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Genomförandeplaner samt åtgärder för övervakning, utvärdering och rapportering</w:t>
      </w:r>
    </w:p>
    <w:p w14:paraId="16F6BFD5" w14:textId="77777777" w:rsidR="00C1332E" w:rsidRPr="001766B2" w:rsidRDefault="00AB6D32">
      <w:pPr>
        <w:pBdr>
          <w:top w:val="nil"/>
          <w:left w:val="nil"/>
          <w:bottom w:val="nil"/>
          <w:right w:val="nil"/>
          <w:between w:val="nil"/>
          <w:bar w:val="nil"/>
        </w:pBdr>
        <w:spacing w:before="0" w:after="240"/>
        <w:rPr>
          <w:noProof/>
        </w:rPr>
      </w:pPr>
      <w:r w:rsidRPr="001766B2">
        <w:rPr>
          <w:noProof/>
        </w:rPr>
        <w:t>Genomförandet av åtgärderna kommer att övervakas och rapporteras inom ramen för de allmänna rapporteringsförfaranden som föreskrivs i förordningarna (EU) nr 1303/2013 och (EU) 2021/1060.</w:t>
      </w:r>
    </w:p>
    <w:p w14:paraId="132A0980"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Förklarande dokument (för direktiv)</w:t>
      </w:r>
    </w:p>
    <w:p w14:paraId="4EBB330A" w14:textId="77777777" w:rsidR="00C1332E" w:rsidRPr="001766B2" w:rsidRDefault="00586D7D">
      <w:pPr>
        <w:pBdr>
          <w:top w:val="nil"/>
          <w:left w:val="nil"/>
          <w:bottom w:val="nil"/>
          <w:right w:val="nil"/>
          <w:between w:val="nil"/>
          <w:bar w:val="nil"/>
        </w:pBdr>
        <w:spacing w:before="0" w:after="240"/>
        <w:rPr>
          <w:noProof/>
        </w:rPr>
      </w:pPr>
      <w:r w:rsidRPr="001766B2">
        <w:rPr>
          <w:noProof/>
        </w:rPr>
        <w:t>Ej tillämpligt</w:t>
      </w:r>
    </w:p>
    <w:p w14:paraId="7EA1E1AB" w14:textId="77777777" w:rsidR="00C1332E" w:rsidRPr="001766B2" w:rsidRDefault="00586D7D">
      <w:pPr>
        <w:pStyle w:val="ManualHeading2"/>
        <w:rPr>
          <w:rFonts w:eastAsia="Arial Unicode MS"/>
          <w:noProof/>
          <w:u w:color="000000"/>
          <w:bdr w:val="nil"/>
        </w:rPr>
      </w:pPr>
      <w:r w:rsidRPr="001766B2">
        <w:rPr>
          <w:noProof/>
          <w:u w:color="000000"/>
          <w:bdr w:val="nil"/>
        </w:rPr>
        <w:t>•</w:t>
      </w:r>
      <w:r w:rsidRPr="001766B2">
        <w:rPr>
          <w:noProof/>
        </w:rPr>
        <w:tab/>
      </w:r>
      <w:r w:rsidRPr="001766B2">
        <w:rPr>
          <w:noProof/>
          <w:u w:color="000000"/>
          <w:bdr w:val="nil"/>
        </w:rPr>
        <w:t>Ingående redogörelse för de specifika bestämmelserna i förslaget</w:t>
      </w:r>
    </w:p>
    <w:p w14:paraId="235B5190" w14:textId="77777777" w:rsidR="00AB6D32" w:rsidRPr="001766B2" w:rsidRDefault="00AB6D32" w:rsidP="00AB6D32">
      <w:pPr>
        <w:rPr>
          <w:noProof/>
        </w:rPr>
      </w:pPr>
      <w:r w:rsidRPr="001766B2">
        <w:rPr>
          <w:noProof/>
        </w:rPr>
        <w:t>Enligt förslaget ska förordning (EU) nr 1303/2013 och förordning (EU) 2021/1060 ändras enligt följande:</w:t>
      </w:r>
    </w:p>
    <w:p w14:paraId="0154BF48" w14:textId="2FC2622F" w:rsidR="00AB6D32" w:rsidRPr="001766B2" w:rsidRDefault="00AB6D32" w:rsidP="00DD4B5E">
      <w:pPr>
        <w:pStyle w:val="Bullet1"/>
        <w:numPr>
          <w:ilvl w:val="0"/>
          <w:numId w:val="14"/>
        </w:numPr>
        <w:rPr>
          <w:noProof/>
        </w:rPr>
      </w:pPr>
      <w:r w:rsidRPr="001766B2">
        <w:rPr>
          <w:noProof/>
        </w:rPr>
        <w:t>Undantag från lokaliseringskraven inom en viss medlemsstat för insatser för att hantera migrationsutmaningarna till följd av Rysslands militära angrepp, eftersom människor som flyr från kriget kan förflytta sig mer än en gång (ändring av artikel 70 i förordning (EU) nr 1303/2013).</w:t>
      </w:r>
    </w:p>
    <w:p w14:paraId="2B3AE8F3" w14:textId="77777777" w:rsidR="00AB6D32" w:rsidRPr="001766B2" w:rsidRDefault="00AB6D32" w:rsidP="00DD4B5E">
      <w:pPr>
        <w:pStyle w:val="Bullet1"/>
        <w:numPr>
          <w:ilvl w:val="0"/>
          <w:numId w:val="14"/>
        </w:numPr>
        <w:rPr>
          <w:noProof/>
        </w:rPr>
      </w:pPr>
      <w:r w:rsidRPr="001766B2">
        <w:rPr>
          <w:noProof/>
        </w:rPr>
        <w:t>En ny möjlighet att deklarera utgifter för sådana insatser som redan har slutförts fysiskt eller genomförts fullt ut (ändring av artikel 65 i förordning (EU) nr 1303/2013).</w:t>
      </w:r>
    </w:p>
    <w:p w14:paraId="0E078A2C" w14:textId="192A318C" w:rsidR="00AB6D32" w:rsidRPr="001766B2" w:rsidRDefault="00AB6D32" w:rsidP="00DD4B5E">
      <w:pPr>
        <w:pStyle w:val="Bullet1"/>
        <w:numPr>
          <w:ilvl w:val="0"/>
          <w:numId w:val="14"/>
        </w:numPr>
        <w:rPr>
          <w:noProof/>
        </w:rPr>
      </w:pPr>
      <w:r w:rsidRPr="001766B2">
        <w:rPr>
          <w:noProof/>
        </w:rPr>
        <w:t>Efter anmälan till kommissionen av de reviderade finansiella tabellerna som godkänts av övervakningskommittén och utan något kommissionsbeslut om ändring av programmet ska det bli möjligt att tillämpa en medfinansieringsgrad på upp till 100 % för ett separat prioriterat område som fastställts för att främja den socioekonomiska integrationen av tredjelandsmedborgare, inbegripet för insatser för att hantera migrationsutmaningar till följd av Rysslands militära angrepp (ny artikel 120 9 i förordning (EU) nr 1303/2013).</w:t>
      </w:r>
    </w:p>
    <w:p w14:paraId="524C7B6F" w14:textId="406C4098" w:rsidR="00875927" w:rsidRPr="001766B2" w:rsidRDefault="00AB6D32" w:rsidP="00DD4B5E">
      <w:pPr>
        <w:pStyle w:val="Bullet1"/>
        <w:numPr>
          <w:ilvl w:val="0"/>
          <w:numId w:val="14"/>
        </w:numPr>
        <w:rPr>
          <w:noProof/>
        </w:rPr>
      </w:pPr>
      <w:r w:rsidRPr="001766B2">
        <w:rPr>
          <w:noProof/>
        </w:rPr>
        <w:t>Ytterligare flexibilitet mellan fonderna, särskilt genom att tillåta användning av medel från Sammanhållningsfonden för perioden 2014–2020 för insatser för migrationsutmaningarna till följd av Rysslands militära angrepp och som omfattas av Erufs och ESF:s tillämpningsområde och fondspecifika bestämmelser, så länge som ett minimianslag på 30 % av budgeten för det prioriterade området går till stödmottagare som är lokala myndigheter och civilsamhällesorganisationer som är verksamma i lokalsamhällen för att dessa typer av stödmottagare ska få en lämplig andel av resurserna med tanke på deras aktiva roll i åtgärder för att ta emot och integrera flyktingar (ändring av artikel 98.4 i förordning (EU) nr 1303/2013).</w:t>
      </w:r>
    </w:p>
    <w:p w14:paraId="5B28316B" w14:textId="77777777" w:rsidR="00AB6D32" w:rsidRPr="001766B2" w:rsidRDefault="00AB6D32" w:rsidP="00027C97">
      <w:pPr>
        <w:pStyle w:val="Bullet1"/>
        <w:numPr>
          <w:ilvl w:val="0"/>
          <w:numId w:val="14"/>
        </w:numPr>
        <w:rPr>
          <w:noProof/>
        </w:rPr>
      </w:pPr>
      <w:r w:rsidRPr="001766B2">
        <w:rPr>
          <w:noProof/>
        </w:rPr>
        <w:t>Möjliggörande av användning av välgrundade skattningar som är begränsade till det totala antalet personer som får stöd och antalet barn under 18 år när uppgifter om deltagare måste rapporteras inom det separata prioriterade området för insatser för att hantera migrationsutmaningar till följd av den ryska militära aggressionen (ändring av artikel 98.4 i förordning (EU) nr 1303/2013).</w:t>
      </w:r>
    </w:p>
    <w:p w14:paraId="2FFCC12B" w14:textId="77777777" w:rsidR="00AB6D32" w:rsidRPr="001766B2" w:rsidRDefault="00AB6D32" w:rsidP="00027C97">
      <w:pPr>
        <w:pStyle w:val="Bullet1"/>
        <w:numPr>
          <w:ilvl w:val="0"/>
          <w:numId w:val="14"/>
        </w:numPr>
        <w:rPr>
          <w:noProof/>
        </w:rPr>
      </w:pPr>
      <w:r w:rsidRPr="001766B2">
        <w:rPr>
          <w:noProof/>
        </w:rPr>
        <w:t>Utökning av den nyligen fastställda enhetskostnaden till stöd för åtgärder för att hantera migrationsutmaningar till följd av det ryska militära angreppet till 100 euro per vecka för varje hel vecka eller del av vecka som personen befinner sig i den berörda medlemsstaten, i totalt högst 26 veckor från och med dagen för personens ankomst till unionen (ändring av artikel 68c i förordning (EU) nr 1303/2013).</w:t>
      </w:r>
    </w:p>
    <w:p w14:paraId="0E8B6CA9" w14:textId="77777777" w:rsidR="00AB6D32" w:rsidRPr="001766B2" w:rsidRDefault="00AB6D32" w:rsidP="00027C97">
      <w:pPr>
        <w:pStyle w:val="Bullet1"/>
        <w:numPr>
          <w:ilvl w:val="0"/>
          <w:numId w:val="14"/>
        </w:numPr>
        <w:rPr>
          <w:noProof/>
        </w:rPr>
      </w:pPr>
      <w:r w:rsidRPr="001766B2">
        <w:rPr>
          <w:noProof/>
        </w:rPr>
        <w:t>Ökad flexibilitet för slutbetalningar för varje prioritering per fond och per regionkategori under det sista räkenskapsåret från 10 % till 15 % (ändring av artikel 130.3 i förordning (EU) nr 1303/2013).</w:t>
      </w:r>
    </w:p>
    <w:p w14:paraId="15D4414D" w14:textId="77777777" w:rsidR="00AB6D32" w:rsidRPr="001766B2" w:rsidRDefault="00AB6D32" w:rsidP="00DD4B5E">
      <w:pPr>
        <w:pStyle w:val="Bullet1"/>
        <w:numPr>
          <w:ilvl w:val="0"/>
          <w:numId w:val="14"/>
        </w:numPr>
        <w:rPr>
          <w:noProof/>
        </w:rPr>
      </w:pPr>
      <w:r w:rsidRPr="001766B2">
        <w:rPr>
          <w:noProof/>
        </w:rPr>
        <w:t>Möjliggörande av överföringar i program av anslag mellan tematiska mål inom samma prioritering och samma fond och regionkategori utan något beslut av kommissionen om ändring av programmet (ändring av artikel 30 och artikel 96.10 i förordning (EU) nr 1303/2013).</w:t>
      </w:r>
    </w:p>
    <w:p w14:paraId="0AD9D967" w14:textId="4F4D5735" w:rsidR="00E10BE1" w:rsidRPr="001766B2" w:rsidRDefault="00E10BE1" w:rsidP="00DD4B5E">
      <w:pPr>
        <w:pStyle w:val="Bullet1"/>
        <w:numPr>
          <w:ilvl w:val="0"/>
          <w:numId w:val="14"/>
        </w:numPr>
        <w:rPr>
          <w:noProof/>
        </w:rPr>
      </w:pPr>
      <w:r w:rsidRPr="001766B2">
        <w:rPr>
          <w:noProof/>
        </w:rPr>
        <w:t>Ökad förfinansieringsgrad för program från Eruf, ESF+ och Sammanhållningsfonden inom målet Investering för sysselsättning och tillväxt med 0,5 % 2022 och 0,5 % 2023 av det totala stödet från fonderna enligt beslutet om godkännande av programmet i alla medlemsstater (ändring av artikel 90.2 i förordning (EU) 2021/1060).</w:t>
      </w:r>
    </w:p>
    <w:p w14:paraId="62760142" w14:textId="4CFF608A" w:rsidR="00AB6D32" w:rsidRPr="001766B2" w:rsidRDefault="00AB6D32" w:rsidP="00DD4B5E">
      <w:pPr>
        <w:pStyle w:val="Bullet1"/>
        <w:numPr>
          <w:ilvl w:val="0"/>
          <w:numId w:val="14"/>
        </w:numPr>
        <w:rPr>
          <w:noProof/>
        </w:rPr>
      </w:pPr>
      <w:r w:rsidRPr="001766B2">
        <w:rPr>
          <w:noProof/>
        </w:rPr>
        <w:t>Möjliggörande av en medfinansieringsgrad på 100 % till och med den 30 juni 2024 för en separat prioritering som fastställs inom ett program för att stödja insatser som främjar den socioekonomiska integrationen av tredjelandsmedborgare. Minst 30 % av stödet inom prioriteringen bör gå till stödmottagare som är lokala myndigheter och civilsamhällesorganisationer som är verksamma i lokalsamhällen för att dessa typer av stödmottagare ska få en lämplig andel av resurserna med tanke på deras aktiva roll i åtgärder för att ta emot och integrera flyktingar. Det totala belopp som planerats för sådana prioriteringar i en medlemsstat får inte överstiga 5 % av den medlemsstatens ursprungliga nationella anslag från Eruf och ESF+ sammantaget. Medfinansieringsgraden på upp till 100 % kommer att ses över senast den 30 juni 2024 (ändring av artikel 112 i förordning (EU) 2021/1060).</w:t>
      </w:r>
    </w:p>
    <w:p w14:paraId="641B2DB2" w14:textId="3076663A" w:rsidR="00406A17" w:rsidRPr="001766B2" w:rsidRDefault="00AB6D32" w:rsidP="00DD4B5E">
      <w:pPr>
        <w:pStyle w:val="Bullet1"/>
        <w:numPr>
          <w:ilvl w:val="0"/>
          <w:numId w:val="14"/>
        </w:numPr>
        <w:rPr>
          <w:noProof/>
        </w:rPr>
      </w:pPr>
      <w:r w:rsidRPr="001766B2">
        <w:rPr>
          <w:noProof/>
        </w:rPr>
        <w:t xml:space="preserve">Stödberättigande även för insatser i programmen 2021–2027 med en total kostnad på över 1 000 000 euro som valts ut för stöd från programmen 2014–2020 och inleddes före den 29 juni 2022, och direkt beviljande från förvaltningsmyndigheten förutsatt att ett begränsat antal nyckelvillkor är uppfyllda (ny artikel 118a i förordning (EU) 2021/1060) </w:t>
      </w:r>
    </w:p>
    <w:p w14:paraId="01B4F503" w14:textId="77777777" w:rsidR="00C71348" w:rsidRPr="001766B2" w:rsidRDefault="00406A17" w:rsidP="00DD4B5E">
      <w:pPr>
        <w:pStyle w:val="Bullet1"/>
        <w:numPr>
          <w:ilvl w:val="0"/>
          <w:numId w:val="14"/>
        </w:numPr>
        <w:rPr>
          <w:noProof/>
        </w:rPr>
      </w:pPr>
      <w:r w:rsidRPr="001766B2">
        <w:rPr>
          <w:noProof/>
        </w:rPr>
        <w:t>Nya särskilda insatsområden för att täcka insatser i etapper som annars inte skulle vara stödberättigande under 2021–2027 (ändring av tabell 1 i bilaga I till förordning (EU) 2021/1060).</w:t>
      </w:r>
    </w:p>
    <w:p w14:paraId="1628246C" w14:textId="77777777" w:rsidR="00C1332E" w:rsidRPr="001766B2" w:rsidRDefault="00C1332E" w:rsidP="00E83480">
      <w:pPr>
        <w:rPr>
          <w:noProof/>
        </w:rPr>
        <w:sectPr w:rsidR="00C1332E" w:rsidRPr="001766B2" w:rsidSect="00151ECD">
          <w:footerReference w:type="default" r:id="rId13"/>
          <w:footerReference w:type="first" r:id="rId14"/>
          <w:pgSz w:w="11907" w:h="16839"/>
          <w:pgMar w:top="1134" w:right="1417" w:bottom="1134" w:left="1417" w:header="709" w:footer="709" w:gutter="0"/>
          <w:cols w:space="720"/>
          <w:docGrid w:linePitch="360"/>
        </w:sectPr>
      </w:pPr>
    </w:p>
    <w:p w14:paraId="1D09FCC9" w14:textId="19A1F1CF" w:rsidR="003039C0" w:rsidRPr="001766B2" w:rsidRDefault="0033399C" w:rsidP="0033399C">
      <w:pPr>
        <w:pStyle w:val="Rfrenceinterinstitutionnelle"/>
        <w:rPr>
          <w:noProof/>
        </w:rPr>
      </w:pPr>
      <w:r w:rsidRPr="0033399C">
        <w:t>2022/0208 (COD)</w:t>
      </w:r>
    </w:p>
    <w:p w14:paraId="23336252" w14:textId="71D697CD" w:rsidR="00C1332E" w:rsidRPr="001766B2" w:rsidRDefault="001766B2" w:rsidP="001766B2">
      <w:pPr>
        <w:pStyle w:val="Statut"/>
        <w:rPr>
          <w:noProof/>
        </w:rPr>
      </w:pPr>
      <w:r w:rsidRPr="001766B2">
        <w:rPr>
          <w:noProof/>
        </w:rPr>
        <w:t>Förslag till</w:t>
      </w:r>
    </w:p>
    <w:p w14:paraId="054F9938" w14:textId="6AAFDAE0" w:rsidR="00C1332E" w:rsidRPr="001766B2" w:rsidRDefault="001766B2" w:rsidP="001766B2">
      <w:pPr>
        <w:pStyle w:val="Typedudocument"/>
        <w:rPr>
          <w:noProof/>
        </w:rPr>
      </w:pPr>
      <w:r w:rsidRPr="001766B2">
        <w:rPr>
          <w:noProof/>
        </w:rPr>
        <w:t>EUROPAPARLAMENTETS OCH RÅDETS FÖRORDNING</w:t>
      </w:r>
    </w:p>
    <w:p w14:paraId="59B59A03" w14:textId="00BFC1F4" w:rsidR="00C1332E" w:rsidRPr="001766B2" w:rsidRDefault="001766B2" w:rsidP="001766B2">
      <w:pPr>
        <w:pStyle w:val="Titreobjet"/>
        <w:rPr>
          <w:noProof/>
        </w:rPr>
      </w:pPr>
      <w:r w:rsidRPr="001766B2">
        <w:rPr>
          <w:noProof/>
        </w:rPr>
        <w:t xml:space="preserve">om ändring av förordning (EU) nr 1303/2013 och förordning (EU) 2021/1060 vad gäller ytterligare flexibilitet för att hantera konsekvenserna av Ryska federationens militära angrepp </w:t>
      </w:r>
      <w:r w:rsidRPr="001766B2">
        <w:rPr>
          <w:noProof/>
        </w:rPr>
        <w:br/>
        <w:t>Fast (flexibelt stöd till territorier) – Care</w:t>
      </w:r>
    </w:p>
    <w:p w14:paraId="26E2466C" w14:textId="7AF412EA" w:rsidR="00C1332E" w:rsidRPr="001766B2" w:rsidRDefault="001766B2">
      <w:pPr>
        <w:pStyle w:val="Institutionquiagit"/>
        <w:rPr>
          <w:noProof/>
        </w:rPr>
      </w:pPr>
      <w:r>
        <w:rPr>
          <w:noProof/>
        </w:rPr>
        <w:t>EUROPAPARLAMENTET OCH EUROPEISKA UNIONENS RÅD HAR ANTAGIT DENNA FÖRORDNING</w:t>
      </w:r>
    </w:p>
    <w:p w14:paraId="51B47533" w14:textId="77777777" w:rsidR="00C1332E" w:rsidRPr="001766B2" w:rsidRDefault="00586D7D">
      <w:pPr>
        <w:rPr>
          <w:noProof/>
        </w:rPr>
      </w:pPr>
      <w:r w:rsidRPr="001766B2">
        <w:rPr>
          <w:noProof/>
        </w:rPr>
        <w:t xml:space="preserve">med beaktande av fördraget om Europeiska unionens funktionssätt, särskilt artikel 177, </w:t>
      </w:r>
    </w:p>
    <w:p w14:paraId="130108CF" w14:textId="77777777" w:rsidR="00C1332E" w:rsidRPr="001766B2" w:rsidRDefault="00586D7D">
      <w:pPr>
        <w:rPr>
          <w:noProof/>
        </w:rPr>
      </w:pPr>
      <w:r w:rsidRPr="001766B2">
        <w:rPr>
          <w:noProof/>
        </w:rPr>
        <w:t>med beaktande av Europeiska kommissionens förslag,</w:t>
      </w:r>
    </w:p>
    <w:p w14:paraId="29BBBA87" w14:textId="77777777" w:rsidR="00C1332E" w:rsidRPr="001766B2" w:rsidRDefault="00586D7D">
      <w:pPr>
        <w:rPr>
          <w:noProof/>
        </w:rPr>
      </w:pPr>
      <w:r w:rsidRPr="001766B2">
        <w:rPr>
          <w:noProof/>
        </w:rPr>
        <w:t>efter översändande av utkastet till lagstiftningsakt till de nationella parlamenten,</w:t>
      </w:r>
    </w:p>
    <w:p w14:paraId="21EF91E7" w14:textId="77777777" w:rsidR="00C1332E" w:rsidRPr="001766B2" w:rsidRDefault="00586D7D">
      <w:pPr>
        <w:rPr>
          <w:noProof/>
        </w:rPr>
      </w:pPr>
      <w:r w:rsidRPr="001766B2">
        <w:rPr>
          <w:noProof/>
        </w:rPr>
        <w:t>med beaktande av Europeiska ekonomiska och sociala kommitténs yttrande</w:t>
      </w:r>
      <w:r w:rsidRPr="001766B2">
        <w:rPr>
          <w:rStyle w:val="FootnoteReference"/>
          <w:noProof/>
        </w:rPr>
        <w:footnoteReference w:id="5"/>
      </w:r>
      <w:r w:rsidRPr="001766B2">
        <w:rPr>
          <w:noProof/>
        </w:rPr>
        <w:t xml:space="preserve">, </w:t>
      </w:r>
    </w:p>
    <w:p w14:paraId="7EBD21FB" w14:textId="77777777" w:rsidR="00C1332E" w:rsidRPr="001766B2" w:rsidRDefault="00340EA6">
      <w:pPr>
        <w:rPr>
          <w:noProof/>
        </w:rPr>
      </w:pPr>
      <w:r w:rsidRPr="001766B2">
        <w:rPr>
          <w:noProof/>
        </w:rPr>
        <w:t>med beaktande av Regionkommitténs yttrande</w:t>
      </w:r>
      <w:r w:rsidRPr="001766B2">
        <w:rPr>
          <w:rStyle w:val="FootnoteReference"/>
          <w:noProof/>
        </w:rPr>
        <w:footnoteReference w:id="6"/>
      </w:r>
      <w:r w:rsidRPr="001766B2">
        <w:rPr>
          <w:noProof/>
        </w:rPr>
        <w:t>,</w:t>
      </w:r>
    </w:p>
    <w:p w14:paraId="38CD9CEF" w14:textId="77777777" w:rsidR="00C1332E" w:rsidRPr="001766B2" w:rsidRDefault="00586D7D">
      <w:pPr>
        <w:rPr>
          <w:noProof/>
        </w:rPr>
      </w:pPr>
      <w:r w:rsidRPr="001766B2">
        <w:rPr>
          <w:noProof/>
        </w:rPr>
        <w:t>i enlighet med det ordinarie lagstiftningsförfarandet, och</w:t>
      </w:r>
    </w:p>
    <w:p w14:paraId="430A5551" w14:textId="77777777" w:rsidR="00C1332E" w:rsidRPr="001766B2" w:rsidRDefault="00586D7D">
      <w:pPr>
        <w:rPr>
          <w:noProof/>
        </w:rPr>
      </w:pPr>
      <w:r w:rsidRPr="001766B2">
        <w:rPr>
          <w:noProof/>
        </w:rPr>
        <w:t>av följande skäl:</w:t>
      </w:r>
    </w:p>
    <w:p w14:paraId="7E77CBC1" w14:textId="53922998" w:rsidR="00D91CF7" w:rsidRPr="001766B2" w:rsidRDefault="0072335B" w:rsidP="0072335B">
      <w:pPr>
        <w:pStyle w:val="ManualConsidrant"/>
        <w:rPr>
          <w:noProof/>
        </w:rPr>
      </w:pPr>
      <w:r w:rsidRPr="0072335B">
        <w:t>(1)</w:t>
      </w:r>
      <w:r w:rsidRPr="0072335B">
        <w:tab/>
      </w:r>
      <w:r w:rsidR="002B1527" w:rsidRPr="001766B2">
        <w:rPr>
          <w:noProof/>
        </w:rPr>
        <w:t>Medlemsstaterna, och i synnerhet Europeiska unionens centrala och östra regioner, har drabbats hårt av konsekvenserna av Ryska federationens militära angrepp på Ukraina, vid en tidpunkt då medlemsstaternas ekonomier fortfarande håller på att återhämta sig från covid-19-pandemins effekter. Samtidigt som många medlemsstater står inför en kontinuerlig tillströmning av personer på flykt undan det ryska angreppet påverkas de också av brist på arbetskraft, svårigheter i leveranskedjan och stigande priser och energikostnader. Dels skapar detta utmaningar för de offentliga budgetarna, dels försenar det avsevärt genomförandet av investeringar. Detta har skapat en exceptionell situation som måste hanteras med specifika, välriktade åtgärder för att inte kräva ändringar av den fleråriga budgetramens årliga tak för åtaganden och betalningar enligt bilaga I till rådets förordning (EU, Euratom) 2020/2093</w:t>
      </w:r>
      <w:r w:rsidR="002B1527" w:rsidRPr="001766B2">
        <w:rPr>
          <w:rStyle w:val="FootnoteReference"/>
          <w:noProof/>
        </w:rPr>
        <w:footnoteReference w:id="7"/>
      </w:r>
      <w:r w:rsidR="002B1527" w:rsidRPr="001766B2">
        <w:rPr>
          <w:noProof/>
        </w:rPr>
        <w:t xml:space="preserve"> och för att undvika att motverka ekonomins pågående gröna, digitala och resilienta återhämtning.</w:t>
      </w:r>
    </w:p>
    <w:p w14:paraId="54D0A851" w14:textId="7D4ED018" w:rsidR="00182F8D" w:rsidRPr="001766B2" w:rsidRDefault="0072335B" w:rsidP="0072335B">
      <w:pPr>
        <w:pStyle w:val="ManualConsidrant"/>
        <w:rPr>
          <w:noProof/>
        </w:rPr>
      </w:pPr>
      <w:r w:rsidRPr="0072335B">
        <w:t>(2)</w:t>
      </w:r>
      <w:r w:rsidRPr="0072335B">
        <w:tab/>
      </w:r>
      <w:r w:rsidR="006941F3" w:rsidRPr="001766B2">
        <w:rPr>
          <w:noProof/>
        </w:rPr>
        <w:t>För att minska den ökande bördan på de nationella budgetarna gjordes genom Europaparlamentets och rådets förordning (EU) 2022/562</w:t>
      </w:r>
      <w:r w:rsidR="006941F3" w:rsidRPr="001766B2">
        <w:rPr>
          <w:rStyle w:val="FootnoteReference"/>
          <w:noProof/>
        </w:rPr>
        <w:footnoteReference w:id="8"/>
      </w:r>
      <w:r w:rsidR="006941F3" w:rsidRPr="001766B2">
        <w:rPr>
          <w:noProof/>
        </w:rPr>
        <w:t xml:space="preserve"> ett antal riktade ändringar av Europaparlamentets och rådets förordningar (EU) nr 1303/2013</w:t>
      </w:r>
      <w:r w:rsidR="006941F3" w:rsidRPr="001766B2">
        <w:rPr>
          <w:rStyle w:val="FootnoteReference"/>
          <w:noProof/>
        </w:rPr>
        <w:footnoteReference w:id="9"/>
      </w:r>
      <w:r w:rsidR="006941F3" w:rsidRPr="001766B2">
        <w:rPr>
          <w:noProof/>
        </w:rPr>
        <w:t xml:space="preserve"> och (EU) nr 223/2014</w:t>
      </w:r>
      <w:r w:rsidR="006941F3" w:rsidRPr="001766B2">
        <w:rPr>
          <w:rStyle w:val="FootnoteReference"/>
          <w:noProof/>
        </w:rPr>
        <w:footnoteReference w:id="10"/>
      </w:r>
      <w:r w:rsidR="006941F3" w:rsidRPr="001766B2">
        <w:rPr>
          <w:noProof/>
        </w:rPr>
        <w:t xml:space="preserve"> för att göra det lättare för medlemsstaterna att använda sina återstående anslag från Europeiska regionala utvecklingsfonden (Eruf), Europeiska socialfonden (ESF) och fonden för europeiskt bistånd till dem som har det sämst ställt (Fead) inom den fleråriga budgetramen 2014–2020 samt att använda React-EU-medel för att så effektivt och snabbt som möjligt hantera de migrationsutmaningar som Ryska federationens militära angrepp orsakat.</w:t>
      </w:r>
    </w:p>
    <w:p w14:paraId="63D61958" w14:textId="060EB552" w:rsidR="00D91CF7" w:rsidRPr="001766B2" w:rsidRDefault="0072335B" w:rsidP="0072335B">
      <w:pPr>
        <w:pStyle w:val="ManualConsidrant"/>
        <w:rPr>
          <w:noProof/>
        </w:rPr>
      </w:pPr>
      <w:r w:rsidRPr="0072335B">
        <w:t>(3)</w:t>
      </w:r>
      <w:r w:rsidRPr="0072335B">
        <w:tab/>
      </w:r>
      <w:r w:rsidR="001E71F7" w:rsidRPr="001766B2">
        <w:rPr>
          <w:noProof/>
        </w:rPr>
        <w:t>Dessutom skapade Europaparlamentets och rådets förordning (EU) 2022/613</w:t>
      </w:r>
      <w:r w:rsidR="001E71F7" w:rsidRPr="001766B2">
        <w:rPr>
          <w:rStyle w:val="FootnoteReference"/>
          <w:noProof/>
        </w:rPr>
        <w:footnoteReference w:id="11"/>
      </w:r>
      <w:r w:rsidR="001E71F7" w:rsidRPr="001766B2">
        <w:rPr>
          <w:noProof/>
        </w:rPr>
        <w:t xml:space="preserve"> ytterligare möjligheter att snabbt mobilisera resurser för att kompensera medlemsstaternas omedelbara budgetkostnader och fastställde en enhetskostnad för att underlätta finansiering av grundläggande behov och stöd till personer som beviljats tillfälligt skydd. </w:t>
      </w:r>
    </w:p>
    <w:p w14:paraId="279730B8" w14:textId="2152F1B0" w:rsidR="00020FF8" w:rsidRPr="001766B2" w:rsidRDefault="0072335B" w:rsidP="0072335B">
      <w:pPr>
        <w:pStyle w:val="ManualConsidrant"/>
        <w:rPr>
          <w:noProof/>
        </w:rPr>
      </w:pPr>
      <w:r w:rsidRPr="0072335B">
        <w:t>(4)</w:t>
      </w:r>
      <w:r w:rsidRPr="0072335B">
        <w:tab/>
      </w:r>
      <w:r w:rsidR="00F36932" w:rsidRPr="001766B2">
        <w:rPr>
          <w:noProof/>
        </w:rPr>
        <w:t xml:space="preserve">Medlemsstaterna bör dock beviljas ytterligare undantag för att göra det möjligt för dem att koncentrera sig på de åtgärder som krävs för att hantera den unika socioekonomiska situationen, med tanke på att den ryska invasionen är så omfattande, särskilt när det gäller insatser för att hantera migrationsutmaningarna till följd av Ryska federationens militära angrepp. </w:t>
      </w:r>
    </w:p>
    <w:p w14:paraId="6E34BDF6" w14:textId="4C1373EC" w:rsidR="00020FF8" w:rsidRPr="001766B2" w:rsidRDefault="0072335B" w:rsidP="0072335B">
      <w:pPr>
        <w:pStyle w:val="ManualConsidrant"/>
        <w:rPr>
          <w:noProof/>
        </w:rPr>
      </w:pPr>
      <w:r w:rsidRPr="0072335B">
        <w:t>(5)</w:t>
      </w:r>
      <w:r w:rsidRPr="0072335B">
        <w:tab/>
      </w:r>
      <w:r w:rsidR="00D06C6A" w:rsidRPr="001766B2">
        <w:rPr>
          <w:noProof/>
        </w:rPr>
        <w:t xml:space="preserve">Med tanke på de ytterligare påfrestningar på de offentliga budgetarna som orsakas det ryska militära angreppet bör den flexibilitet i användningen av Eruf och ESF som föreskrivs i artikel 98.4 i förordning (EU) nr 1303/2013 för sådana insatser utvidgas till att även omfatta Sammanhållningsfonden, så att dess medel också kan användas för att stödja insatser som faller inom tillämpningsområdet för Eruf eller ESF i enlighet med de regler som gäller för dessa fonder. Dessutom är det lämpligt att utvidga de förenklade övervakningskraven enligt artikel 98.4 i förordning (EU) nr 1303/2013 till att omfatta insatser som stöds av ESF och som avser migrationsutmaningar, om insatserna planeras inom ett prioriterat område och endast inriktas på denna utmaning. Vidare bör det införas en möjlighet att prioriteringar som främjar den socioekonomiska integrationen av tredjelandsmedborgare, inbegripet de som är avsedda för insatser för att hantera migrationsutmaningar till följd av Rysslands angrepp, omfattas av en medfinansieringsgrad på upp till 100 % under båda programperioderna, i syfte att hjälpa medlemsstaterna att hantera fördrivna personer både nu och i framtiden. På samma sätt bör beloppet för enhetskostnaden för att underlätta finansieringen av grundläggande behov och stöd till flyktingar höjas och tillämpningstiden förlängas. </w:t>
      </w:r>
    </w:p>
    <w:p w14:paraId="78686C44" w14:textId="32784C4A" w:rsidR="00821190" w:rsidRPr="001766B2" w:rsidRDefault="0072335B" w:rsidP="0072335B">
      <w:pPr>
        <w:pStyle w:val="ManualConsidrant"/>
        <w:rPr>
          <w:noProof/>
        </w:rPr>
      </w:pPr>
      <w:r w:rsidRPr="0072335B">
        <w:t>(6)</w:t>
      </w:r>
      <w:r w:rsidRPr="0072335B">
        <w:tab/>
      </w:r>
      <w:r w:rsidR="00D06C6A" w:rsidRPr="001766B2">
        <w:rPr>
          <w:noProof/>
        </w:rPr>
        <w:t>Dessutom har fastställandet av startdatumet för stödberättigande den 24 februari 2022 för insatser för att hantera migrationsutmaningar till följd av det ryska militära angreppet inte visat sig vara tillräckligt för att säkerställa att alla relevanta insatser som tar itu med dessa utmaningar kan stödjas av fonderna. Det är därför lämpligt att undantagsvis tillåta att sådana insatser väljs ut före godkännandet av en relaterad programändring och att låta utgifterna vara stödberättigande för insatser som fysiskt slutförs eller genomförs fullt ut, bland annat genom att flexibiliteten utvidgas till att omfatta insatser som får stöd från EHFF för att hantera konsekvenserna för fiskeri- och vattenbrukssektorn till följd av det ryska angreppet. Med tanke på den begränsade finansiering som finns tillgänglig i de mest drabbade regionerna bör det dessutom vara möjligt att stödja sådana insatser utanför programområdets gränser i en viss medlemsstat, med tanke på att situationen med personer som flyr undan det ryska angreppet och rör sig inom och mellan medlemsstater utgör en utmaning för den ekonomiska, sociala och territoriella sammanhållningen i unionen som helhet. Sådana insatser bör därför vara stödberättigande oavsett var de genomförs i en viss medlemsstat, eftersom deras lokalisering trots allt inte är ett avgörande kriterium när de omedelbara behoven tillgodoses.</w:t>
      </w:r>
    </w:p>
    <w:p w14:paraId="590E6E1A" w14:textId="0D55DFD3" w:rsidR="00E8243D" w:rsidRPr="001766B2" w:rsidRDefault="0072335B" w:rsidP="0072335B">
      <w:pPr>
        <w:pStyle w:val="ManualConsidrant"/>
        <w:rPr>
          <w:noProof/>
        </w:rPr>
      </w:pPr>
      <w:r w:rsidRPr="0072335B">
        <w:t>(7)</w:t>
      </w:r>
      <w:r w:rsidRPr="0072335B">
        <w:tab/>
      </w:r>
      <w:r w:rsidR="00E8243D" w:rsidRPr="001766B2">
        <w:rPr>
          <w:noProof/>
        </w:rPr>
        <w:t xml:space="preserve">Med tanke på den höga bördan för att ta itu med migrationsutmaningarna till följd av det ryska militära angreppet, som har drabbat lokala myndigheter och civilsamhällesorganisationer som är verksamma i lokalsamhällen, bör en lägsta stödnivå på 30 % avsättas för sådana organ inom ramen för de resurser som används för att stödja insatser inom Eruf eller ESF i enlighet med artikel 98.4 första och andra styckena i förordning (EU) nr 1303/2013. </w:t>
      </w:r>
    </w:p>
    <w:p w14:paraId="19A2CFF6" w14:textId="502DEFD0" w:rsidR="00F36932" w:rsidRPr="001766B2" w:rsidRDefault="0072335B" w:rsidP="0072335B">
      <w:pPr>
        <w:pStyle w:val="ManualConsidrant"/>
        <w:rPr>
          <w:noProof/>
        </w:rPr>
      </w:pPr>
      <w:r w:rsidRPr="0072335B">
        <w:t>(8)</w:t>
      </w:r>
      <w:r w:rsidRPr="0072335B">
        <w:tab/>
      </w:r>
      <w:r w:rsidR="00F37942" w:rsidRPr="001766B2">
        <w:rPr>
          <w:noProof/>
        </w:rPr>
        <w:t xml:space="preserve">För att minska den administrativa bördan för medlemsstaterna och ta hänsyn till de föränderliga behoven och efterlevnaden av de finansiella anslagen i ett operativt program, bör en allmän åtgärd som undanröjer behovet av en formell ändring av ett operativt program under programperioden 2014–2020 vidtas för att möjliggöra överföringar mellan tematiska mål inom en prioritering för samma fond och regionkategori. </w:t>
      </w:r>
    </w:p>
    <w:p w14:paraId="1610D527" w14:textId="058EBE7A" w:rsidR="00C35C28" w:rsidRPr="001766B2" w:rsidRDefault="0072335B" w:rsidP="0072335B">
      <w:pPr>
        <w:pStyle w:val="ManualConsidrant"/>
        <w:rPr>
          <w:noProof/>
        </w:rPr>
      </w:pPr>
      <w:r w:rsidRPr="0072335B">
        <w:t>(9)</w:t>
      </w:r>
      <w:r w:rsidRPr="0072335B">
        <w:tab/>
      </w:r>
      <w:r w:rsidR="003C0C5B" w:rsidRPr="001766B2">
        <w:rPr>
          <w:noProof/>
        </w:rPr>
        <w:t>För att optimera användningen av anslagen för 2014–2020 i samband med avslutandet av program under programperioden 2014–2020 bör man även höja taket för flexibilitet mellan prioriteringarna vid beräkningen av slutsaldot av bidraget från fonderna.</w:t>
      </w:r>
    </w:p>
    <w:p w14:paraId="1ECE0945" w14:textId="0A9B5EC1" w:rsidR="00911BF5" w:rsidRPr="001766B2" w:rsidRDefault="0072335B" w:rsidP="0072335B">
      <w:pPr>
        <w:pStyle w:val="ManualConsidrant"/>
        <w:rPr>
          <w:noProof/>
        </w:rPr>
      </w:pPr>
      <w:r w:rsidRPr="0072335B">
        <w:t>(10)</w:t>
      </w:r>
      <w:r w:rsidRPr="0072335B">
        <w:tab/>
      </w:r>
      <w:r w:rsidR="00F677CA" w:rsidRPr="001766B2">
        <w:rPr>
          <w:noProof/>
        </w:rPr>
        <w:t>För att hantera den unika situationen bör man också föreskriva en viss flexibilitet i den rättsliga ram som styr programmen under programperioden 2021–2027. För att minska belastningen på de nationella budgetarna bör förfinansieringsbetalningarna för program inom målet Investeringar för sysselsättning och tillväxt ökas. Med tanke på de utmaningar som tvångsfördrivningar av personer innebär och de integrerade insatser som krävs av medlemsstaterna bör en medfinansieringsgrad på 100 % för den prioriteringen vara möjlig till och med den 30 juni 2024, förutsatt att en lämplig stödnivå riktas till lokala myndigheter och civilsamhällesorganisationer som är verksamma i lokalsamhällen och att det totala belopp som planerats för sådana prioriteringar i en medlemsstat inte överstiger 5 % av det ursprungliga nationella anslaget från Eruf och ESF+, om en medlemsstat inom ramen för ett av sina sammanhållningsprogram 2021–2027 prioriterar insatser för att stödja insatser som främjar den socioekonomiska integrationen av tredjelandsmedborgare. Detta påverkar inte medlemsstaternas möjlighet att planera ytterligare belopp för sådana prioriteringar med sedvanliga medfinansieringsgrader. Med tanke på de avbrott i slutet av programperioden 2014–2020 som det ryska militära angreppet orsakade, och som kommer utöver pandemins långvariga konsekvenser för projektgenomförandet och fortsatta störningar i värdekedjorna, bör ytterligare flexibilitet också ges för att möjliggöra direkt beviljande av stöd och slutförande av insatser där man påbörjat genomförandet i enlighet med lagstiftningen för 2014–2020 före detta förslags datum, även om sådana insatser inte skulle omfattas av tillämpningsområdet för motsvarande fond under programperioden 2021–2027, med undantag för fall där fonderna användes enligt artikel 98.4 första eller andra stycket i förordning (EU) nr 1303/2013. För att säkerställa att sådana insatser kan hänföras till interventionstyper bör bilaga I till Europaparlamentets och rådets förordning (EU) 2021/1060</w:t>
      </w:r>
      <w:r w:rsidR="00F677CA" w:rsidRPr="001766B2">
        <w:rPr>
          <w:rStyle w:val="FootnoteReference"/>
          <w:noProof/>
        </w:rPr>
        <w:footnoteReference w:id="12"/>
      </w:r>
      <w:r w:rsidR="00F677CA" w:rsidRPr="001766B2">
        <w:rPr>
          <w:noProof/>
        </w:rPr>
        <w:t xml:space="preserve"> anpassas i enlighet med detta. Stöd till sådana insatser bör inte påverka medlemsstaternas skyldigheter att uppfylla kraven på tematisk koncentration och klimatbidragsmålen.</w:t>
      </w:r>
    </w:p>
    <w:p w14:paraId="61465636" w14:textId="1436850F" w:rsidR="00C1332E" w:rsidRPr="001766B2" w:rsidRDefault="0072335B" w:rsidP="0072335B">
      <w:pPr>
        <w:pStyle w:val="ManualConsidrant"/>
        <w:rPr>
          <w:noProof/>
        </w:rPr>
      </w:pPr>
      <w:r w:rsidRPr="0072335B">
        <w:t>(11)</w:t>
      </w:r>
      <w:r w:rsidRPr="0072335B">
        <w:tab/>
      </w:r>
      <w:r w:rsidR="00586D7D" w:rsidRPr="001766B2">
        <w:rPr>
          <w:noProof/>
        </w:rPr>
        <w:t>Eftersom målet för denna förordning, nämligen att hjälpa medlemsstaterna att hantera de utmaningar som det innebär när exceptionellt många människor anländer efter att ha flytt undan det ryska militära angreppet mot Ukraina och för att stödja medlemsstaternas fortsatta arbete för en resilient ekonomisk återhämtning från covid-19-pandemin, inte i tillräcklig utsträckning kan uppnås av medlemsstaterna, utan snarare, på grund av åtgärdens omfattning och verkningar, kan uppnås bättre på unionsnivå, kan unionen vidta åtgärder i enlighet med subsidiaritetsprincipen i artikel 5 i fördraget om Europeiska unionen (EU-fördraget). I enlighet med proportionalitetsprincipen i samma artikel går denna förordning inte utöver vad som är nödvändigt för att uppnå dessa mål.</w:t>
      </w:r>
    </w:p>
    <w:p w14:paraId="62662DA8" w14:textId="6388DA95" w:rsidR="00C1332E" w:rsidRPr="001766B2" w:rsidRDefault="0072335B" w:rsidP="0072335B">
      <w:pPr>
        <w:pStyle w:val="ManualConsidrant"/>
        <w:rPr>
          <w:noProof/>
        </w:rPr>
      </w:pPr>
      <w:r w:rsidRPr="0072335B">
        <w:t>(12)</w:t>
      </w:r>
      <w:r w:rsidRPr="0072335B">
        <w:tab/>
      </w:r>
      <w:r w:rsidR="00586D7D" w:rsidRPr="001766B2">
        <w:rPr>
          <w:noProof/>
        </w:rPr>
        <w:t>Förordningarna (EU) nr 1303/2013 och (EU) 2021/1060 bör därför ändras i enlighet med detta.</w:t>
      </w:r>
    </w:p>
    <w:p w14:paraId="04F27049" w14:textId="23432FAE" w:rsidR="00E2601F" w:rsidRPr="001766B2" w:rsidRDefault="0072335B" w:rsidP="0072335B">
      <w:pPr>
        <w:pStyle w:val="ManualConsidrant"/>
        <w:rPr>
          <w:noProof/>
        </w:rPr>
      </w:pPr>
      <w:r w:rsidRPr="0072335B">
        <w:t>(13)</w:t>
      </w:r>
      <w:r w:rsidRPr="0072335B">
        <w:tab/>
      </w:r>
      <w:r w:rsidR="00E2601F" w:rsidRPr="001766B2">
        <w:rPr>
          <w:noProof/>
        </w:rPr>
        <w:t>Med beaktande det brådskande behovet av att stödja de offentliga budgetarna, så att medlemsstaterna kan fortsätta att stödja den ekonomiska återhämtningen anses det lämpligt att åberopa det undantag från tidsfristen på åtta veckor som föreskrivs i artikel 4 i protokoll nr 1 om de nationella parlamentens roll i Europeiska unionen, fogat till EU-fördraget, fördraget om Europeiska unionens funktionssätt och fördraget om upprättandet av Europeiska atomenergigemenskapen.</w:t>
      </w:r>
    </w:p>
    <w:p w14:paraId="63CA435C" w14:textId="6FAEE2E4" w:rsidR="00C1332E" w:rsidRPr="001766B2" w:rsidRDefault="0072335B" w:rsidP="0072335B">
      <w:pPr>
        <w:pStyle w:val="ManualConsidrant"/>
        <w:rPr>
          <w:noProof/>
        </w:rPr>
      </w:pPr>
      <w:r w:rsidRPr="0072335B">
        <w:t>(14)</w:t>
      </w:r>
      <w:r w:rsidRPr="0072335B">
        <w:tab/>
      </w:r>
      <w:r w:rsidR="00E2601F" w:rsidRPr="001766B2">
        <w:rPr>
          <w:noProof/>
        </w:rPr>
        <w:t xml:space="preserve">Med tanke på behovet av att snabbt stödja de offentliga budgetarna i syfte att bevara medlemsstaternas kapacitet att upprätthålla den ekonomiska återhämtningen samt möjliggöra snabb planering av etappindelningen av verksamheten under programperioden 2021–2027, bör denna förordning av brådskande skäl träda i kraft dagen efter det att den har offentliggjorts i </w:t>
      </w:r>
      <w:r w:rsidR="00E2601F" w:rsidRPr="001766B2">
        <w:rPr>
          <w:i/>
          <w:noProof/>
        </w:rPr>
        <w:t>Europeiska unionens officiella tidning</w:t>
      </w:r>
      <w:r w:rsidR="00E2601F" w:rsidRPr="001766B2">
        <w:rPr>
          <w:noProof/>
        </w:rPr>
        <w:t>.</w:t>
      </w:r>
    </w:p>
    <w:p w14:paraId="61870C04" w14:textId="77777777" w:rsidR="00C1332E" w:rsidRPr="001766B2" w:rsidRDefault="00586D7D">
      <w:pPr>
        <w:pStyle w:val="Formuledadoption"/>
        <w:rPr>
          <w:noProof/>
        </w:rPr>
      </w:pPr>
      <w:r w:rsidRPr="001766B2">
        <w:rPr>
          <w:noProof/>
        </w:rPr>
        <w:t>HÄRIGENOM FÖRESKRIVS FÖLJANDE.</w:t>
      </w:r>
    </w:p>
    <w:p w14:paraId="14E4EF5D" w14:textId="77777777" w:rsidR="00C1332E" w:rsidRPr="001766B2" w:rsidRDefault="00586D7D">
      <w:pPr>
        <w:pStyle w:val="Titrearticle"/>
        <w:rPr>
          <w:noProof/>
        </w:rPr>
      </w:pPr>
      <w:r w:rsidRPr="001766B2">
        <w:rPr>
          <w:noProof/>
        </w:rPr>
        <w:t>Artikel 1</w:t>
      </w:r>
    </w:p>
    <w:p w14:paraId="2DBF8A91" w14:textId="77777777" w:rsidR="00C71348" w:rsidRPr="001766B2" w:rsidRDefault="00C71348" w:rsidP="00C71348">
      <w:pPr>
        <w:jc w:val="center"/>
        <w:rPr>
          <w:b/>
          <w:noProof/>
        </w:rPr>
      </w:pPr>
      <w:r w:rsidRPr="001766B2">
        <w:rPr>
          <w:b/>
          <w:noProof/>
        </w:rPr>
        <w:t>Ändringar av förordning (EU) nr 1303/2013</w:t>
      </w:r>
    </w:p>
    <w:p w14:paraId="2833B6F7" w14:textId="77777777" w:rsidR="00396995" w:rsidRPr="001766B2" w:rsidRDefault="00396995" w:rsidP="00396995">
      <w:pPr>
        <w:jc w:val="left"/>
        <w:rPr>
          <w:noProof/>
        </w:rPr>
      </w:pPr>
      <w:r w:rsidRPr="001766B2">
        <w:rPr>
          <w:noProof/>
        </w:rPr>
        <w:t>Förordning (EU) nr 1303/2013 ska ändras på följande sätt:</w:t>
      </w:r>
    </w:p>
    <w:p w14:paraId="62FEF6D9" w14:textId="77777777" w:rsidR="00E220EC" w:rsidRPr="001766B2" w:rsidRDefault="00E220EC" w:rsidP="00E220EC">
      <w:pPr>
        <w:pStyle w:val="Point0"/>
        <w:rPr>
          <w:noProof/>
        </w:rPr>
      </w:pPr>
      <w:r w:rsidRPr="001766B2">
        <w:rPr>
          <w:noProof/>
        </w:rPr>
        <w:t>1)</w:t>
      </w:r>
      <w:r w:rsidRPr="001766B2">
        <w:rPr>
          <w:noProof/>
        </w:rPr>
        <w:tab/>
        <w:t xml:space="preserve">I artikel 30 ska följande punkter läggas till: </w:t>
      </w:r>
    </w:p>
    <w:p w14:paraId="6A50C9DB" w14:textId="77777777" w:rsidR="00E220EC" w:rsidRPr="001766B2" w:rsidRDefault="00E220EC" w:rsidP="003E0E5F">
      <w:pPr>
        <w:pStyle w:val="Text1"/>
        <w:rPr>
          <w:noProof/>
        </w:rPr>
      </w:pPr>
      <w:r w:rsidRPr="001766B2">
        <w:rPr>
          <w:noProof/>
        </w:rPr>
        <w:t xml:space="preserve">”6. Genom undantag från punkterna 1 och 2 får medlemsstaten, för program som får stöd från Eruf, ESF eller Sammanhållningsfonden, överföra anslag mellan olika tematiska mål inom samma prioritering för samma fond och regionkategori inom samma program. </w:t>
      </w:r>
    </w:p>
    <w:p w14:paraId="385CCD65" w14:textId="77777777" w:rsidR="004700C1" w:rsidRPr="001766B2" w:rsidRDefault="00E220EC" w:rsidP="003E0E5F">
      <w:pPr>
        <w:pStyle w:val="Text1"/>
        <w:rPr>
          <w:noProof/>
        </w:rPr>
      </w:pPr>
      <w:r w:rsidRPr="001766B2">
        <w:rPr>
          <w:noProof/>
        </w:rPr>
        <w:t>Sådana överföringar ska anses vara av mindre betydelse och ska inte kräva något beslut av kommissionen om ändring av programmet. De måste dock uppfylla alla lagstadgade krav och godkännas av övervakningskommittén i förväg. Medlemsstaten ska anmäla de reviderade finansiella tabellerna till kommissionen.</w:t>
      </w:r>
    </w:p>
    <w:p w14:paraId="5B4078AD" w14:textId="77777777" w:rsidR="00E220EC" w:rsidRPr="001766B2" w:rsidRDefault="004700C1" w:rsidP="003E0E5F">
      <w:pPr>
        <w:pStyle w:val="Text1"/>
        <w:rPr>
          <w:noProof/>
        </w:rPr>
      </w:pPr>
      <w:r w:rsidRPr="001766B2">
        <w:rPr>
          <w:noProof/>
        </w:rPr>
        <w:t xml:space="preserve">7. Genom undantag från punkterna 1 och 2 ska tillämpningen av en medfinansieringsgrad på upp till 100 % enligt artikel 120.9 på ett prioriterat område som främjar den socioekonomiska integrationen av tredjelandsmedborgare som har inrättats inom ett program, inbegripet sådana som är avsedda för insatser för att hantera migrationsutmaningar till följd av Ryska federationens militära angrepp, inte kräva ett beslut av kommissionen om ändring av programmet. Ändringen ska godkännas av övervakningskommittén i förväg. Medlemsstaten ska anmäla de reviderade finansiella tabellerna till kommissionen.” </w:t>
      </w:r>
    </w:p>
    <w:p w14:paraId="53626EA5" w14:textId="77777777" w:rsidR="0000018F" w:rsidRPr="001766B2" w:rsidRDefault="0000018F" w:rsidP="00E8673D">
      <w:pPr>
        <w:pStyle w:val="Point0"/>
        <w:rPr>
          <w:noProof/>
        </w:rPr>
      </w:pPr>
      <w:r w:rsidRPr="001766B2">
        <w:rPr>
          <w:noProof/>
        </w:rPr>
        <w:t>2)</w:t>
      </w:r>
      <w:r w:rsidRPr="001766B2">
        <w:rPr>
          <w:noProof/>
        </w:rPr>
        <w:tab/>
        <w:t xml:space="preserve">I artikel 65 ska följande punkt införas: </w:t>
      </w:r>
    </w:p>
    <w:p w14:paraId="023B9C11" w14:textId="3BDE3308" w:rsidR="0000018F" w:rsidRPr="001766B2" w:rsidRDefault="0000018F" w:rsidP="003E0E5F">
      <w:pPr>
        <w:pStyle w:val="Text1"/>
        <w:rPr>
          <w:noProof/>
        </w:rPr>
      </w:pPr>
      <w:r w:rsidRPr="001766B2">
        <w:rPr>
          <w:noProof/>
        </w:rPr>
        <w:t xml:space="preserve">”10a. Punkt 6 ska inte tillämpas på insatser för att hantera migrationsutmaningar till följd av Ryska federationens militära angrepp. </w:t>
      </w:r>
    </w:p>
    <w:p w14:paraId="22BEA765" w14:textId="52CCF0CD" w:rsidR="003D2470" w:rsidRPr="001766B2" w:rsidRDefault="003D2470" w:rsidP="003D2470">
      <w:pPr>
        <w:pStyle w:val="Text1"/>
        <w:rPr>
          <w:noProof/>
        </w:rPr>
      </w:pPr>
      <w:r w:rsidRPr="001766B2">
        <w:rPr>
          <w:noProof/>
        </w:rPr>
        <w:t>Punkt 6 ska inte heller tillämpas på insatser som får stöd från EHFF och som hanterar det angreppets konsekvenser för fiskeri- och vattenbrukssektorn.</w:t>
      </w:r>
    </w:p>
    <w:p w14:paraId="43DEEFC6" w14:textId="4E2781FD" w:rsidR="0000018F" w:rsidRPr="001766B2" w:rsidRDefault="0000018F" w:rsidP="003E0E5F">
      <w:pPr>
        <w:pStyle w:val="Text1"/>
        <w:rPr>
          <w:noProof/>
        </w:rPr>
      </w:pPr>
      <w:r w:rsidRPr="001766B2">
        <w:rPr>
          <w:noProof/>
        </w:rPr>
        <w:t>Genom undantag från artikel 125.3 b får sådana insatser väljas ut för stöd från Eruf, ESF, Sammanhållningsfonden eller EHFF innan det ändrade programmet godkänns.”</w:t>
      </w:r>
    </w:p>
    <w:p w14:paraId="5AA1503A" w14:textId="77777777" w:rsidR="00BB305B" w:rsidRPr="001766B2" w:rsidRDefault="00BB305B" w:rsidP="00BB305B">
      <w:pPr>
        <w:pStyle w:val="Point0"/>
        <w:tabs>
          <w:tab w:val="left" w:pos="851"/>
        </w:tabs>
        <w:rPr>
          <w:noProof/>
        </w:rPr>
      </w:pPr>
      <w:r w:rsidRPr="001766B2">
        <w:rPr>
          <w:noProof/>
        </w:rPr>
        <w:t>3)</w:t>
      </w:r>
      <w:r w:rsidRPr="001766B2">
        <w:rPr>
          <w:noProof/>
        </w:rPr>
        <w:tab/>
        <w:t xml:space="preserve">I artikel 68c ska första stycket ersättas med följande:  </w:t>
      </w:r>
    </w:p>
    <w:p w14:paraId="798FB4FB" w14:textId="30A8BC80" w:rsidR="00BB305B" w:rsidRPr="001766B2" w:rsidRDefault="00BB305B" w:rsidP="003E0E5F">
      <w:pPr>
        <w:pStyle w:val="Text1"/>
        <w:rPr>
          <w:noProof/>
        </w:rPr>
      </w:pPr>
      <w:r w:rsidRPr="001766B2">
        <w:rPr>
          <w:noProof/>
        </w:rPr>
        <w:t>”Med avseende på genomförandet av insatser för att hantera migrationsutmaningar till följd av Ryska federationens militära angrepp får medlemsstaterna i de utgifter som deklareras i betalningsansökningarna inkludera en enhetskostnad kopplad till grundläggande behov och stöd för personer som beviljats tillfälligt skydd eller annat tillräckligt skydd enligt nationell rätt i enlighet med rådets genomförandebeslut (EU) 2022/382</w:t>
      </w:r>
      <w:r w:rsidRPr="001766B2">
        <w:rPr>
          <w:rStyle w:val="FootnoteReference"/>
          <w:noProof/>
        </w:rPr>
        <w:footnoteReference w:id="13"/>
      </w:r>
      <w:r w:rsidRPr="001766B2">
        <w:rPr>
          <w:noProof/>
        </w:rPr>
        <w:t xml:space="preserve"> och rådets direktiv 2001/55/EG</w:t>
      </w:r>
      <w:r w:rsidRPr="001766B2">
        <w:rPr>
          <w:rStyle w:val="FootnoteReference"/>
          <w:noProof/>
        </w:rPr>
        <w:footnoteReference w:id="14"/>
      </w:r>
      <w:r w:rsidRPr="001766B2">
        <w:rPr>
          <w:noProof/>
        </w:rPr>
        <w:t>. Denna enhetskostnad ska vara 100 EUR per vecka för varje hel vecka eller del av vecka som en person befinner sig i den berörda medlemsstaten. Enhetskostnaden får användas i högst 26 veckor, räknat från dagen för personens ankomst till unionen.”</w:t>
      </w:r>
    </w:p>
    <w:p w14:paraId="191F0150" w14:textId="77777777" w:rsidR="00F27244" w:rsidRPr="001766B2" w:rsidRDefault="00F27244" w:rsidP="00F37942">
      <w:pPr>
        <w:pStyle w:val="Point0"/>
        <w:ind w:left="0" w:firstLine="1"/>
        <w:rPr>
          <w:noProof/>
        </w:rPr>
      </w:pPr>
      <w:r w:rsidRPr="001766B2">
        <w:rPr>
          <w:noProof/>
        </w:rPr>
        <w:t>4)</w:t>
      </w:r>
      <w:r w:rsidRPr="001766B2">
        <w:rPr>
          <w:noProof/>
        </w:rPr>
        <w:tab/>
        <w:t>I artikel 70.2 ska följande stycke läggas till:</w:t>
      </w:r>
    </w:p>
    <w:p w14:paraId="558224EA" w14:textId="77777777" w:rsidR="00F27244" w:rsidRPr="001766B2" w:rsidRDefault="00111C25" w:rsidP="00925880">
      <w:pPr>
        <w:pStyle w:val="Text1"/>
        <w:rPr>
          <w:noProof/>
        </w:rPr>
      </w:pPr>
      <w:r w:rsidRPr="001766B2">
        <w:rPr>
          <w:noProof/>
        </w:rPr>
        <w:t>”Om insatser som får stöd från Eruf, ESF eller Sammanhållningsfonden för att hantera migrationsutmaningar till följd av Ryska federationens militära angrepp genomförs utanför programområdet men inom medlemsstaten, ska endast led d i första stycket tillämpas.”</w:t>
      </w:r>
    </w:p>
    <w:p w14:paraId="7CCF1074" w14:textId="77777777" w:rsidR="00C3178C" w:rsidRPr="001766B2" w:rsidRDefault="00C93451" w:rsidP="0054591C">
      <w:pPr>
        <w:pStyle w:val="Point0"/>
        <w:tabs>
          <w:tab w:val="left" w:pos="851"/>
        </w:tabs>
        <w:ind w:left="0" w:firstLine="0"/>
        <w:rPr>
          <w:noProof/>
        </w:rPr>
      </w:pPr>
      <w:r w:rsidRPr="001766B2">
        <w:rPr>
          <w:noProof/>
        </w:rPr>
        <w:t>5)</w:t>
      </w:r>
      <w:r w:rsidRPr="001766B2">
        <w:rPr>
          <w:noProof/>
        </w:rPr>
        <w:tab/>
        <w:t xml:space="preserve">Artikel 70.4 ska ersättas med följande: </w:t>
      </w:r>
    </w:p>
    <w:p w14:paraId="2EB71E1D" w14:textId="77777777" w:rsidR="00C3178C" w:rsidRPr="001766B2" w:rsidRDefault="00C3178C" w:rsidP="00C3178C">
      <w:pPr>
        <w:pStyle w:val="Text1"/>
        <w:rPr>
          <w:noProof/>
        </w:rPr>
      </w:pPr>
      <w:r w:rsidRPr="001766B2">
        <w:rPr>
          <w:noProof/>
        </w:rPr>
        <w:t>”4. Punkterna 1, 2 och 3 ska inte gälla för programmen inom målet Europeiskt territoriellt samarbete. Punkterna 2 och 3 ska inte tillämpas på insatser som får stöd från ESF, med undantag för punkt 2 sista stycket.”</w:t>
      </w:r>
    </w:p>
    <w:p w14:paraId="420B0EA2" w14:textId="77777777" w:rsidR="0054591C" w:rsidRPr="001766B2" w:rsidRDefault="00C3178C" w:rsidP="0054591C">
      <w:pPr>
        <w:pStyle w:val="Point0"/>
        <w:tabs>
          <w:tab w:val="left" w:pos="851"/>
        </w:tabs>
        <w:ind w:left="0" w:firstLine="0"/>
        <w:rPr>
          <w:noProof/>
        </w:rPr>
      </w:pPr>
      <w:r w:rsidRPr="001766B2">
        <w:rPr>
          <w:noProof/>
        </w:rPr>
        <w:t>6)</w:t>
      </w:r>
      <w:r w:rsidRPr="001766B2">
        <w:rPr>
          <w:noProof/>
        </w:rPr>
        <w:tab/>
        <w:t xml:space="preserve">Artikel 96.10 första stycket ska ersättas med följande: </w:t>
      </w:r>
    </w:p>
    <w:p w14:paraId="3D3D3D5C" w14:textId="77777777" w:rsidR="0054591C" w:rsidRPr="001766B2" w:rsidRDefault="0054591C" w:rsidP="003E0E5F">
      <w:pPr>
        <w:pStyle w:val="Text1"/>
        <w:rPr>
          <w:noProof/>
        </w:rPr>
      </w:pPr>
      <w:r w:rsidRPr="001766B2">
        <w:rPr>
          <w:noProof/>
        </w:rPr>
        <w:t>”10. Utan att det påverkar tillämpningen av artikel 30.5, 30.6 och 30.7 ska kommissionen genom en genomförandeakt anta ett beslut om godkännande av alla delar, inbegripet eventuella framtida ändringar, av det operativa programmet som omfattas av denna artikel, utom de som omfattas av punkt 2 första stycket b vi, c v och e och punkterna 4, 5, 6 a och c och 7, för vilka medlemsstaterna förblir ansvariga.”</w:t>
      </w:r>
    </w:p>
    <w:p w14:paraId="7167CA76" w14:textId="77777777" w:rsidR="00C3178C" w:rsidRPr="001766B2" w:rsidRDefault="004E43DD" w:rsidP="0000018F">
      <w:pPr>
        <w:pStyle w:val="Point0"/>
        <w:rPr>
          <w:noProof/>
        </w:rPr>
      </w:pPr>
      <w:r w:rsidRPr="001766B2">
        <w:rPr>
          <w:noProof/>
        </w:rPr>
        <w:t>7)</w:t>
      </w:r>
      <w:r w:rsidRPr="001766B2">
        <w:rPr>
          <w:noProof/>
        </w:rPr>
        <w:tab/>
        <w:t>I artikel 98 ska punkt 4 ändras på följande sätt:</w:t>
      </w:r>
    </w:p>
    <w:p w14:paraId="35CEFB1E" w14:textId="77777777" w:rsidR="00E45329" w:rsidRPr="001766B2" w:rsidRDefault="00C3178C" w:rsidP="00C3178C">
      <w:pPr>
        <w:pStyle w:val="Text1"/>
        <w:rPr>
          <w:noProof/>
        </w:rPr>
      </w:pPr>
      <w:r w:rsidRPr="001766B2">
        <w:rPr>
          <w:noProof/>
        </w:rPr>
        <w:t xml:space="preserve">a) Följande stycke ska införas efter första stycket: </w:t>
      </w:r>
    </w:p>
    <w:p w14:paraId="60847740" w14:textId="77777777" w:rsidR="00601839" w:rsidRPr="001766B2" w:rsidRDefault="00E45329" w:rsidP="00654E80">
      <w:pPr>
        <w:pStyle w:val="Text1"/>
        <w:rPr>
          <w:noProof/>
        </w:rPr>
      </w:pPr>
      <w:r w:rsidRPr="001766B2">
        <w:rPr>
          <w:noProof/>
        </w:rPr>
        <w:t>”Dessutom får sådana insatser också finansieras av Sammanhållningsfonden på grundval av bestämmelser som är tillämpliga på antingen Eruf eller ESF.”</w:t>
      </w:r>
    </w:p>
    <w:p w14:paraId="54DFCBC8" w14:textId="77777777" w:rsidR="00215403" w:rsidRPr="001766B2" w:rsidRDefault="00C3178C" w:rsidP="00C3178C">
      <w:pPr>
        <w:pStyle w:val="Text1"/>
        <w:rPr>
          <w:noProof/>
        </w:rPr>
      </w:pPr>
      <w:r w:rsidRPr="001766B2">
        <w:rPr>
          <w:noProof/>
        </w:rPr>
        <w:t>b) Följande stycke ska läggas till efter andra stycket:</w:t>
      </w:r>
    </w:p>
    <w:p w14:paraId="2899A953" w14:textId="5CB2A0BF" w:rsidR="00215403" w:rsidRPr="001766B2" w:rsidRDefault="00215403" w:rsidP="00654E80">
      <w:pPr>
        <w:pStyle w:val="Text1"/>
        <w:rPr>
          <w:noProof/>
        </w:rPr>
      </w:pPr>
      <w:r w:rsidRPr="001766B2">
        <w:rPr>
          <w:noProof/>
        </w:rPr>
        <w:t>”Om den möjlighet som anges i första eller andra stycket utnyttjas för ett särskilt prioriterat område, ska minst 30 % av anslaget för det prioriterade området tilldelas insatser där stödmottagare är lokala myndigheter och civilsamhällesorganisationer som är verksamma i lokalsamhällen. Medlemsstaterna ska rapportera om uppfyllandet av detta villkor i den slutliga genomföranderapport som krävs enligt artikel 50.1 och artikel 111. Om detta villkor inte är uppfyllt ska ersättningen från kommissionen inom det berörda prioriterade området minskas proportionellt för att säkerställa att detta villkor är uppfyllt vid beräkningen av det slutsaldo som ska betalas till programmet.”</w:t>
      </w:r>
    </w:p>
    <w:p w14:paraId="2A019DAF" w14:textId="77777777" w:rsidR="00EB007E" w:rsidRPr="001766B2" w:rsidRDefault="00C636B9" w:rsidP="002967E3">
      <w:pPr>
        <w:pStyle w:val="Text1"/>
        <w:rPr>
          <w:noProof/>
        </w:rPr>
      </w:pPr>
      <w:r w:rsidRPr="001766B2">
        <w:rPr>
          <w:noProof/>
        </w:rPr>
        <w:t>c) Tredje stycket ska ersättas med följande:</w:t>
      </w:r>
    </w:p>
    <w:p w14:paraId="1B0B15D2" w14:textId="77777777" w:rsidR="00EB007E" w:rsidRPr="001766B2" w:rsidRDefault="0008111C" w:rsidP="002812B3">
      <w:pPr>
        <w:pStyle w:val="Text1"/>
        <w:rPr>
          <w:noProof/>
        </w:rPr>
      </w:pPr>
      <w:r w:rsidRPr="001766B2">
        <w:rPr>
          <w:noProof/>
          <w:color w:val="000000"/>
          <w:shd w:val="clear" w:color="auto" w:fill="FFFFFF"/>
        </w:rPr>
        <w:t>”Om det krävs att uppgifter om deltagare rapporteras för insatser inom det insatsområde som avses i tredje stycket, ska dessa uppgifter baseras på välgrundade uppskattningar och begränsas till det totala antalet personer som får stöd och antalet barn under 18 år. Samma rapporteringskrav ska också gälla för andra prioriterade områden som får stöd från ESF och som endast stöder insatser för att hantera migrationsutmaningar till följd av Ryska federationens militära angrepp.”</w:t>
      </w:r>
    </w:p>
    <w:p w14:paraId="1350EB90" w14:textId="77777777" w:rsidR="00395481" w:rsidRPr="001766B2" w:rsidRDefault="00395481" w:rsidP="003E0E5F">
      <w:pPr>
        <w:pStyle w:val="Point0"/>
        <w:rPr>
          <w:noProof/>
        </w:rPr>
      </w:pPr>
      <w:r w:rsidRPr="001766B2">
        <w:rPr>
          <w:noProof/>
        </w:rPr>
        <w:t>8)</w:t>
      </w:r>
      <w:r w:rsidRPr="001766B2">
        <w:rPr>
          <w:noProof/>
        </w:rPr>
        <w:tab/>
        <w:t>I artikel 120 ska följande punkt läggas till:</w:t>
      </w:r>
    </w:p>
    <w:p w14:paraId="2269B7B9" w14:textId="77777777" w:rsidR="00395481" w:rsidRPr="001766B2" w:rsidRDefault="00395481" w:rsidP="002812B3">
      <w:pPr>
        <w:pStyle w:val="Text1"/>
        <w:rPr>
          <w:noProof/>
        </w:rPr>
      </w:pPr>
      <w:r w:rsidRPr="001766B2">
        <w:rPr>
          <w:noProof/>
        </w:rPr>
        <w:t>”9. Ett separat insatsområde som främjar den socioekonomiska integrationen av tredjelandsmedborgare med en medfinansieringsgrad på upp till 100 % får inrättas inom ett operativt program. Ett sådant prioriterat område får helt och hållet ägnas åt insatser för att hantera migrationsutmaningar till följd av Ryska federationens militära angrepp, inbegripet det särskilda prioriterade område som avses i artikel 98.4 tredje stycket.”</w:t>
      </w:r>
    </w:p>
    <w:p w14:paraId="4CBA07D4" w14:textId="77777777" w:rsidR="00D226DB" w:rsidRPr="001766B2" w:rsidRDefault="00F37942" w:rsidP="00035429">
      <w:pPr>
        <w:pStyle w:val="Point0"/>
        <w:rPr>
          <w:noProof/>
        </w:rPr>
      </w:pPr>
      <w:r w:rsidRPr="001766B2">
        <w:rPr>
          <w:noProof/>
        </w:rPr>
        <w:t>9)</w:t>
      </w:r>
      <w:r w:rsidRPr="001766B2">
        <w:rPr>
          <w:noProof/>
        </w:rPr>
        <w:tab/>
        <w:t>I artikel 130.3 ska första stycket ersättas med följande:</w:t>
      </w:r>
    </w:p>
    <w:p w14:paraId="17CB1EC5" w14:textId="77777777" w:rsidR="00182F8D" w:rsidRPr="001766B2" w:rsidRDefault="00CA5FF3" w:rsidP="00035429">
      <w:pPr>
        <w:pStyle w:val="Text1"/>
        <w:rPr>
          <w:noProof/>
        </w:rPr>
      </w:pPr>
      <w:r w:rsidRPr="001766B2">
        <w:rPr>
          <w:noProof/>
        </w:rPr>
        <w:t>”Genom undantag från punkt 2 får bidraget från fonderna eller EHFF genom slutliga utbetalningar för varje prioritering per fond och per regionkategori under det sista räkenskapsåret inte överstiga bidraget från fonderna eller EHFF med mer än 15 % för varje prioritering per fond och per regionkategori, enligt vad som fastställts i kommissionens beslut om godkännande av det operativa programmet.”</w:t>
      </w:r>
    </w:p>
    <w:p w14:paraId="66681B5E" w14:textId="77777777" w:rsidR="00C71348" w:rsidRPr="001766B2" w:rsidRDefault="00C71348" w:rsidP="00C71348">
      <w:pPr>
        <w:pStyle w:val="Titrearticle"/>
        <w:rPr>
          <w:noProof/>
        </w:rPr>
      </w:pPr>
      <w:r w:rsidRPr="001766B2">
        <w:rPr>
          <w:noProof/>
        </w:rPr>
        <w:t>Artikel 2</w:t>
      </w:r>
    </w:p>
    <w:p w14:paraId="42EEE101" w14:textId="77777777" w:rsidR="00C71348" w:rsidRPr="001766B2" w:rsidRDefault="00C71348" w:rsidP="00C71348">
      <w:pPr>
        <w:jc w:val="center"/>
        <w:rPr>
          <w:b/>
          <w:noProof/>
        </w:rPr>
      </w:pPr>
      <w:r w:rsidRPr="001766B2">
        <w:rPr>
          <w:b/>
          <w:noProof/>
        </w:rPr>
        <w:t>Ändringar av förordning (EU) 2021/1060</w:t>
      </w:r>
    </w:p>
    <w:p w14:paraId="613AC6DE" w14:textId="77777777" w:rsidR="006C2F62" w:rsidRPr="001766B2" w:rsidRDefault="006C2F62" w:rsidP="006C2F62">
      <w:pPr>
        <w:jc w:val="left"/>
        <w:rPr>
          <w:noProof/>
        </w:rPr>
      </w:pPr>
      <w:r w:rsidRPr="001766B2">
        <w:rPr>
          <w:noProof/>
        </w:rPr>
        <w:t>Förordning (EU) 2021/1060 ska ändras på följande sätt:</w:t>
      </w:r>
    </w:p>
    <w:p w14:paraId="26EC14E2" w14:textId="77777777" w:rsidR="00DA3892" w:rsidRPr="001766B2" w:rsidRDefault="00DA3892" w:rsidP="00DA3892">
      <w:pPr>
        <w:pStyle w:val="Text1"/>
        <w:ind w:left="851" w:hanging="851"/>
        <w:rPr>
          <w:noProof/>
        </w:rPr>
      </w:pPr>
      <w:r w:rsidRPr="001766B2">
        <w:rPr>
          <w:noProof/>
        </w:rPr>
        <w:t>1)</w:t>
      </w:r>
      <w:r w:rsidRPr="001766B2">
        <w:rPr>
          <w:noProof/>
        </w:rPr>
        <w:tab/>
        <w:t>I artikel 90.2 ska följande stycke läggas till:</w:t>
      </w:r>
    </w:p>
    <w:p w14:paraId="49E9DA99" w14:textId="77777777" w:rsidR="00DA3892" w:rsidRPr="001766B2" w:rsidRDefault="00DA3892" w:rsidP="00DA3892">
      <w:pPr>
        <w:pStyle w:val="Text1"/>
        <w:ind w:left="851" w:hanging="131"/>
        <w:rPr>
          <w:noProof/>
        </w:rPr>
      </w:pPr>
      <w:r w:rsidRPr="001766B2">
        <w:rPr>
          <w:noProof/>
        </w:rPr>
        <w:t>”En ytterligare förfinansiering på 0,5 % ska betalas ut 2022 omedelbart efter det att denna förordning har trätt i kraft och en ytterligare förfinansiering på 0,5 % ska betalas ut 2023 för program som får stöd från Eruf, ESF+ eller Sammanhållningsfonden inom målet Investering för sysselsättning och tillväxt. Om ett program antas efter den 31 december 2022 ska delbetalningen för 2022 betalas ut det år då programmet antas.”</w:t>
      </w:r>
    </w:p>
    <w:p w14:paraId="2B73F7C6" w14:textId="77777777" w:rsidR="00B832CB" w:rsidRPr="001766B2" w:rsidRDefault="004700C1" w:rsidP="00DA3892">
      <w:pPr>
        <w:pStyle w:val="Point0"/>
        <w:rPr>
          <w:noProof/>
        </w:rPr>
      </w:pPr>
      <w:r w:rsidRPr="001766B2">
        <w:rPr>
          <w:noProof/>
        </w:rPr>
        <w:t>2)</w:t>
      </w:r>
      <w:r w:rsidRPr="001766B2">
        <w:rPr>
          <w:noProof/>
        </w:rPr>
        <w:tab/>
        <w:t xml:space="preserve">I artikel 90.5 ska första stycket ersättas med följande: </w:t>
      </w:r>
    </w:p>
    <w:p w14:paraId="1AF538C1" w14:textId="77777777" w:rsidR="00B832CB" w:rsidRPr="001766B2" w:rsidRDefault="00B832CB" w:rsidP="00301AC6">
      <w:pPr>
        <w:pStyle w:val="Text1"/>
        <w:ind w:left="851"/>
        <w:rPr>
          <w:noProof/>
        </w:rPr>
      </w:pPr>
      <w:r w:rsidRPr="001766B2">
        <w:rPr>
          <w:noProof/>
        </w:rPr>
        <w:t>”5. Det belopp som betalats ut som förfinansiering för åren 2021 och 2022, med undantag för den ytterligare förfinansiering som avses i punkt 2 sista stycket, ska räknas av i kommissionens räkenskaper varje år. Alla andra belopp som betalas ut som förfinansiering ska räknas av i kommissionens räkenskaper senast under det sista räkenskapsåret i enlighet med artikel 100.”</w:t>
      </w:r>
    </w:p>
    <w:p w14:paraId="4C8F0513" w14:textId="77777777" w:rsidR="00215403" w:rsidRPr="001766B2" w:rsidRDefault="00B832CB" w:rsidP="00DA3892">
      <w:pPr>
        <w:pStyle w:val="Point0"/>
        <w:rPr>
          <w:noProof/>
        </w:rPr>
      </w:pPr>
      <w:r w:rsidRPr="001766B2">
        <w:rPr>
          <w:noProof/>
        </w:rPr>
        <w:t>3)</w:t>
      </w:r>
      <w:r w:rsidRPr="001766B2">
        <w:rPr>
          <w:noProof/>
        </w:rPr>
        <w:tab/>
        <w:t xml:space="preserve">I artikel 112 ska följande punkt läggas till: </w:t>
      </w:r>
    </w:p>
    <w:p w14:paraId="25C29640" w14:textId="624FEABB" w:rsidR="00DA3892" w:rsidRPr="001766B2" w:rsidRDefault="00215403" w:rsidP="00215403">
      <w:pPr>
        <w:pStyle w:val="Text1"/>
        <w:ind w:left="851"/>
        <w:rPr>
          <w:noProof/>
        </w:rPr>
      </w:pPr>
      <w:r w:rsidRPr="001766B2">
        <w:rPr>
          <w:noProof/>
        </w:rPr>
        <w:t xml:space="preserve">”7. Om en separat prioritering fastställs inom ett program för att stödja insatser som främjar den socioekonomiska integrationen av tredjelandsmedborgare, ska en medfinansieringsgrad på 100 % tillämpas på utgifter som deklarerats i betalningsansökningar fram till slutet av det räkenskapsår som slutar den 30 juni 2024. Efter det datumet ska den medfinansieringsgrad som anges i programmet i enlighet med de högsta medfinansieringsgrader som anges i punkterna 3 och 4 tillämpas. </w:t>
      </w:r>
    </w:p>
    <w:p w14:paraId="350AE1C1" w14:textId="77777777" w:rsidR="003535D8" w:rsidRPr="001766B2" w:rsidRDefault="003535D8" w:rsidP="003535D8">
      <w:pPr>
        <w:pStyle w:val="Text1"/>
        <w:ind w:left="851"/>
        <w:rPr>
          <w:noProof/>
        </w:rPr>
      </w:pPr>
      <w:r w:rsidRPr="001766B2">
        <w:rPr>
          <w:noProof/>
        </w:rPr>
        <w:t xml:space="preserve">Det totala belopp som planerats för sådana prioriteringar i en medlemsstat får inte överstiga 5 % av det ursprungliga nationella anslaget från Eruf och ESF+ sammantaget. </w:t>
      </w:r>
    </w:p>
    <w:p w14:paraId="7D836E0B" w14:textId="77777777" w:rsidR="00DA3892" w:rsidRPr="001766B2" w:rsidRDefault="00DA3892" w:rsidP="00151187">
      <w:pPr>
        <w:pStyle w:val="Text1"/>
        <w:ind w:left="851"/>
        <w:rPr>
          <w:noProof/>
        </w:rPr>
      </w:pPr>
      <w:r w:rsidRPr="001766B2">
        <w:rPr>
          <w:noProof/>
        </w:rPr>
        <w:t>Kommissionen ska se över medfinansieringsgraden senast den 30 juni 2024.</w:t>
      </w:r>
    </w:p>
    <w:p w14:paraId="3621A065" w14:textId="4BCDB76C" w:rsidR="00DA3892" w:rsidRPr="001766B2" w:rsidRDefault="001B084D" w:rsidP="00DA3892">
      <w:pPr>
        <w:pStyle w:val="Text1"/>
        <w:ind w:left="851"/>
        <w:rPr>
          <w:noProof/>
        </w:rPr>
      </w:pPr>
      <w:r w:rsidRPr="001766B2">
        <w:rPr>
          <w:noProof/>
        </w:rPr>
        <w:t>Minst 30 % av anslaget för en sådan separat prioritering ska tilldelas insatser som har stödmottagare som är lokala myndigheter och civilsamhällesorganisationer som är verksamma i lokalsamhällen. Medlemsstaterna ska rapportera om uppfyllandet av detta villkor i den slutliga prestationsrapport som krävs enligt artikel 43. Om detta villkor inte är uppfyllt ska ersättningen från kommissionen för den berörda prioriteringen minskas proportionellt för att säkerställa att detta villkor är uppfyllt vid beräkningen av det slutsaldo som ska betalas till programmet.”</w:t>
      </w:r>
    </w:p>
    <w:p w14:paraId="43131B08" w14:textId="77777777" w:rsidR="00C520AE" w:rsidRPr="001766B2" w:rsidRDefault="00215403" w:rsidP="003E0E5F">
      <w:pPr>
        <w:pStyle w:val="Point0"/>
        <w:rPr>
          <w:noProof/>
        </w:rPr>
      </w:pPr>
      <w:r w:rsidRPr="001766B2">
        <w:rPr>
          <w:noProof/>
        </w:rPr>
        <w:t>4)</w:t>
      </w:r>
      <w:r w:rsidRPr="001766B2">
        <w:rPr>
          <w:noProof/>
        </w:rPr>
        <w:tab/>
        <w:t xml:space="preserve">Följande artikel ska införas som artikel 118a: </w:t>
      </w:r>
    </w:p>
    <w:p w14:paraId="4F00E1AA" w14:textId="77777777" w:rsidR="00C520AE" w:rsidRPr="001766B2" w:rsidRDefault="00C520AE" w:rsidP="003E0E5F">
      <w:pPr>
        <w:pStyle w:val="Text1"/>
        <w:jc w:val="center"/>
        <w:rPr>
          <w:noProof/>
        </w:rPr>
      </w:pPr>
      <w:r w:rsidRPr="001766B2">
        <w:rPr>
          <w:noProof/>
        </w:rPr>
        <w:t>”Artikel 118a</w:t>
      </w:r>
    </w:p>
    <w:p w14:paraId="6FDE15D7" w14:textId="77777777" w:rsidR="00C520AE" w:rsidRPr="001766B2" w:rsidRDefault="00C520AE" w:rsidP="00136CB4">
      <w:pPr>
        <w:pStyle w:val="Text1"/>
        <w:rPr>
          <w:b/>
          <w:noProof/>
        </w:rPr>
      </w:pPr>
      <w:r w:rsidRPr="001766B2">
        <w:rPr>
          <w:b/>
          <w:noProof/>
        </w:rPr>
        <w:t>Villkor för insatser som genomförs i etapper och som valdes ut för stöd före den 29 juni 2022 enligt förordning (EU) nr 1303/2013</w:t>
      </w:r>
    </w:p>
    <w:p w14:paraId="35F8C634" w14:textId="77777777" w:rsidR="00104D2B" w:rsidRPr="001766B2" w:rsidRDefault="00A822E1" w:rsidP="00136CB4">
      <w:pPr>
        <w:pStyle w:val="Text1"/>
        <w:rPr>
          <w:noProof/>
        </w:rPr>
      </w:pPr>
      <w:r w:rsidRPr="001766B2">
        <w:rPr>
          <w:noProof/>
        </w:rPr>
        <w:t>1. Utan hinder av artikel 118 ska en insats med en totalkostnad på mer än 1 000 000 EUR som valdes ut för stöd och inleddes före den 29 juni 2022 enligt förordning (EU) nr 1303/2013 och de fondspecifika förordningarna Europaparlamentets och rådets förordning (EU) nr 1301/2013</w:t>
      </w:r>
      <w:r w:rsidRPr="001766B2">
        <w:rPr>
          <w:rStyle w:val="FootnoteReference"/>
          <w:noProof/>
        </w:rPr>
        <w:footnoteReference w:id="15"/>
      </w:r>
      <w:r w:rsidRPr="001766B2">
        <w:rPr>
          <w:noProof/>
        </w:rPr>
        <w:t>, Europaparlamentets och rådets förordning (EU) nr 1304/2013</w:t>
      </w:r>
      <w:r w:rsidRPr="001766B2">
        <w:rPr>
          <w:rStyle w:val="FootnoteReference"/>
          <w:noProof/>
        </w:rPr>
        <w:footnoteReference w:id="16"/>
      </w:r>
      <w:r w:rsidRPr="001766B2">
        <w:rPr>
          <w:noProof/>
        </w:rPr>
        <w:t>, Europaparlamentets och rådets förordning (EU) nr 1300/2013</w:t>
      </w:r>
      <w:r w:rsidRPr="001766B2">
        <w:rPr>
          <w:rStyle w:val="FootnoteReference"/>
          <w:noProof/>
        </w:rPr>
        <w:footnoteReference w:id="17"/>
      </w:r>
      <w:r w:rsidRPr="001766B2">
        <w:rPr>
          <w:noProof/>
        </w:rPr>
        <w:t>, Europaparlamentets och rådets förordning (EU) nr 1299/2013</w:t>
      </w:r>
      <w:r w:rsidRPr="001766B2">
        <w:rPr>
          <w:rStyle w:val="FootnoteReference"/>
          <w:noProof/>
        </w:rPr>
        <w:footnoteReference w:id="18"/>
      </w:r>
      <w:r w:rsidRPr="001766B2">
        <w:rPr>
          <w:noProof/>
        </w:rPr>
        <w:t xml:space="preserve"> samt Europaparlamentets och rådets förordning  (EU) nr 2014/508</w:t>
      </w:r>
      <w:r w:rsidRPr="001766B2">
        <w:rPr>
          <w:rStyle w:val="FootnoteReference"/>
          <w:noProof/>
        </w:rPr>
        <w:footnoteReference w:id="19"/>
      </w:r>
      <w:r w:rsidRPr="001766B2">
        <w:rPr>
          <w:noProof/>
        </w:rPr>
        <w:t xml:space="preserve"> anses vara stödberättigande enligt den här förordningen och motsvarande fondspecifika förordningar för programperioden 2021–2027. </w:t>
      </w:r>
    </w:p>
    <w:p w14:paraId="23D87E5A" w14:textId="77777777" w:rsidR="004C6D45" w:rsidRPr="001766B2" w:rsidRDefault="009A7051" w:rsidP="00136CB4">
      <w:pPr>
        <w:pStyle w:val="Text1"/>
        <w:rPr>
          <w:noProof/>
        </w:rPr>
      </w:pPr>
      <w:r w:rsidRPr="001766B2">
        <w:rPr>
          <w:noProof/>
        </w:rPr>
        <w:t xml:space="preserve">Genom undantag från artikel 73.1 och 73.2 får förvaltningsmyndigheten besluta att direkt bevilja stöd till en sådan insats i enlighet med den här förordningen, förutsatt att följande villkor är uppfyllda: </w:t>
      </w:r>
    </w:p>
    <w:p w14:paraId="437404C8" w14:textId="77777777" w:rsidR="00616AEC" w:rsidRPr="001766B2" w:rsidRDefault="00136CB4" w:rsidP="00136CB4">
      <w:pPr>
        <w:pStyle w:val="Point1"/>
        <w:rPr>
          <w:noProof/>
        </w:rPr>
      </w:pPr>
      <w:r w:rsidRPr="001766B2">
        <w:rPr>
          <w:noProof/>
        </w:rPr>
        <w:t>a)</w:t>
      </w:r>
      <w:r w:rsidRPr="001766B2">
        <w:rPr>
          <w:noProof/>
        </w:rPr>
        <w:tab/>
        <w:t>Insatsen omfattar två etapper som går att identifiera ur ekonomisk synvinkel, med separata verifieringskedjor.</w:t>
      </w:r>
    </w:p>
    <w:p w14:paraId="54E84E70" w14:textId="77777777" w:rsidR="004C6D45" w:rsidRPr="001766B2" w:rsidRDefault="00136CB4" w:rsidP="00136CB4">
      <w:pPr>
        <w:pStyle w:val="Point1"/>
        <w:rPr>
          <w:noProof/>
        </w:rPr>
      </w:pPr>
      <w:r w:rsidRPr="001766B2">
        <w:rPr>
          <w:noProof/>
        </w:rPr>
        <w:t>b)</w:t>
      </w:r>
      <w:r w:rsidRPr="001766B2">
        <w:rPr>
          <w:noProof/>
        </w:rPr>
        <w:tab/>
        <w:t xml:space="preserve">Insatsen ingår i åtgärder som planerats inom ramen för ett relevant specifikt mål och hänförs till en interventionstyp i enlighet med bilaga I. </w:t>
      </w:r>
    </w:p>
    <w:p w14:paraId="6F15FA19" w14:textId="77777777" w:rsidR="00C520AE" w:rsidRPr="001766B2" w:rsidRDefault="00136CB4" w:rsidP="00136CB4">
      <w:pPr>
        <w:pStyle w:val="Point1"/>
        <w:rPr>
          <w:noProof/>
        </w:rPr>
      </w:pPr>
      <w:r w:rsidRPr="001766B2">
        <w:rPr>
          <w:noProof/>
        </w:rPr>
        <w:t>c)</w:t>
      </w:r>
      <w:r w:rsidRPr="001766B2">
        <w:rPr>
          <w:noProof/>
        </w:rPr>
        <w:tab/>
        <w:t xml:space="preserve">Utgifter som ingår i en betalningsansökan som gäller den första etappen ingår inte i någon betalningsansökan som gäller den andra etappen. </w:t>
      </w:r>
    </w:p>
    <w:p w14:paraId="39288200" w14:textId="77777777" w:rsidR="004C19FB" w:rsidRPr="001766B2" w:rsidRDefault="00136CB4" w:rsidP="00136CB4">
      <w:pPr>
        <w:pStyle w:val="Point1"/>
        <w:rPr>
          <w:noProof/>
        </w:rPr>
      </w:pPr>
      <w:r w:rsidRPr="001766B2">
        <w:rPr>
          <w:noProof/>
        </w:rPr>
        <w:t>d)</w:t>
      </w:r>
      <w:r w:rsidRPr="001766B2">
        <w:rPr>
          <w:noProof/>
        </w:rPr>
        <w:tab/>
        <w:t>Medlemsstaten förbinder sig att under programperioden slutföra och göra den andra och slutliga etappen operativ i den slutliga genomföranderapporten, eller när det gäller Europeiska havs- och fiskerifonden, i den sista årliga genomföranderapporten, som lämnas in i enlighet med artikel 141 i förordning (EU) nr 1303/2013.</w:t>
      </w:r>
    </w:p>
    <w:p w14:paraId="621009A6" w14:textId="77777777" w:rsidR="00A822E1" w:rsidRPr="001766B2" w:rsidRDefault="00A822E1" w:rsidP="00A822E1">
      <w:pPr>
        <w:pStyle w:val="Text1"/>
        <w:rPr>
          <w:noProof/>
        </w:rPr>
      </w:pPr>
      <w:r w:rsidRPr="001766B2">
        <w:rPr>
          <w:noProof/>
        </w:rPr>
        <w:t>2. Denna artikel ska inte tillämpas på insatser för att hantera migrationsutmaningar till följd av Ryska federationens militära angrepp och som stöds genom utnyttjande av möjligheten i artikel 98.4 första och andra styckena i förordning (EU) nr 1303/2013.”</w:t>
      </w:r>
    </w:p>
    <w:p w14:paraId="1C4F025E" w14:textId="77777777" w:rsidR="003261E3" w:rsidRPr="001766B2" w:rsidRDefault="00215403" w:rsidP="003E0E5F">
      <w:pPr>
        <w:pStyle w:val="Point0"/>
        <w:rPr>
          <w:noProof/>
        </w:rPr>
      </w:pPr>
      <w:r w:rsidRPr="001766B2">
        <w:rPr>
          <w:noProof/>
        </w:rPr>
        <w:t>5)</w:t>
      </w:r>
      <w:r w:rsidRPr="001766B2">
        <w:rPr>
          <w:noProof/>
        </w:rPr>
        <w:tab/>
        <w:t>I bilaga I ska följande rader läggas till i slutet av tabell 1:</w:t>
      </w:r>
    </w:p>
    <w:p w14:paraId="1E1A9A8E" w14:textId="77777777" w:rsidR="002463FA" w:rsidRPr="001766B2" w:rsidRDefault="0011607E" w:rsidP="00F37942">
      <w:pPr>
        <w:shd w:val="clear" w:color="auto" w:fill="FFFFFF"/>
        <w:spacing w:after="0" w:line="312" w:lineRule="atLeast"/>
        <w:rPr>
          <w:noProof/>
        </w:rPr>
      </w:pPr>
      <w:r w:rsidRPr="001766B2">
        <w:rPr>
          <w:noProof/>
        </w:rPr>
        <w:t>”</w:t>
      </w:r>
    </w:p>
    <w:tbl>
      <w:tblPr>
        <w:tblW w:w="0" w:type="auto"/>
        <w:tblCellMar>
          <w:left w:w="0" w:type="dxa"/>
          <w:right w:w="0" w:type="dxa"/>
        </w:tblCellMar>
        <w:tblLook w:val="04A0" w:firstRow="1" w:lastRow="0" w:firstColumn="1" w:lastColumn="0" w:noHBand="0" w:noVBand="1"/>
      </w:tblPr>
      <w:tblGrid>
        <w:gridCol w:w="576"/>
        <w:gridCol w:w="4590"/>
        <w:gridCol w:w="2523"/>
        <w:gridCol w:w="1600"/>
      </w:tblGrid>
      <w:tr w:rsidR="002463FA" w:rsidRPr="001766B2" w14:paraId="0F33731C" w14:textId="77777777" w:rsidTr="00B11792">
        <w:tc>
          <w:tcPr>
            <w:tcW w:w="577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A7FB38" w14:textId="77777777" w:rsidR="002463FA" w:rsidRPr="001766B2" w:rsidRDefault="002463FA" w:rsidP="002463FA">
            <w:pPr>
              <w:shd w:val="clear" w:color="auto" w:fill="FFFFFF"/>
              <w:spacing w:before="0" w:after="0"/>
              <w:jc w:val="center"/>
              <w:rPr>
                <w:noProof/>
              </w:rPr>
            </w:pPr>
            <w:r w:rsidRPr="001766B2">
              <w:rPr>
                <w:noProof/>
              </w:rPr>
              <w:t>INTERVENTIONSOMRÅDE</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5D980B" w14:textId="77777777" w:rsidR="002463FA" w:rsidRPr="001766B2" w:rsidRDefault="002463FA" w:rsidP="002463FA">
            <w:pPr>
              <w:shd w:val="clear" w:color="auto" w:fill="FFFFFF"/>
              <w:spacing w:before="0" w:after="0"/>
              <w:jc w:val="center"/>
              <w:rPr>
                <w:noProof/>
              </w:rPr>
            </w:pPr>
            <w:r w:rsidRPr="001766B2">
              <w:rPr>
                <w:noProof/>
              </w:rPr>
              <w:t>Koefficient för beräkning av stödet till klimatförändringsmålen</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9EABDA" w14:textId="77777777" w:rsidR="002463FA" w:rsidRPr="001766B2" w:rsidRDefault="002463FA" w:rsidP="002463FA">
            <w:pPr>
              <w:shd w:val="clear" w:color="auto" w:fill="FFFFFF"/>
              <w:spacing w:before="0" w:after="0"/>
              <w:jc w:val="center"/>
              <w:rPr>
                <w:noProof/>
              </w:rPr>
            </w:pPr>
            <w:r w:rsidRPr="001766B2">
              <w:rPr>
                <w:noProof/>
              </w:rPr>
              <w:t>Koefficient för beräkning av stödet till miljömålen</w:t>
            </w:r>
          </w:p>
        </w:tc>
      </w:tr>
      <w:tr w:rsidR="002463FA" w:rsidRPr="001766B2" w14:paraId="2B95E257" w14:textId="77777777" w:rsidTr="002463FA">
        <w:tc>
          <w:tcPr>
            <w:tcW w:w="928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3B364" w14:textId="77777777" w:rsidR="002463FA" w:rsidRPr="001766B2" w:rsidRDefault="002463FA" w:rsidP="002463FA">
            <w:pPr>
              <w:shd w:val="clear" w:color="auto" w:fill="FFFFFF"/>
              <w:spacing w:before="0" w:after="0"/>
              <w:rPr>
                <w:noProof/>
              </w:rPr>
            </w:pPr>
            <w:r w:rsidRPr="001766B2">
              <w:rPr>
                <w:noProof/>
              </w:rPr>
              <w:t>Andra koder för insatser som genomförs i etapper enligt artikel 118a</w:t>
            </w:r>
          </w:p>
        </w:tc>
      </w:tr>
      <w:tr w:rsidR="002463FA" w:rsidRPr="001766B2" w14:paraId="074F525D"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8E35F" w14:textId="77777777" w:rsidR="002463FA" w:rsidRPr="001766B2" w:rsidRDefault="002463FA" w:rsidP="002463FA">
            <w:pPr>
              <w:shd w:val="clear" w:color="auto" w:fill="FFFFFF"/>
              <w:spacing w:before="0" w:after="0"/>
              <w:rPr>
                <w:noProof/>
              </w:rPr>
            </w:pPr>
            <w:r w:rsidRPr="001766B2">
              <w:rPr>
                <w:noProof/>
              </w:rPr>
              <w:t>183</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45D77D17" w14:textId="77777777" w:rsidR="002463FA" w:rsidRPr="001766B2" w:rsidRDefault="002463FA" w:rsidP="002463FA">
            <w:pPr>
              <w:shd w:val="clear" w:color="auto" w:fill="FFFFFF"/>
              <w:spacing w:before="0" w:after="0"/>
              <w:rPr>
                <w:noProof/>
              </w:rPr>
            </w:pPr>
            <w:r w:rsidRPr="001766B2">
              <w:rPr>
                <w:noProof/>
              </w:rPr>
              <w:t>Hantering av hushållsavfall: deponi</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76E6C36E" w14:textId="77777777" w:rsidR="002463FA" w:rsidRPr="001766B2" w:rsidRDefault="002463FA" w:rsidP="002463FA">
            <w:pPr>
              <w:shd w:val="clear" w:color="auto" w:fill="FFFFFF"/>
              <w:spacing w:before="0" w:after="0"/>
              <w:rPr>
                <w:noProof/>
              </w:rPr>
            </w:pPr>
            <w:r w:rsidRPr="001766B2">
              <w:rPr>
                <w:noProof/>
              </w:rPr>
              <w:t>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DE43844" w14:textId="77777777" w:rsidR="002463FA" w:rsidRPr="001766B2" w:rsidRDefault="002463FA" w:rsidP="002463FA">
            <w:pPr>
              <w:shd w:val="clear" w:color="auto" w:fill="FFFFFF"/>
              <w:spacing w:before="0" w:after="0"/>
              <w:rPr>
                <w:noProof/>
              </w:rPr>
            </w:pPr>
            <w:r w:rsidRPr="001766B2">
              <w:rPr>
                <w:noProof/>
              </w:rPr>
              <w:t>100 %</w:t>
            </w:r>
          </w:p>
        </w:tc>
      </w:tr>
      <w:tr w:rsidR="002463FA" w:rsidRPr="001766B2" w14:paraId="1D69CFF9"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75C1B" w14:textId="77777777" w:rsidR="002463FA" w:rsidRPr="001766B2" w:rsidRDefault="002463FA" w:rsidP="002463FA">
            <w:pPr>
              <w:shd w:val="clear" w:color="auto" w:fill="FFFFFF"/>
              <w:spacing w:before="0" w:after="0"/>
              <w:rPr>
                <w:noProof/>
              </w:rPr>
            </w:pPr>
            <w:r w:rsidRPr="001766B2">
              <w:rPr>
                <w:noProof/>
              </w:rPr>
              <w:t>184</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603532A0" w14:textId="77777777" w:rsidR="002463FA" w:rsidRPr="001766B2" w:rsidRDefault="002463FA" w:rsidP="002463FA">
            <w:pPr>
              <w:shd w:val="clear" w:color="auto" w:fill="FFFFFF"/>
              <w:spacing w:before="0" w:after="0"/>
              <w:rPr>
                <w:noProof/>
              </w:rPr>
            </w:pPr>
            <w:r w:rsidRPr="001766B2">
              <w:rPr>
                <w:noProof/>
              </w:rPr>
              <w:t>Lagring och överföring av el</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E41484" w14:textId="77777777" w:rsidR="002463FA" w:rsidRPr="001766B2" w:rsidRDefault="002463FA" w:rsidP="002463FA">
            <w:pPr>
              <w:shd w:val="clear" w:color="auto" w:fill="FFFFFF"/>
              <w:spacing w:before="0" w:after="0"/>
              <w:rPr>
                <w:noProof/>
              </w:rPr>
            </w:pPr>
            <w:r w:rsidRPr="001766B2">
              <w:rPr>
                <w:noProof/>
              </w:rPr>
              <w:t>100 %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FF3F77A" w14:textId="77777777" w:rsidR="002463FA" w:rsidRPr="001766B2" w:rsidRDefault="002463FA" w:rsidP="002463FA">
            <w:pPr>
              <w:shd w:val="clear" w:color="auto" w:fill="FFFFFF"/>
              <w:spacing w:before="0" w:after="0"/>
              <w:rPr>
                <w:noProof/>
              </w:rPr>
            </w:pPr>
            <w:r w:rsidRPr="001766B2">
              <w:rPr>
                <w:noProof/>
              </w:rPr>
              <w:t>40 %</w:t>
            </w:r>
          </w:p>
        </w:tc>
      </w:tr>
      <w:tr w:rsidR="002463FA" w:rsidRPr="001766B2" w14:paraId="399E3A52"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5653" w14:textId="77777777" w:rsidR="002463FA" w:rsidRPr="001766B2" w:rsidRDefault="002463FA" w:rsidP="002463FA">
            <w:pPr>
              <w:shd w:val="clear" w:color="auto" w:fill="FFFFFF"/>
              <w:spacing w:before="0" w:after="0"/>
              <w:rPr>
                <w:noProof/>
              </w:rPr>
            </w:pPr>
            <w:r w:rsidRPr="001766B2">
              <w:rPr>
                <w:noProof/>
              </w:rPr>
              <w:t>185</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1468AA50" w14:textId="77777777" w:rsidR="002463FA" w:rsidRPr="001766B2" w:rsidRDefault="002463FA" w:rsidP="002463FA">
            <w:pPr>
              <w:shd w:val="clear" w:color="auto" w:fill="FFFFFF"/>
              <w:spacing w:before="0" w:after="0"/>
              <w:rPr>
                <w:noProof/>
              </w:rPr>
            </w:pPr>
            <w:r w:rsidRPr="001766B2">
              <w:rPr>
                <w:noProof/>
              </w:rPr>
              <w:t>Naturgas: lagring, överföring och distribution</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0E5A71CB" w14:textId="77777777" w:rsidR="002463FA" w:rsidRPr="001766B2" w:rsidRDefault="002463FA" w:rsidP="002463FA">
            <w:pPr>
              <w:shd w:val="clear" w:color="auto" w:fill="FFFFFF"/>
              <w:spacing w:before="0" w:after="0"/>
              <w:rPr>
                <w:noProof/>
              </w:rPr>
            </w:pPr>
            <w:r w:rsidRPr="001766B2">
              <w:rPr>
                <w:noProof/>
              </w:rPr>
              <w:t>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3ECC2B19" w14:textId="77777777" w:rsidR="002463FA" w:rsidRPr="001766B2" w:rsidRDefault="002463FA" w:rsidP="002463FA">
            <w:pPr>
              <w:shd w:val="clear" w:color="auto" w:fill="FFFFFF"/>
              <w:spacing w:before="0" w:after="0"/>
              <w:rPr>
                <w:noProof/>
              </w:rPr>
            </w:pPr>
            <w:r w:rsidRPr="001766B2">
              <w:rPr>
                <w:noProof/>
              </w:rPr>
              <w:t>0 %</w:t>
            </w:r>
          </w:p>
        </w:tc>
      </w:tr>
      <w:tr w:rsidR="002463FA" w:rsidRPr="001766B2" w14:paraId="611775E1" w14:textId="77777777" w:rsidTr="008872C1">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302646" w14:textId="77777777" w:rsidR="002463FA" w:rsidRPr="001766B2" w:rsidRDefault="002463FA" w:rsidP="002463FA">
            <w:pPr>
              <w:shd w:val="clear" w:color="auto" w:fill="FFFFFF"/>
              <w:spacing w:before="0" w:after="0"/>
              <w:rPr>
                <w:noProof/>
              </w:rPr>
            </w:pPr>
            <w:r w:rsidRPr="001766B2">
              <w:rPr>
                <w:noProof/>
              </w:rPr>
              <w:t>186</w:t>
            </w:r>
          </w:p>
        </w:tc>
        <w:tc>
          <w:tcPr>
            <w:tcW w:w="5196" w:type="dxa"/>
            <w:tcBorders>
              <w:top w:val="nil"/>
              <w:left w:val="nil"/>
              <w:bottom w:val="single" w:sz="4" w:space="0" w:color="auto"/>
              <w:right w:val="single" w:sz="8" w:space="0" w:color="auto"/>
            </w:tcBorders>
            <w:tcMar>
              <w:top w:w="0" w:type="dxa"/>
              <w:left w:w="108" w:type="dxa"/>
              <w:bottom w:w="0" w:type="dxa"/>
              <w:right w:w="108" w:type="dxa"/>
            </w:tcMar>
            <w:hideMark/>
          </w:tcPr>
          <w:p w14:paraId="0038EDAD" w14:textId="77777777" w:rsidR="002463FA" w:rsidRPr="001766B2" w:rsidRDefault="002463FA" w:rsidP="002463FA">
            <w:pPr>
              <w:shd w:val="clear" w:color="auto" w:fill="FFFFFF"/>
              <w:spacing w:before="0" w:after="0"/>
              <w:rPr>
                <w:noProof/>
              </w:rPr>
            </w:pPr>
            <w:r w:rsidRPr="001766B2">
              <w:rPr>
                <w:noProof/>
              </w:rPr>
              <w:t>Flygplatser</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2302B9B3" w14:textId="77777777" w:rsidR="002463FA" w:rsidRPr="001766B2" w:rsidRDefault="002463FA" w:rsidP="002463FA">
            <w:pPr>
              <w:shd w:val="clear" w:color="auto" w:fill="FFFFFF"/>
              <w:spacing w:before="0" w:after="0"/>
              <w:rPr>
                <w:noProof/>
              </w:rPr>
            </w:pPr>
            <w:r w:rsidRPr="001766B2">
              <w:rPr>
                <w:noProof/>
              </w:rPr>
              <w:t>0 %</w:t>
            </w:r>
          </w:p>
        </w:tc>
        <w:tc>
          <w:tcPr>
            <w:tcW w:w="1688" w:type="dxa"/>
            <w:tcBorders>
              <w:top w:val="nil"/>
              <w:left w:val="nil"/>
              <w:bottom w:val="single" w:sz="4" w:space="0" w:color="auto"/>
              <w:right w:val="single" w:sz="8" w:space="0" w:color="auto"/>
            </w:tcBorders>
            <w:tcMar>
              <w:top w:w="0" w:type="dxa"/>
              <w:left w:w="108" w:type="dxa"/>
              <w:bottom w:w="0" w:type="dxa"/>
              <w:right w:w="108" w:type="dxa"/>
            </w:tcMar>
            <w:hideMark/>
          </w:tcPr>
          <w:p w14:paraId="3A9AD62E" w14:textId="77777777" w:rsidR="002463FA" w:rsidRPr="001766B2" w:rsidRDefault="002463FA" w:rsidP="002463FA">
            <w:pPr>
              <w:shd w:val="clear" w:color="auto" w:fill="FFFFFF"/>
              <w:spacing w:before="0" w:after="0"/>
              <w:rPr>
                <w:noProof/>
              </w:rPr>
            </w:pPr>
            <w:r w:rsidRPr="001766B2">
              <w:rPr>
                <w:noProof/>
              </w:rPr>
              <w:t>0 %</w:t>
            </w:r>
          </w:p>
        </w:tc>
      </w:tr>
      <w:tr w:rsidR="008872C1" w:rsidRPr="001766B2" w14:paraId="48DA8CDE" w14:textId="77777777" w:rsidTr="008872C1">
        <w:tc>
          <w:tcPr>
            <w:tcW w:w="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122A67" w14:textId="77777777" w:rsidR="008872C1" w:rsidRPr="001766B2" w:rsidRDefault="008872C1" w:rsidP="002463FA">
            <w:pPr>
              <w:shd w:val="clear" w:color="auto" w:fill="FFFFFF"/>
              <w:spacing w:before="0" w:after="0"/>
              <w:rPr>
                <w:noProof/>
              </w:rPr>
            </w:pPr>
            <w:r w:rsidRPr="001766B2">
              <w:rPr>
                <w:noProof/>
              </w:rPr>
              <w:t>187</w:t>
            </w:r>
          </w:p>
        </w:tc>
        <w:tc>
          <w:tcPr>
            <w:tcW w:w="51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F1A050" w14:textId="77777777" w:rsidR="008872C1" w:rsidRPr="001766B2" w:rsidRDefault="008872C1" w:rsidP="002463FA">
            <w:pPr>
              <w:shd w:val="clear" w:color="auto" w:fill="FFFFFF"/>
              <w:spacing w:before="0" w:after="0"/>
              <w:rPr>
                <w:noProof/>
              </w:rPr>
            </w:pPr>
            <w:r w:rsidRPr="001766B2">
              <w:rPr>
                <w:noProof/>
              </w:rPr>
              <w:t>Produktiva investeringar i stora företag kopplade till en koldioxidsnål ekonomi</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9FF04F" w14:textId="77777777" w:rsidR="008872C1" w:rsidRPr="001766B2" w:rsidRDefault="00F36813" w:rsidP="002463FA">
            <w:pPr>
              <w:shd w:val="clear" w:color="auto" w:fill="FFFFFF"/>
              <w:spacing w:before="0" w:after="0"/>
              <w:rPr>
                <w:noProof/>
              </w:rPr>
            </w:pPr>
            <w:r w:rsidRPr="001766B2">
              <w:rPr>
                <w:noProof/>
              </w:rPr>
              <w:t>40 %</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2D8F9" w14:textId="77777777" w:rsidR="008872C1" w:rsidRPr="001766B2" w:rsidRDefault="008872C1" w:rsidP="002463FA">
            <w:pPr>
              <w:shd w:val="clear" w:color="auto" w:fill="FFFFFF"/>
              <w:spacing w:before="0" w:after="0"/>
              <w:rPr>
                <w:noProof/>
              </w:rPr>
            </w:pPr>
            <w:r w:rsidRPr="001766B2">
              <w:rPr>
                <w:noProof/>
              </w:rPr>
              <w:t>0 %</w:t>
            </w:r>
          </w:p>
        </w:tc>
      </w:tr>
    </w:tbl>
    <w:p w14:paraId="035AF446" w14:textId="77777777" w:rsidR="002463FA" w:rsidRPr="001766B2" w:rsidRDefault="0011607E" w:rsidP="00F37942">
      <w:pPr>
        <w:shd w:val="clear" w:color="auto" w:fill="FFFFFF"/>
        <w:spacing w:after="0" w:line="312" w:lineRule="atLeast"/>
        <w:rPr>
          <w:noProof/>
        </w:rPr>
      </w:pPr>
      <w:r w:rsidRPr="001766B2">
        <w:rPr>
          <w:noProof/>
        </w:rPr>
        <w:t>”</w:t>
      </w:r>
    </w:p>
    <w:p w14:paraId="5359C9D1" w14:textId="77777777" w:rsidR="00F936C3" w:rsidRPr="001766B2" w:rsidRDefault="00D32C0F" w:rsidP="00F936C3">
      <w:pPr>
        <w:pStyle w:val="Titrearticle"/>
        <w:rPr>
          <w:noProof/>
        </w:rPr>
      </w:pPr>
      <w:r w:rsidRPr="001766B2">
        <w:rPr>
          <w:noProof/>
        </w:rPr>
        <w:t>Artikel 3</w:t>
      </w:r>
    </w:p>
    <w:p w14:paraId="36A02D18" w14:textId="77777777" w:rsidR="00F936C3" w:rsidRPr="001766B2" w:rsidRDefault="00F936C3" w:rsidP="00F936C3">
      <w:pPr>
        <w:rPr>
          <w:noProof/>
        </w:rPr>
      </w:pPr>
      <w:r w:rsidRPr="001766B2">
        <w:rPr>
          <w:noProof/>
        </w:rPr>
        <w:t xml:space="preserve">Denna förordning träder i kraft dagen efter det att den har offentliggjorts i </w:t>
      </w:r>
      <w:r w:rsidRPr="001766B2">
        <w:rPr>
          <w:i/>
          <w:noProof/>
        </w:rPr>
        <w:t>Europeiska unionens officiella tidning</w:t>
      </w:r>
      <w:r w:rsidRPr="001766B2">
        <w:rPr>
          <w:noProof/>
        </w:rPr>
        <w:t>.</w:t>
      </w:r>
    </w:p>
    <w:p w14:paraId="39EEC736" w14:textId="77777777" w:rsidR="00C1332E" w:rsidRPr="001766B2" w:rsidRDefault="00586D7D">
      <w:pPr>
        <w:pStyle w:val="Applicationdirecte"/>
        <w:rPr>
          <w:noProof/>
        </w:rPr>
      </w:pPr>
      <w:r w:rsidRPr="001766B2">
        <w:rPr>
          <w:noProof/>
        </w:rPr>
        <w:t>Denna förordning är till alla delar bindande och direkt tillämplig i alla medlemsstater.</w:t>
      </w:r>
    </w:p>
    <w:p w14:paraId="185D4620" w14:textId="2EA156CA" w:rsidR="00C1332E" w:rsidRPr="001766B2" w:rsidRDefault="006B2CDD" w:rsidP="00DD15A8">
      <w:pPr>
        <w:pStyle w:val="Fait"/>
        <w:rPr>
          <w:noProof/>
        </w:rPr>
      </w:pPr>
      <w:r w:rsidRPr="006B2CDD">
        <w:t>Utfärdad i Bryssel den</w:t>
      </w:r>
    </w:p>
    <w:p w14:paraId="4D57F57E" w14:textId="77777777" w:rsidR="00C1332E" w:rsidRPr="001766B2" w:rsidRDefault="00586D7D" w:rsidP="00DD15A8">
      <w:pPr>
        <w:pStyle w:val="Institutionquisigne"/>
        <w:rPr>
          <w:noProof/>
        </w:rPr>
      </w:pPr>
      <w:r w:rsidRPr="001766B2">
        <w:rPr>
          <w:noProof/>
        </w:rPr>
        <w:t>På Europaparlamentets vägnar</w:t>
      </w:r>
      <w:r w:rsidRPr="001766B2">
        <w:rPr>
          <w:noProof/>
        </w:rPr>
        <w:tab/>
        <w:t>På rådets vägnar</w:t>
      </w:r>
    </w:p>
    <w:p w14:paraId="4271C1A2" w14:textId="77777777" w:rsidR="00C1332E" w:rsidRPr="001766B2" w:rsidRDefault="00DD4B5E" w:rsidP="00DD4B5E">
      <w:pPr>
        <w:pStyle w:val="Personnequisigne"/>
        <w:rPr>
          <w:noProof/>
        </w:rPr>
      </w:pPr>
      <w:r w:rsidRPr="001766B2">
        <w:rPr>
          <w:noProof/>
        </w:rPr>
        <w:t>Ordförande</w:t>
      </w:r>
      <w:r w:rsidRPr="001766B2">
        <w:rPr>
          <w:noProof/>
        </w:rPr>
        <w:tab/>
      </w:r>
      <w:r w:rsidRPr="001766B2">
        <w:rPr>
          <w:noProof/>
        </w:rPr>
        <w:tab/>
      </w:r>
      <w:r w:rsidRPr="001766B2">
        <w:rPr>
          <w:noProof/>
        </w:rPr>
        <w:tab/>
      </w:r>
      <w:r w:rsidRPr="001766B2">
        <w:rPr>
          <w:noProof/>
        </w:rPr>
        <w:tab/>
      </w:r>
      <w:r w:rsidRPr="001766B2">
        <w:rPr>
          <w:noProof/>
        </w:rPr>
        <w:tab/>
        <w:t>Ordförande</w:t>
      </w:r>
    </w:p>
    <w:p w14:paraId="211E3C0B" w14:textId="77777777" w:rsidR="00C1332E" w:rsidRPr="001766B2" w:rsidRDefault="00C1332E">
      <w:pPr>
        <w:rPr>
          <w:noProof/>
        </w:rPr>
        <w:sectPr w:rsidR="00C1332E" w:rsidRPr="001766B2" w:rsidSect="00151ECD">
          <w:pgSz w:w="11907" w:h="16839"/>
          <w:pgMar w:top="1134" w:right="1417" w:bottom="1134" w:left="1417" w:header="709" w:footer="709" w:gutter="0"/>
          <w:cols w:space="720"/>
          <w:docGrid w:linePitch="360"/>
        </w:sectPr>
      </w:pPr>
    </w:p>
    <w:p w14:paraId="1FF243D2" w14:textId="77777777" w:rsidR="00E41E7D" w:rsidRPr="001766B2" w:rsidRDefault="00E41E7D" w:rsidP="009B3DB9">
      <w:pPr>
        <w:pStyle w:val="Fichefinanciretitre"/>
        <w:rPr>
          <w:noProof/>
        </w:rPr>
      </w:pPr>
      <w:bookmarkStart w:id="1" w:name="_Toc514938050"/>
      <w:bookmarkStart w:id="2" w:name="_Toc520485049"/>
      <w:r w:rsidRPr="001766B2">
        <w:rPr>
          <w:noProof/>
        </w:rPr>
        <w:t>FINANSIERINGSÖVERSIKT FÖR RÄTTSAKT</w:t>
      </w:r>
    </w:p>
    <w:p w14:paraId="2C209041" w14:textId="77777777" w:rsidR="00E41E7D" w:rsidRPr="001766B2" w:rsidRDefault="00212D2A" w:rsidP="00212D2A">
      <w:pPr>
        <w:pStyle w:val="ManualHeading1"/>
        <w:rPr>
          <w:noProof/>
        </w:rPr>
      </w:pPr>
      <w:bookmarkStart w:id="3" w:name="_Toc514938007"/>
      <w:bookmarkStart w:id="4" w:name="_Toc520485025"/>
      <w:r w:rsidRPr="001766B2">
        <w:rPr>
          <w:noProof/>
        </w:rPr>
        <w:t>1.</w:t>
      </w:r>
      <w:r w:rsidRPr="001766B2">
        <w:rPr>
          <w:noProof/>
        </w:rPr>
        <w:tab/>
        <w:t>GRUNDLÄGGANDE UPPGIFTER OM FÖRSLAGET ELLER INITIATIVET</w:t>
      </w:r>
      <w:bookmarkEnd w:id="3"/>
      <w:bookmarkEnd w:id="4"/>
      <w:r w:rsidRPr="001766B2">
        <w:rPr>
          <w:noProof/>
        </w:rPr>
        <w:t xml:space="preserve"> </w:t>
      </w:r>
    </w:p>
    <w:p w14:paraId="784AD398" w14:textId="77777777" w:rsidR="00E41E7D" w:rsidRPr="001766B2" w:rsidRDefault="00212D2A" w:rsidP="00212D2A">
      <w:pPr>
        <w:pStyle w:val="ManualHeading2"/>
        <w:rPr>
          <w:noProof/>
        </w:rPr>
      </w:pPr>
      <w:bookmarkStart w:id="5" w:name="_Toc514938008"/>
      <w:bookmarkStart w:id="6" w:name="_Toc520485026"/>
      <w:r w:rsidRPr="001766B2">
        <w:rPr>
          <w:noProof/>
        </w:rPr>
        <w:t>1.1.</w:t>
      </w:r>
      <w:r w:rsidRPr="001766B2">
        <w:rPr>
          <w:noProof/>
        </w:rPr>
        <w:tab/>
        <w:t>Förslagets eller initiativets titel</w:t>
      </w:r>
      <w:bookmarkEnd w:id="5"/>
      <w:bookmarkEnd w:id="6"/>
    </w:p>
    <w:p w14:paraId="69A46115"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Förslag till</w:t>
      </w:r>
    </w:p>
    <w:p w14:paraId="622D4E00"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EUROPAPARLAMENTETS OCH RÅDETS FÖRORDNING</w:t>
      </w:r>
    </w:p>
    <w:p w14:paraId="7F163B00" w14:textId="77777777" w:rsidR="00E41E7D" w:rsidRPr="001766B2" w:rsidRDefault="00AF7BC9" w:rsidP="00E41E7D">
      <w:pPr>
        <w:pStyle w:val="Text1"/>
        <w:pBdr>
          <w:top w:val="single" w:sz="4" w:space="1" w:color="auto"/>
          <w:left w:val="single" w:sz="4" w:space="4" w:color="auto"/>
          <w:bottom w:val="single" w:sz="4" w:space="1" w:color="auto"/>
          <w:right w:val="single" w:sz="4" w:space="4" w:color="auto"/>
        </w:pBdr>
        <w:rPr>
          <w:dstrike/>
          <w:noProof/>
        </w:rPr>
      </w:pPr>
      <w:r w:rsidRPr="001766B2">
        <w:rPr>
          <w:noProof/>
        </w:rPr>
        <w:t>om ändring av förordning (EU) nr 1303/2013 och förordning (EU) 2021/1060 vad gäller ytterligare flexibilitet för att hantera konsekvenserna av Ryska federationens militära angrepp</w:t>
      </w:r>
      <w:r w:rsidRPr="001766B2">
        <w:rPr>
          <w:noProof/>
        </w:rPr>
        <w:tab/>
        <w:t xml:space="preserve"> </w:t>
      </w:r>
      <w:r w:rsidRPr="001766B2">
        <w:rPr>
          <w:noProof/>
        </w:rPr>
        <w:br/>
        <w:t>Fast (flexibelt stöd till territorier) – Care</w:t>
      </w:r>
    </w:p>
    <w:p w14:paraId="12E26983"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p>
    <w:p w14:paraId="12F67978" w14:textId="77777777" w:rsidR="00E41E7D" w:rsidRPr="001766B2" w:rsidRDefault="00212D2A" w:rsidP="00212D2A">
      <w:pPr>
        <w:pStyle w:val="ManualHeading2"/>
        <w:rPr>
          <w:i/>
          <w:noProof/>
        </w:rPr>
      </w:pPr>
      <w:bookmarkStart w:id="7" w:name="_Toc514938011"/>
      <w:bookmarkStart w:id="8" w:name="_Toc520485027"/>
      <w:r w:rsidRPr="001766B2">
        <w:rPr>
          <w:noProof/>
        </w:rPr>
        <w:t>1.2</w:t>
      </w:r>
      <w:r w:rsidRPr="001766B2">
        <w:rPr>
          <w:noProof/>
        </w:rPr>
        <w:tab/>
        <w:t>Berörda politikområden</w:t>
      </w:r>
      <w:bookmarkEnd w:id="7"/>
      <w:bookmarkEnd w:id="8"/>
      <w:r w:rsidRPr="001766B2">
        <w:rPr>
          <w:i/>
          <w:noProof/>
        </w:rPr>
        <w:t xml:space="preserve"> </w:t>
      </w:r>
    </w:p>
    <w:p w14:paraId="149EB0E3"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color w:val="000000" w:themeColor="text1"/>
        </w:rPr>
      </w:pPr>
      <w:r w:rsidRPr="001766B2">
        <w:rPr>
          <w:noProof/>
          <w:color w:val="000000" w:themeColor="text1"/>
        </w:rPr>
        <w:t>05 Regional utveckling och sammanhållning</w:t>
      </w:r>
    </w:p>
    <w:p w14:paraId="26F4A219" w14:textId="77777777" w:rsidR="00E41E7D" w:rsidRPr="001766B2" w:rsidRDefault="00E41E7D" w:rsidP="00EF5081">
      <w:pPr>
        <w:pStyle w:val="Text1"/>
        <w:pBdr>
          <w:top w:val="single" w:sz="4" w:space="1" w:color="auto"/>
          <w:left w:val="single" w:sz="4" w:space="4" w:color="auto"/>
          <w:bottom w:val="single" w:sz="4" w:space="1" w:color="auto"/>
          <w:right w:val="single" w:sz="4" w:space="4" w:color="auto"/>
        </w:pBdr>
        <w:rPr>
          <w:noProof/>
          <w:color w:val="000000" w:themeColor="text1"/>
        </w:rPr>
      </w:pPr>
      <w:r w:rsidRPr="001766B2">
        <w:rPr>
          <w:noProof/>
          <w:color w:val="000000" w:themeColor="text1"/>
        </w:rPr>
        <w:t xml:space="preserve">07 Investera i människor, social sammanhållning och värden </w:t>
      </w:r>
    </w:p>
    <w:p w14:paraId="11FB6450" w14:textId="77777777" w:rsidR="00E41E7D" w:rsidRPr="001766B2" w:rsidRDefault="00212D2A" w:rsidP="00212D2A">
      <w:pPr>
        <w:pStyle w:val="ManualHeading2"/>
        <w:rPr>
          <w:bCs/>
          <w:noProof/>
          <w:szCs w:val="24"/>
        </w:rPr>
      </w:pPr>
      <w:bookmarkStart w:id="9" w:name="_Toc514938014"/>
      <w:bookmarkStart w:id="10" w:name="_Toc520485028"/>
      <w:r w:rsidRPr="001766B2">
        <w:rPr>
          <w:noProof/>
        </w:rPr>
        <w:t>1.3.</w:t>
      </w:r>
      <w:r w:rsidRPr="001766B2">
        <w:rPr>
          <w:noProof/>
        </w:rPr>
        <w:tab/>
        <w:t>Förslaget eller initiativet avser</w:t>
      </w:r>
      <w:bookmarkEnd w:id="9"/>
      <w:bookmarkEnd w:id="10"/>
      <w:r w:rsidRPr="001766B2">
        <w:rPr>
          <w:noProof/>
        </w:rPr>
        <w:t xml:space="preserve"> </w:t>
      </w:r>
    </w:p>
    <w:p w14:paraId="7444129F" w14:textId="77777777" w:rsidR="00E41E7D" w:rsidRPr="001766B2" w:rsidRDefault="00E41E7D" w:rsidP="00E41E7D">
      <w:pPr>
        <w:pStyle w:val="Text1"/>
        <w:rPr>
          <w:b/>
          <w:noProof/>
          <w:sz w:val="22"/>
        </w:rPr>
      </w:pPr>
      <w:r w:rsidRPr="001766B2">
        <w:rPr>
          <w:noProof/>
          <w:sz w:val="22"/>
        </w:rPr>
        <w:sym w:font="Wingdings" w:char="F0A8"/>
      </w:r>
      <w:r w:rsidRPr="001766B2">
        <w:rPr>
          <w:b/>
          <w:i/>
          <w:noProof/>
          <w:sz w:val="22"/>
        </w:rPr>
        <w:t xml:space="preserve"> </w:t>
      </w:r>
      <w:r w:rsidRPr="001766B2">
        <w:rPr>
          <w:b/>
          <w:noProof/>
        </w:rPr>
        <w:t>en ny åtgärd</w:t>
      </w:r>
      <w:r w:rsidRPr="001766B2">
        <w:rPr>
          <w:b/>
          <w:noProof/>
          <w:sz w:val="22"/>
        </w:rPr>
        <w:t xml:space="preserve"> </w:t>
      </w:r>
    </w:p>
    <w:p w14:paraId="728B5B7D" w14:textId="77777777" w:rsidR="00E41E7D" w:rsidRPr="001766B2" w:rsidRDefault="00E41E7D" w:rsidP="00E41E7D">
      <w:pPr>
        <w:pStyle w:val="Text1"/>
        <w:rPr>
          <w:noProof/>
          <w:sz w:val="22"/>
        </w:rPr>
      </w:pPr>
      <w:r w:rsidRPr="001766B2">
        <w:rPr>
          <w:noProof/>
          <w:sz w:val="22"/>
        </w:rPr>
        <w:sym w:font="Wingdings" w:char="F0A8"/>
      </w:r>
      <w:r w:rsidRPr="001766B2">
        <w:rPr>
          <w:i/>
          <w:noProof/>
          <w:sz w:val="22"/>
        </w:rPr>
        <w:t xml:space="preserve"> </w:t>
      </w:r>
      <w:r w:rsidRPr="001766B2">
        <w:rPr>
          <w:b/>
          <w:noProof/>
        </w:rPr>
        <w:t>en ny åtgärd som bygger på ett pilotprojekt eller en förberedande åtgärd</w:t>
      </w:r>
      <w:r w:rsidRPr="001766B2">
        <w:rPr>
          <w:rStyle w:val="FootnoteReference"/>
          <w:noProof/>
        </w:rPr>
        <w:footnoteReference w:id="20"/>
      </w:r>
      <w:r w:rsidRPr="001766B2">
        <w:rPr>
          <w:noProof/>
          <w:sz w:val="22"/>
        </w:rPr>
        <w:t xml:space="preserve"> </w:t>
      </w:r>
    </w:p>
    <w:p w14:paraId="6741C2D1" w14:textId="77777777" w:rsidR="00E41E7D" w:rsidRPr="001766B2" w:rsidRDefault="00E41E7D" w:rsidP="00E41E7D">
      <w:pPr>
        <w:pStyle w:val="Text1"/>
        <w:rPr>
          <w:noProof/>
          <w:sz w:val="22"/>
        </w:rPr>
      </w:pPr>
      <w:r w:rsidRPr="001766B2">
        <w:rPr>
          <w:b/>
          <w:noProof/>
        </w:rPr>
        <w:t>X en förlängning av en befintlig åtgärd</w:t>
      </w:r>
      <w:r w:rsidRPr="001766B2">
        <w:rPr>
          <w:noProof/>
          <w:sz w:val="22"/>
        </w:rPr>
        <w:t xml:space="preserve"> </w:t>
      </w:r>
    </w:p>
    <w:p w14:paraId="60DBC83B" w14:textId="77777777" w:rsidR="00E41E7D" w:rsidRPr="001766B2" w:rsidRDefault="00E41E7D" w:rsidP="00E41E7D">
      <w:pPr>
        <w:pStyle w:val="Text1"/>
        <w:rPr>
          <w:noProof/>
        </w:rPr>
      </w:pPr>
      <w:r w:rsidRPr="001766B2">
        <w:rPr>
          <w:noProof/>
          <w:sz w:val="22"/>
        </w:rPr>
        <w:sym w:font="Wingdings" w:char="F0A8"/>
      </w:r>
      <w:r w:rsidRPr="001766B2">
        <w:rPr>
          <w:i/>
          <w:noProof/>
          <w:sz w:val="22"/>
        </w:rPr>
        <w:t xml:space="preserve"> </w:t>
      </w:r>
      <w:r w:rsidRPr="001766B2">
        <w:rPr>
          <w:b/>
          <w:noProof/>
        </w:rPr>
        <w:t>en sammanslagning eller omdirigering av en eller flera åtgärder mot en annan/en ny åtgärd</w:t>
      </w:r>
      <w:r w:rsidRPr="001766B2">
        <w:rPr>
          <w:noProof/>
        </w:rPr>
        <w:t xml:space="preserve"> </w:t>
      </w:r>
    </w:p>
    <w:p w14:paraId="6A9D6662" w14:textId="77777777" w:rsidR="00E41E7D" w:rsidRPr="001766B2" w:rsidRDefault="00212D2A" w:rsidP="00212D2A">
      <w:pPr>
        <w:pStyle w:val="ManualHeading2"/>
        <w:rPr>
          <w:bCs/>
          <w:noProof/>
          <w:szCs w:val="24"/>
        </w:rPr>
      </w:pPr>
      <w:bookmarkStart w:id="11" w:name="_Toc514938015"/>
      <w:bookmarkStart w:id="12" w:name="_Toc520485029"/>
      <w:r w:rsidRPr="001766B2">
        <w:rPr>
          <w:noProof/>
        </w:rPr>
        <w:t>1.4.</w:t>
      </w:r>
      <w:r w:rsidRPr="001766B2">
        <w:rPr>
          <w:noProof/>
        </w:rPr>
        <w:tab/>
        <w:t>Mål</w:t>
      </w:r>
      <w:bookmarkEnd w:id="11"/>
      <w:bookmarkEnd w:id="12"/>
    </w:p>
    <w:p w14:paraId="336DAD78" w14:textId="77777777" w:rsidR="00E41E7D" w:rsidRPr="001766B2" w:rsidRDefault="00212D2A" w:rsidP="00212D2A">
      <w:pPr>
        <w:pStyle w:val="ManualHeading3"/>
        <w:rPr>
          <w:noProof/>
        </w:rPr>
      </w:pPr>
      <w:bookmarkStart w:id="13" w:name="_Toc514938016"/>
      <w:bookmarkStart w:id="14" w:name="_Toc520485030"/>
      <w:r w:rsidRPr="001766B2">
        <w:rPr>
          <w:noProof/>
        </w:rPr>
        <w:t>1.4.1.</w:t>
      </w:r>
      <w:r w:rsidRPr="001766B2">
        <w:rPr>
          <w:noProof/>
        </w:rPr>
        <w:tab/>
        <w:t>Allmänt/allmänna mål:</w:t>
      </w:r>
      <w:bookmarkEnd w:id="13"/>
      <w:bookmarkEnd w:id="14"/>
    </w:p>
    <w:p w14:paraId="11A4B5B4"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76DB7D73" w14:textId="77777777" w:rsidR="00E41E7D" w:rsidRPr="001766B2" w:rsidRDefault="00212D2A" w:rsidP="00212D2A">
      <w:pPr>
        <w:pStyle w:val="ManualHeading3"/>
        <w:rPr>
          <w:bCs/>
          <w:noProof/>
          <w:szCs w:val="24"/>
        </w:rPr>
      </w:pPr>
      <w:bookmarkStart w:id="15" w:name="_Toc514938018"/>
      <w:bookmarkStart w:id="16" w:name="_Toc520485031"/>
      <w:r w:rsidRPr="001766B2">
        <w:rPr>
          <w:noProof/>
        </w:rPr>
        <w:t>1.4.2.</w:t>
      </w:r>
      <w:r w:rsidRPr="001766B2">
        <w:rPr>
          <w:noProof/>
        </w:rPr>
        <w:tab/>
        <w:t>Specifikt/specifika mål:</w:t>
      </w:r>
      <w:bookmarkEnd w:id="15"/>
      <w:bookmarkEnd w:id="16"/>
    </w:p>
    <w:p w14:paraId="5D68946B"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1012BF97" w14:textId="77777777" w:rsidR="00E41E7D" w:rsidRPr="001766B2" w:rsidRDefault="00212D2A" w:rsidP="00212D2A">
      <w:pPr>
        <w:pStyle w:val="ManualHeading3"/>
        <w:rPr>
          <w:noProof/>
        </w:rPr>
      </w:pPr>
      <w:bookmarkStart w:id="17" w:name="_Toc514938019"/>
      <w:bookmarkStart w:id="18" w:name="_Toc520485032"/>
      <w:r w:rsidRPr="001766B2">
        <w:rPr>
          <w:noProof/>
        </w:rPr>
        <w:t>1.4.3.</w:t>
      </w:r>
      <w:r w:rsidRPr="001766B2">
        <w:rPr>
          <w:noProof/>
        </w:rPr>
        <w:tab/>
        <w:t>Verkan eller resultat som förväntas</w:t>
      </w:r>
      <w:bookmarkEnd w:id="17"/>
      <w:bookmarkEnd w:id="18"/>
    </w:p>
    <w:p w14:paraId="3A4CBADA" w14:textId="77777777" w:rsidR="00E41E7D" w:rsidRPr="001766B2" w:rsidRDefault="00E41E7D" w:rsidP="00E41E7D">
      <w:pPr>
        <w:pStyle w:val="Text1"/>
        <w:rPr>
          <w:i/>
          <w:noProof/>
          <w:sz w:val="20"/>
        </w:rPr>
      </w:pPr>
      <w:r w:rsidRPr="001766B2">
        <w:rPr>
          <w:i/>
          <w:noProof/>
          <w:sz w:val="20"/>
        </w:rPr>
        <w:t>Beskriv den verkan som förslaget eller initiativet förväntas få på de mottagare eller den del av befolkningen som berörs.</w:t>
      </w:r>
    </w:p>
    <w:p w14:paraId="2CA92379"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6FC2B078" w14:textId="77777777" w:rsidR="00E41E7D" w:rsidRPr="001766B2" w:rsidRDefault="00212D2A" w:rsidP="00212D2A">
      <w:pPr>
        <w:pStyle w:val="ManualHeading3"/>
        <w:rPr>
          <w:noProof/>
          <w:szCs w:val="24"/>
        </w:rPr>
      </w:pPr>
      <w:bookmarkStart w:id="19" w:name="_Toc514938023"/>
      <w:bookmarkStart w:id="20" w:name="_Toc520485033"/>
      <w:r w:rsidRPr="001766B2">
        <w:rPr>
          <w:noProof/>
        </w:rPr>
        <w:t>1.4.4.</w:t>
      </w:r>
      <w:r w:rsidRPr="001766B2">
        <w:rPr>
          <w:noProof/>
        </w:rPr>
        <w:tab/>
        <w:t>Prestationsindikatorer</w:t>
      </w:r>
      <w:bookmarkEnd w:id="19"/>
      <w:bookmarkEnd w:id="20"/>
    </w:p>
    <w:p w14:paraId="1AF8F1CB" w14:textId="77777777" w:rsidR="00E41E7D" w:rsidRPr="001766B2" w:rsidRDefault="00E41E7D" w:rsidP="00E41E7D">
      <w:pPr>
        <w:pStyle w:val="Text1"/>
        <w:rPr>
          <w:i/>
          <w:noProof/>
          <w:sz w:val="20"/>
        </w:rPr>
      </w:pPr>
      <w:r w:rsidRPr="001766B2">
        <w:rPr>
          <w:i/>
          <w:noProof/>
          <w:sz w:val="20"/>
        </w:rPr>
        <w:t>Ange indikatorer för övervakning av framsteg och resultat.</w:t>
      </w:r>
    </w:p>
    <w:p w14:paraId="5B60B882"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2893432C" w14:textId="77777777" w:rsidR="00E41E7D" w:rsidRPr="001766B2" w:rsidRDefault="00E41E7D">
      <w:pPr>
        <w:spacing w:before="0" w:after="200" w:line="276" w:lineRule="auto"/>
        <w:jc w:val="left"/>
        <w:rPr>
          <w:rFonts w:eastAsiaTheme="majorEastAsia"/>
          <w:b/>
          <w:bCs/>
          <w:noProof/>
          <w:szCs w:val="26"/>
        </w:rPr>
      </w:pPr>
      <w:bookmarkStart w:id="21" w:name="_Toc514938025"/>
      <w:bookmarkStart w:id="22" w:name="_Toc520485034"/>
      <w:r w:rsidRPr="001766B2">
        <w:rPr>
          <w:noProof/>
        </w:rPr>
        <w:br w:type="page"/>
      </w:r>
    </w:p>
    <w:p w14:paraId="3484B0B3" w14:textId="77777777" w:rsidR="00E41E7D" w:rsidRPr="001766B2" w:rsidRDefault="00212D2A" w:rsidP="00212D2A">
      <w:pPr>
        <w:pStyle w:val="ManualHeading2"/>
        <w:rPr>
          <w:bCs/>
          <w:noProof/>
          <w:szCs w:val="24"/>
        </w:rPr>
      </w:pPr>
      <w:r w:rsidRPr="001766B2">
        <w:rPr>
          <w:noProof/>
        </w:rPr>
        <w:t>1.5.</w:t>
      </w:r>
      <w:r w:rsidRPr="001766B2">
        <w:rPr>
          <w:noProof/>
        </w:rPr>
        <w:tab/>
        <w:t>Grunder för förslaget eller initiativet</w:t>
      </w:r>
      <w:bookmarkEnd w:id="21"/>
      <w:bookmarkEnd w:id="22"/>
      <w:r w:rsidRPr="001766B2">
        <w:rPr>
          <w:noProof/>
        </w:rPr>
        <w:t xml:space="preserve"> </w:t>
      </w:r>
    </w:p>
    <w:p w14:paraId="617B81F7" w14:textId="77777777" w:rsidR="00E41E7D" w:rsidRPr="001766B2" w:rsidRDefault="00212D2A" w:rsidP="00212D2A">
      <w:pPr>
        <w:pStyle w:val="ManualHeading3"/>
        <w:rPr>
          <w:noProof/>
        </w:rPr>
      </w:pPr>
      <w:bookmarkStart w:id="23" w:name="_Toc514938026"/>
      <w:bookmarkStart w:id="24" w:name="_Toc520485035"/>
      <w:r w:rsidRPr="001766B2">
        <w:rPr>
          <w:noProof/>
        </w:rPr>
        <w:t>1.5.1.</w:t>
      </w:r>
      <w:r w:rsidRPr="001766B2">
        <w:rPr>
          <w:noProof/>
        </w:rPr>
        <w:tab/>
        <w:t>Krav som ska uppfyllas på kort eller lång sikt, inbegripet en detaljerad tidsplan för genomförandet av initiativet</w:t>
      </w:r>
      <w:bookmarkEnd w:id="23"/>
      <w:bookmarkEnd w:id="24"/>
    </w:p>
    <w:p w14:paraId="5A35D0BF"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5D961E6E" w14:textId="77777777" w:rsidR="00E41E7D" w:rsidRPr="001766B2" w:rsidRDefault="00212D2A" w:rsidP="00212D2A">
      <w:pPr>
        <w:pStyle w:val="ManualHeading3"/>
        <w:rPr>
          <w:bCs/>
          <w:noProof/>
          <w:szCs w:val="24"/>
        </w:rPr>
      </w:pPr>
      <w:bookmarkStart w:id="25" w:name="_Toc514938029"/>
      <w:bookmarkStart w:id="26" w:name="_Toc520485036"/>
      <w:r w:rsidRPr="001766B2">
        <w:rPr>
          <w:noProof/>
        </w:rPr>
        <w:t>1.5.2.</w:t>
      </w:r>
      <w:r w:rsidRPr="001766B2">
        <w:rPr>
          <w:noProof/>
        </w:rPr>
        <w:tab/>
        <w:t>Mervärdet av en åtgärd på unionsnivå (som kan följa av flera faktorer, t.ex. samordningsfördelar, rättssäkerhet, ökad effektivitet eller komplementaritet). Med ”mervärdet av en åtgärd på unionsnivå” i denna punkt avses det värde en åtgärd från unionens sida tillför utöver det värde som annars skulle ha skapats av enbart medlemsstaterna.</w:t>
      </w:r>
      <w:bookmarkEnd w:id="25"/>
      <w:bookmarkEnd w:id="26"/>
    </w:p>
    <w:p w14:paraId="631A4324"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018EAC7A" w14:textId="77777777" w:rsidR="00E41E7D" w:rsidRPr="001766B2" w:rsidRDefault="00212D2A" w:rsidP="00212D2A">
      <w:pPr>
        <w:pStyle w:val="ManualHeading3"/>
        <w:rPr>
          <w:noProof/>
        </w:rPr>
      </w:pPr>
      <w:bookmarkStart w:id="27" w:name="_Toc514938030"/>
      <w:bookmarkStart w:id="28" w:name="_Toc520485037"/>
      <w:r w:rsidRPr="001766B2">
        <w:rPr>
          <w:noProof/>
        </w:rPr>
        <w:t>1.5.3.</w:t>
      </w:r>
      <w:r w:rsidRPr="001766B2">
        <w:rPr>
          <w:noProof/>
        </w:rPr>
        <w:tab/>
        <w:t>Erfarenheter från tidigare liknande åtgärder</w:t>
      </w:r>
      <w:bookmarkEnd w:id="27"/>
      <w:bookmarkEnd w:id="28"/>
    </w:p>
    <w:p w14:paraId="597B631D"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6D964279" w14:textId="77777777" w:rsidR="00E41E7D" w:rsidRPr="001766B2" w:rsidRDefault="00212D2A" w:rsidP="00212D2A">
      <w:pPr>
        <w:pStyle w:val="ManualHeading3"/>
        <w:rPr>
          <w:noProof/>
        </w:rPr>
      </w:pPr>
      <w:bookmarkStart w:id="29" w:name="_Toc514938033"/>
      <w:bookmarkStart w:id="30" w:name="_Toc520485038"/>
      <w:r w:rsidRPr="001766B2">
        <w:rPr>
          <w:noProof/>
        </w:rPr>
        <w:t>1.5.4.</w:t>
      </w:r>
      <w:r w:rsidRPr="001766B2">
        <w:rPr>
          <w:noProof/>
        </w:rPr>
        <w:tab/>
        <w:t>Förenlighet med den fleråriga budgetramen och eventuella synergieffekter med andra relevanta instrument</w:t>
      </w:r>
      <w:bookmarkEnd w:id="29"/>
      <w:bookmarkEnd w:id="30"/>
    </w:p>
    <w:p w14:paraId="388119B0"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4BC346FC" w14:textId="77777777" w:rsidR="00E41E7D" w:rsidRPr="001766B2" w:rsidRDefault="00212D2A" w:rsidP="00212D2A">
      <w:pPr>
        <w:pStyle w:val="ManualHeading3"/>
        <w:rPr>
          <w:noProof/>
        </w:rPr>
      </w:pPr>
      <w:bookmarkStart w:id="31" w:name="_Toc514938036"/>
      <w:bookmarkStart w:id="32" w:name="_Toc520485039"/>
      <w:r w:rsidRPr="001766B2">
        <w:rPr>
          <w:noProof/>
        </w:rPr>
        <w:t>1.5.5.</w:t>
      </w:r>
      <w:r w:rsidRPr="001766B2">
        <w:rPr>
          <w:noProof/>
        </w:rPr>
        <w:tab/>
        <w:t>En bedömning av de olika finansieringsalternativ som finns att tillgå, inbegripet möjligheter till omfördelning</w:t>
      </w:r>
      <w:bookmarkEnd w:id="31"/>
      <w:bookmarkEnd w:id="32"/>
    </w:p>
    <w:p w14:paraId="1D87076B" w14:textId="77777777" w:rsidR="00E61475" w:rsidRPr="001766B2" w:rsidRDefault="00E41E7D" w:rsidP="00E61475">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60344D7D" w14:textId="77777777" w:rsidR="00E41E7D" w:rsidRPr="001766B2" w:rsidRDefault="00E41E7D" w:rsidP="00E61475">
      <w:pPr>
        <w:pStyle w:val="Text1"/>
        <w:pBdr>
          <w:top w:val="single" w:sz="4" w:space="1" w:color="auto"/>
          <w:left w:val="single" w:sz="4" w:space="4" w:color="auto"/>
          <w:bottom w:val="single" w:sz="4" w:space="1" w:color="auto"/>
          <w:right w:val="single" w:sz="4" w:space="4" w:color="auto"/>
        </w:pBdr>
        <w:rPr>
          <w:noProof/>
        </w:rPr>
      </w:pPr>
      <w:r w:rsidRPr="001766B2">
        <w:rPr>
          <w:noProof/>
        </w:rPr>
        <w:br w:type="page"/>
      </w:r>
    </w:p>
    <w:p w14:paraId="518DA866" w14:textId="77777777" w:rsidR="00E41E7D" w:rsidRPr="001766B2" w:rsidRDefault="00212D2A" w:rsidP="00212D2A">
      <w:pPr>
        <w:pStyle w:val="ManualHeading2"/>
        <w:rPr>
          <w:bCs/>
          <w:noProof/>
          <w:szCs w:val="24"/>
        </w:rPr>
      </w:pPr>
      <w:bookmarkStart w:id="33" w:name="_Toc514938039"/>
      <w:bookmarkStart w:id="34" w:name="_Toc520485040"/>
      <w:r w:rsidRPr="001766B2">
        <w:rPr>
          <w:noProof/>
        </w:rPr>
        <w:t>1.6.</w:t>
      </w:r>
      <w:r w:rsidRPr="001766B2">
        <w:rPr>
          <w:noProof/>
        </w:rPr>
        <w:tab/>
        <w:t>Beräknad varaktighet för och beräknade budgetkonsekvenser av förslaget eller initiativet</w:t>
      </w:r>
      <w:bookmarkEnd w:id="33"/>
      <w:bookmarkEnd w:id="34"/>
    </w:p>
    <w:p w14:paraId="428231CA" w14:textId="77777777" w:rsidR="00E41E7D" w:rsidRPr="001766B2" w:rsidRDefault="00E41E7D" w:rsidP="00E41E7D">
      <w:pPr>
        <w:pStyle w:val="Text1"/>
        <w:rPr>
          <w:noProof/>
        </w:rPr>
      </w:pPr>
      <w:r w:rsidRPr="001766B2">
        <w:rPr>
          <w:b/>
          <w:noProof/>
        </w:rPr>
        <w:t xml:space="preserve">X begränsad varaktighet </w:t>
      </w:r>
    </w:p>
    <w:p w14:paraId="17BCD8F8" w14:textId="77777777" w:rsidR="00E41E7D" w:rsidRPr="001766B2" w:rsidRDefault="00E41E7D" w:rsidP="00E41E7D">
      <w:pPr>
        <w:pStyle w:val="ListDash2"/>
        <w:rPr>
          <w:noProof/>
        </w:rPr>
      </w:pPr>
      <w:r w:rsidRPr="001766B2">
        <w:rPr>
          <w:b/>
          <w:noProof/>
        </w:rPr>
        <w:t>X</w:t>
      </w:r>
      <w:r w:rsidRPr="001766B2">
        <w:rPr>
          <w:noProof/>
        </w:rPr>
        <w:tab/>
        <w:t>Budgetkonsekvenser från och med den 1 januari 2022 till och med den 31 december 2027 för betalningsbemyndiganden</w:t>
      </w:r>
    </w:p>
    <w:p w14:paraId="42DC599E" w14:textId="77777777" w:rsidR="00E41E7D" w:rsidRPr="001766B2" w:rsidRDefault="00E41E7D" w:rsidP="00E41E7D">
      <w:pPr>
        <w:pStyle w:val="Text1"/>
        <w:rPr>
          <w:noProof/>
        </w:rPr>
      </w:pPr>
      <w:r w:rsidRPr="001766B2">
        <w:rPr>
          <w:noProof/>
        </w:rPr>
        <w:sym w:font="Wingdings" w:char="F0A8"/>
      </w:r>
      <w:r w:rsidRPr="001766B2">
        <w:rPr>
          <w:i/>
          <w:noProof/>
        </w:rPr>
        <w:t xml:space="preserve"> </w:t>
      </w:r>
      <w:r w:rsidRPr="001766B2">
        <w:rPr>
          <w:b/>
          <w:noProof/>
        </w:rPr>
        <w:t>obegränsad varaktighet</w:t>
      </w:r>
    </w:p>
    <w:p w14:paraId="1A66CCBB" w14:textId="77777777" w:rsidR="00E41E7D" w:rsidRPr="001766B2" w:rsidRDefault="00E41E7D" w:rsidP="00E41E7D">
      <w:pPr>
        <w:pStyle w:val="ListDash1"/>
        <w:rPr>
          <w:noProof/>
        </w:rPr>
      </w:pPr>
      <w:r w:rsidRPr="001766B2">
        <w:rPr>
          <w:noProof/>
        </w:rPr>
        <w:t>Efter en inledande period ÅÅÅÅ–ÅÅÅÅ,</w:t>
      </w:r>
    </w:p>
    <w:p w14:paraId="74C8DC99" w14:textId="77777777" w:rsidR="00E41E7D" w:rsidRPr="001766B2" w:rsidRDefault="00E41E7D" w:rsidP="00E41E7D">
      <w:pPr>
        <w:pStyle w:val="ListDash1"/>
        <w:rPr>
          <w:noProof/>
        </w:rPr>
      </w:pPr>
      <w:r w:rsidRPr="001766B2">
        <w:rPr>
          <w:noProof/>
        </w:rPr>
        <w:t>beräknas genomförandetakten nå en stabil nivå.</w:t>
      </w:r>
    </w:p>
    <w:p w14:paraId="58C3E266" w14:textId="77777777" w:rsidR="00E41E7D" w:rsidRPr="001766B2" w:rsidRDefault="00212D2A" w:rsidP="00212D2A">
      <w:pPr>
        <w:pStyle w:val="ManualHeading2"/>
        <w:rPr>
          <w:bCs/>
          <w:noProof/>
          <w:szCs w:val="24"/>
        </w:rPr>
      </w:pPr>
      <w:bookmarkStart w:id="35" w:name="_Toc514938040"/>
      <w:bookmarkStart w:id="36" w:name="_Toc520485041"/>
      <w:r w:rsidRPr="001766B2">
        <w:rPr>
          <w:noProof/>
        </w:rPr>
        <w:t>1.7.</w:t>
      </w:r>
      <w:r w:rsidRPr="001766B2">
        <w:rPr>
          <w:noProof/>
        </w:rPr>
        <w:tab/>
        <w:t>Planerad metod för genomförandet</w:t>
      </w:r>
      <w:r w:rsidRPr="001766B2">
        <w:rPr>
          <w:rStyle w:val="FootnoteReference"/>
          <w:noProof/>
        </w:rPr>
        <w:footnoteReference w:id="21"/>
      </w:r>
      <w:r w:rsidRPr="001766B2">
        <w:rPr>
          <w:rStyle w:val="FootnoteReference"/>
          <w:noProof/>
        </w:rPr>
        <w:t xml:space="preserve"> </w:t>
      </w:r>
      <w:bookmarkEnd w:id="35"/>
      <w:bookmarkEnd w:id="36"/>
      <w:r w:rsidRPr="001766B2">
        <w:rPr>
          <w:rStyle w:val="FootnoteReference"/>
          <w:noProof/>
        </w:rPr>
        <w:t xml:space="preserve"> </w:t>
      </w:r>
    </w:p>
    <w:p w14:paraId="6DD156F7" w14:textId="77777777" w:rsidR="00E41E7D" w:rsidRPr="001766B2" w:rsidRDefault="00E41E7D" w:rsidP="00E41E7D">
      <w:pPr>
        <w:pStyle w:val="Text1"/>
        <w:rPr>
          <w:noProof/>
        </w:rPr>
      </w:pPr>
      <w:r w:rsidRPr="001766B2">
        <w:rPr>
          <w:noProof/>
        </w:rPr>
        <w:sym w:font="Wingdings" w:char="F0A8"/>
      </w:r>
      <w:r w:rsidRPr="001766B2">
        <w:rPr>
          <w:i/>
          <w:noProof/>
        </w:rPr>
        <w:t xml:space="preserve"> </w:t>
      </w:r>
      <w:r w:rsidRPr="001766B2">
        <w:rPr>
          <w:b/>
          <w:noProof/>
        </w:rPr>
        <w:t>Direkt förvaltning</w:t>
      </w:r>
      <w:r w:rsidRPr="001766B2">
        <w:rPr>
          <w:noProof/>
        </w:rPr>
        <w:t xml:space="preserve"> som sköts av kommissionen</w:t>
      </w:r>
    </w:p>
    <w:p w14:paraId="130241DC" w14:textId="77777777" w:rsidR="00E41E7D" w:rsidRPr="001766B2" w:rsidRDefault="00E41E7D" w:rsidP="00E41E7D">
      <w:pPr>
        <w:pStyle w:val="ListDash2"/>
        <w:rPr>
          <w:rFonts w:cs="EUAlbertina"/>
          <w:noProof/>
        </w:rPr>
      </w:pPr>
      <w:r w:rsidRPr="001766B2">
        <w:rPr>
          <w:noProof/>
        </w:rPr>
        <w:sym w:font="Wingdings" w:char="F0A8"/>
      </w:r>
      <w:r w:rsidRPr="001766B2">
        <w:rPr>
          <w:noProof/>
        </w:rPr>
        <w:t xml:space="preserve"> av dess avdelningar, vilket också inbegriper personalen vid unionens delegationer; </w:t>
      </w:r>
    </w:p>
    <w:p w14:paraId="58A55FC6" w14:textId="77777777" w:rsidR="00E41E7D" w:rsidRPr="001766B2" w:rsidRDefault="00E41E7D" w:rsidP="00E41E7D">
      <w:pPr>
        <w:pStyle w:val="ListDash2"/>
        <w:rPr>
          <w:noProof/>
        </w:rPr>
      </w:pPr>
      <w:r w:rsidRPr="001766B2">
        <w:rPr>
          <w:noProof/>
        </w:rPr>
        <w:sym w:font="Wingdings" w:char="F0A8"/>
      </w:r>
      <w:r w:rsidRPr="001766B2">
        <w:rPr>
          <w:noProof/>
        </w:rPr>
        <w:tab/>
        <w:t xml:space="preserve">av genomförandeorgan </w:t>
      </w:r>
    </w:p>
    <w:p w14:paraId="5B581A60" w14:textId="77777777" w:rsidR="00E41E7D" w:rsidRPr="001766B2" w:rsidRDefault="00E41E7D" w:rsidP="00E41E7D">
      <w:pPr>
        <w:pStyle w:val="Text1"/>
        <w:rPr>
          <w:noProof/>
        </w:rPr>
      </w:pPr>
      <w:r w:rsidRPr="001766B2">
        <w:rPr>
          <w:b/>
          <w:noProof/>
        </w:rPr>
        <w:t>X Delad förvaltning</w:t>
      </w:r>
      <w:r w:rsidRPr="001766B2">
        <w:rPr>
          <w:noProof/>
        </w:rPr>
        <w:t xml:space="preserve"> med medlemsstaterna </w:t>
      </w:r>
    </w:p>
    <w:p w14:paraId="5DF8C0D8" w14:textId="77777777" w:rsidR="00E41E7D" w:rsidRPr="001766B2" w:rsidRDefault="00E41E7D" w:rsidP="00E41E7D">
      <w:pPr>
        <w:pStyle w:val="Text1"/>
        <w:rPr>
          <w:noProof/>
        </w:rPr>
      </w:pPr>
      <w:r w:rsidRPr="001766B2">
        <w:rPr>
          <w:noProof/>
        </w:rPr>
        <w:sym w:font="Wingdings" w:char="F0A8"/>
      </w:r>
      <w:r w:rsidRPr="001766B2">
        <w:rPr>
          <w:i/>
          <w:noProof/>
        </w:rPr>
        <w:t xml:space="preserve"> </w:t>
      </w:r>
      <w:r w:rsidRPr="001766B2">
        <w:rPr>
          <w:b/>
          <w:noProof/>
        </w:rPr>
        <w:t xml:space="preserve">Indirekt förvaltning </w:t>
      </w:r>
      <w:r w:rsidRPr="001766B2">
        <w:rPr>
          <w:noProof/>
        </w:rPr>
        <w:t>genom att uppgifter som ingår i budgetgenomförandet anförtros</w:t>
      </w:r>
    </w:p>
    <w:p w14:paraId="2B0B14DB" w14:textId="77777777" w:rsidR="00E41E7D" w:rsidRPr="001766B2" w:rsidRDefault="00E41E7D" w:rsidP="00E41E7D">
      <w:pPr>
        <w:pStyle w:val="ListDash2"/>
        <w:rPr>
          <w:noProof/>
        </w:rPr>
      </w:pPr>
      <w:r w:rsidRPr="001766B2">
        <w:rPr>
          <w:noProof/>
        </w:rPr>
        <w:sym w:font="Wingdings" w:char="F0A8"/>
      </w:r>
      <w:r w:rsidRPr="001766B2">
        <w:rPr>
          <w:noProof/>
        </w:rPr>
        <w:t xml:space="preserve"> tredjeländer eller organ som de har utsett</w:t>
      </w:r>
    </w:p>
    <w:p w14:paraId="632BEF19" w14:textId="77777777" w:rsidR="00E41E7D" w:rsidRPr="001766B2" w:rsidRDefault="00E41E7D" w:rsidP="00E41E7D">
      <w:pPr>
        <w:pStyle w:val="ListDash2"/>
        <w:rPr>
          <w:noProof/>
        </w:rPr>
      </w:pPr>
      <w:r w:rsidRPr="001766B2">
        <w:rPr>
          <w:noProof/>
        </w:rPr>
        <w:sym w:font="Wingdings" w:char="F0A8"/>
      </w:r>
      <w:r w:rsidRPr="001766B2">
        <w:rPr>
          <w:noProof/>
        </w:rPr>
        <w:t xml:space="preserve"> internationella organisationer och organ kopplade till dem (ange vilka)</w:t>
      </w:r>
    </w:p>
    <w:p w14:paraId="27806E3F" w14:textId="77777777" w:rsidR="00E41E7D" w:rsidRPr="001766B2" w:rsidRDefault="00E41E7D" w:rsidP="00E41E7D">
      <w:pPr>
        <w:pStyle w:val="ListDash2"/>
        <w:rPr>
          <w:noProof/>
        </w:rPr>
      </w:pPr>
      <w:r w:rsidRPr="001766B2">
        <w:rPr>
          <w:noProof/>
        </w:rPr>
        <w:sym w:font="Wingdings" w:char="F0A8"/>
      </w:r>
      <w:r w:rsidRPr="001766B2">
        <w:rPr>
          <w:noProof/>
        </w:rPr>
        <w:t xml:space="preserve"> EIB och Europeiska investeringsfonden</w:t>
      </w:r>
    </w:p>
    <w:p w14:paraId="05122A67" w14:textId="77777777" w:rsidR="00E41E7D" w:rsidRPr="001766B2" w:rsidRDefault="00E41E7D" w:rsidP="00E41E7D">
      <w:pPr>
        <w:pStyle w:val="ListDash2"/>
        <w:rPr>
          <w:noProof/>
        </w:rPr>
      </w:pPr>
      <w:r w:rsidRPr="001766B2">
        <w:rPr>
          <w:noProof/>
        </w:rPr>
        <w:sym w:font="Wingdings" w:char="F0A8"/>
      </w:r>
      <w:r w:rsidRPr="001766B2">
        <w:rPr>
          <w:noProof/>
        </w:rPr>
        <w:t xml:space="preserve"> organ som avses i artiklarna 70 och 71 i budgetförordningen</w:t>
      </w:r>
    </w:p>
    <w:p w14:paraId="24F157C9" w14:textId="77777777" w:rsidR="00E41E7D" w:rsidRPr="001766B2" w:rsidRDefault="00E41E7D" w:rsidP="00E41E7D">
      <w:pPr>
        <w:pStyle w:val="ListDash2"/>
        <w:rPr>
          <w:noProof/>
        </w:rPr>
      </w:pPr>
      <w:r w:rsidRPr="001766B2">
        <w:rPr>
          <w:noProof/>
        </w:rPr>
        <w:sym w:font="Wingdings" w:char="F0A8"/>
      </w:r>
      <w:r w:rsidRPr="001766B2">
        <w:rPr>
          <w:noProof/>
        </w:rPr>
        <w:t xml:space="preserve"> offentligrättsliga organ</w:t>
      </w:r>
    </w:p>
    <w:p w14:paraId="59C16D7E" w14:textId="77777777" w:rsidR="00E41E7D" w:rsidRPr="001766B2" w:rsidRDefault="00E41E7D" w:rsidP="00E41E7D">
      <w:pPr>
        <w:pStyle w:val="ListDash2"/>
        <w:rPr>
          <w:noProof/>
        </w:rPr>
      </w:pPr>
      <w:r w:rsidRPr="001766B2">
        <w:rPr>
          <w:noProof/>
        </w:rPr>
        <w:sym w:font="Wingdings" w:char="F0A8"/>
      </w:r>
      <w:r w:rsidRPr="001766B2">
        <w:rPr>
          <w:noProof/>
        </w:rPr>
        <w:t xml:space="preserve"> privaträttsliga organ som har anförtrotts offentliga förvaltningsuppgifter i den utsträckning som de lämnar tillräckliga ekonomiska garantier</w:t>
      </w:r>
    </w:p>
    <w:p w14:paraId="6C9272CE" w14:textId="77777777" w:rsidR="00E41E7D" w:rsidRPr="001766B2" w:rsidRDefault="00E41E7D" w:rsidP="00E41E7D">
      <w:pPr>
        <w:pStyle w:val="ListDash2"/>
        <w:rPr>
          <w:noProof/>
        </w:rPr>
      </w:pPr>
      <w:r w:rsidRPr="001766B2">
        <w:rPr>
          <w:noProof/>
        </w:rPr>
        <w:sym w:font="Wingdings" w:char="F0A8"/>
      </w:r>
      <w:r w:rsidRPr="001766B2">
        <w:rPr>
          <w:noProof/>
        </w:rPr>
        <w:t xml:space="preserve"> organ som omfattas av privaträtten i en medlemsstat, som anförtrotts genomförandeuppgifter inom ramen för ett offentlig-privat partnerskap och som lämnar tillräckliga ekonomiska garantier</w:t>
      </w:r>
    </w:p>
    <w:p w14:paraId="494B4897" w14:textId="77777777" w:rsidR="00E41E7D" w:rsidRPr="001766B2" w:rsidRDefault="00E41E7D" w:rsidP="00E41E7D">
      <w:pPr>
        <w:pStyle w:val="ListDash2"/>
        <w:rPr>
          <w:noProof/>
        </w:rPr>
      </w:pPr>
      <w:r w:rsidRPr="001766B2">
        <w:rPr>
          <w:noProof/>
        </w:rPr>
        <w:sym w:font="Wingdings" w:char="F0A8"/>
      </w:r>
      <w:r w:rsidRPr="001766B2">
        <w:rPr>
          <w:noProof/>
        </w:rPr>
        <w:t xml:space="preserve"> personer som anförtrotts genomförandet av särskilda åtgärder inom Gusp enligt avdelning V i fördraget om Europeiska unionen och som fastställs i den relevanta grundläggande rättsakten</w:t>
      </w:r>
    </w:p>
    <w:p w14:paraId="682C9727" w14:textId="77777777" w:rsidR="00E41E7D" w:rsidRPr="001766B2" w:rsidRDefault="00E41E7D" w:rsidP="00E41E7D">
      <w:pPr>
        <w:pStyle w:val="ListDash2"/>
        <w:rPr>
          <w:i/>
          <w:noProof/>
          <w:sz w:val="18"/>
          <w:u w:val="single"/>
        </w:rPr>
      </w:pPr>
      <w:r w:rsidRPr="001766B2">
        <w:rPr>
          <w:i/>
          <w:noProof/>
          <w:sz w:val="18"/>
        </w:rPr>
        <w:t>Vid fler än en metod, ange kompletterande uppgifter under ”Anmärkningar”.</w:t>
      </w:r>
    </w:p>
    <w:p w14:paraId="11AFAC41" w14:textId="77777777" w:rsidR="00E41E7D" w:rsidRPr="001766B2" w:rsidRDefault="00E41E7D" w:rsidP="00E41E7D">
      <w:pPr>
        <w:rPr>
          <w:noProof/>
        </w:rPr>
      </w:pPr>
      <w:r w:rsidRPr="001766B2">
        <w:rPr>
          <w:noProof/>
        </w:rPr>
        <w:t xml:space="preserve">Anmärkningar </w:t>
      </w:r>
    </w:p>
    <w:p w14:paraId="1B700179" w14:textId="77777777" w:rsidR="00E41E7D" w:rsidRPr="001766B2" w:rsidRDefault="00E41E7D" w:rsidP="00E41E7D">
      <w:pPr>
        <w:rPr>
          <w:noProof/>
        </w:rPr>
      </w:pPr>
      <w:r w:rsidRPr="001766B2">
        <w:rPr>
          <w:noProof/>
        </w:rPr>
        <w:t>Ej tillämpligt</w:t>
      </w:r>
    </w:p>
    <w:p w14:paraId="32F539DA" w14:textId="77777777" w:rsidR="00E41E7D" w:rsidRPr="001766B2" w:rsidRDefault="00E41E7D">
      <w:pPr>
        <w:spacing w:before="0" w:after="200" w:line="276" w:lineRule="auto"/>
        <w:jc w:val="left"/>
        <w:rPr>
          <w:noProof/>
        </w:rPr>
      </w:pPr>
      <w:r w:rsidRPr="001766B2">
        <w:rPr>
          <w:noProof/>
        </w:rPr>
        <w:br w:type="page"/>
      </w:r>
    </w:p>
    <w:p w14:paraId="04B93132" w14:textId="77777777" w:rsidR="00E41E7D" w:rsidRPr="001766B2" w:rsidRDefault="00212D2A" w:rsidP="00212D2A">
      <w:pPr>
        <w:pStyle w:val="ManualHeading1"/>
        <w:rPr>
          <w:bCs/>
          <w:noProof/>
          <w:szCs w:val="24"/>
        </w:rPr>
      </w:pPr>
      <w:bookmarkStart w:id="37" w:name="_Toc514938041"/>
      <w:bookmarkStart w:id="38" w:name="_Toc520485042"/>
      <w:r w:rsidRPr="001766B2">
        <w:rPr>
          <w:noProof/>
        </w:rPr>
        <w:t>2.</w:t>
      </w:r>
      <w:r w:rsidRPr="001766B2">
        <w:rPr>
          <w:noProof/>
        </w:rPr>
        <w:tab/>
        <w:t>FÖRVALTNING</w:t>
      </w:r>
      <w:bookmarkEnd w:id="37"/>
      <w:bookmarkEnd w:id="38"/>
      <w:r w:rsidRPr="001766B2">
        <w:rPr>
          <w:noProof/>
        </w:rPr>
        <w:t xml:space="preserve"> </w:t>
      </w:r>
    </w:p>
    <w:p w14:paraId="4FA10C34" w14:textId="77777777" w:rsidR="00E41E7D" w:rsidRPr="001766B2" w:rsidRDefault="00212D2A" w:rsidP="00212D2A">
      <w:pPr>
        <w:pStyle w:val="ManualHeading2"/>
        <w:rPr>
          <w:noProof/>
        </w:rPr>
      </w:pPr>
      <w:bookmarkStart w:id="39" w:name="_Toc514938042"/>
      <w:bookmarkStart w:id="40" w:name="_Toc520485043"/>
      <w:r w:rsidRPr="001766B2">
        <w:rPr>
          <w:noProof/>
        </w:rPr>
        <w:t>2.1.</w:t>
      </w:r>
      <w:r w:rsidRPr="001766B2">
        <w:rPr>
          <w:noProof/>
        </w:rPr>
        <w:tab/>
        <w:t>Regler om uppföljning och rapportering</w:t>
      </w:r>
      <w:bookmarkEnd w:id="39"/>
      <w:bookmarkEnd w:id="40"/>
      <w:r w:rsidRPr="001766B2">
        <w:rPr>
          <w:noProof/>
        </w:rPr>
        <w:t xml:space="preserve"> </w:t>
      </w:r>
    </w:p>
    <w:p w14:paraId="705DF3D7" w14:textId="77777777" w:rsidR="00E41E7D" w:rsidRPr="001766B2" w:rsidRDefault="00E41E7D" w:rsidP="00E41E7D">
      <w:pPr>
        <w:pStyle w:val="Text1"/>
        <w:rPr>
          <w:i/>
          <w:noProof/>
          <w:sz w:val="20"/>
        </w:rPr>
      </w:pPr>
      <w:r w:rsidRPr="001766B2">
        <w:rPr>
          <w:i/>
          <w:noProof/>
          <w:sz w:val="20"/>
        </w:rPr>
        <w:t>Ange intervall och andra villkor för sådana åtgärder:</w:t>
      </w:r>
    </w:p>
    <w:p w14:paraId="5F606DD9"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116309A8" w14:textId="77777777" w:rsidR="00E41E7D" w:rsidRPr="001766B2" w:rsidRDefault="00212D2A" w:rsidP="00212D2A">
      <w:pPr>
        <w:pStyle w:val="ManualHeading2"/>
        <w:rPr>
          <w:bCs/>
          <w:noProof/>
          <w:szCs w:val="24"/>
        </w:rPr>
      </w:pPr>
      <w:bookmarkStart w:id="41" w:name="_Toc514938045"/>
      <w:bookmarkStart w:id="42" w:name="_Toc520485044"/>
      <w:r w:rsidRPr="001766B2">
        <w:rPr>
          <w:noProof/>
        </w:rPr>
        <w:t>2.2.</w:t>
      </w:r>
      <w:r w:rsidRPr="001766B2">
        <w:rPr>
          <w:noProof/>
        </w:rPr>
        <w:tab/>
        <w:t>Förvaltnings- och kontrollsystem</w:t>
      </w:r>
      <w:bookmarkEnd w:id="41"/>
      <w:bookmarkEnd w:id="42"/>
      <w:r w:rsidRPr="001766B2">
        <w:rPr>
          <w:noProof/>
        </w:rPr>
        <w:t xml:space="preserve"> </w:t>
      </w:r>
    </w:p>
    <w:p w14:paraId="1F76341F" w14:textId="77777777" w:rsidR="00E41E7D" w:rsidRPr="001766B2" w:rsidRDefault="00212D2A" w:rsidP="00212D2A">
      <w:pPr>
        <w:pStyle w:val="ManualHeading3"/>
        <w:rPr>
          <w:noProof/>
        </w:rPr>
      </w:pPr>
      <w:bookmarkStart w:id="43" w:name="_Toc514938046"/>
      <w:bookmarkStart w:id="44" w:name="_Toc520485045"/>
      <w:r w:rsidRPr="001766B2">
        <w:rPr>
          <w:noProof/>
        </w:rPr>
        <w:t>2.2.1.</w:t>
      </w:r>
      <w:r w:rsidRPr="001766B2">
        <w:rPr>
          <w:noProof/>
        </w:rPr>
        <w:tab/>
        <w:t>Motivering av den genomförandemetod, de finansieringsmekanismer, de betalningsvillkor och den kontrollstrategi som föreslås</w:t>
      </w:r>
      <w:bookmarkEnd w:id="43"/>
      <w:bookmarkEnd w:id="44"/>
    </w:p>
    <w:p w14:paraId="14BA44AF"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48E9A2A0" w14:textId="77777777" w:rsidR="00E41E7D" w:rsidRPr="001766B2" w:rsidRDefault="00212D2A" w:rsidP="00212D2A">
      <w:pPr>
        <w:pStyle w:val="ManualHeading3"/>
        <w:rPr>
          <w:bCs/>
          <w:noProof/>
          <w:szCs w:val="24"/>
        </w:rPr>
      </w:pPr>
      <w:bookmarkStart w:id="45" w:name="_Toc514938047"/>
      <w:bookmarkStart w:id="46" w:name="_Toc520485046"/>
      <w:r w:rsidRPr="001766B2">
        <w:rPr>
          <w:noProof/>
        </w:rPr>
        <w:t>2.2.2.</w:t>
      </w:r>
      <w:r w:rsidRPr="001766B2">
        <w:rPr>
          <w:noProof/>
        </w:rPr>
        <w:tab/>
        <w:t>Uppgifter om identifierade risker och om det eller de interna kontrollsystem som inrättats för att begränsa riskerna</w:t>
      </w:r>
      <w:bookmarkEnd w:id="45"/>
      <w:bookmarkEnd w:id="46"/>
    </w:p>
    <w:p w14:paraId="46109EAE"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06A448CA" w14:textId="77777777" w:rsidR="00E41E7D" w:rsidRPr="001766B2" w:rsidRDefault="00212D2A" w:rsidP="00212D2A">
      <w:pPr>
        <w:pStyle w:val="ManualHeading3"/>
        <w:rPr>
          <w:noProof/>
        </w:rPr>
      </w:pPr>
      <w:bookmarkStart w:id="47" w:name="_Toc514938048"/>
      <w:bookmarkStart w:id="48" w:name="_Toc520485047"/>
      <w:r w:rsidRPr="001766B2">
        <w:rPr>
          <w:noProof/>
        </w:rPr>
        <w:t>2.2.3.</w:t>
      </w:r>
      <w:r w:rsidRPr="001766B2">
        <w:rPr>
          <w:noProof/>
        </w:rPr>
        <w:tab/>
        <w:t>Beräkning och motivering av kontrollernas kostnadseffektivitet (dvs. förhållandet mellan kostnaden för kontrollerna och värdet av de medel som förvaltas) och en bedömning av den förväntade risken för fel (vid betalning och vid avslutande)</w:t>
      </w:r>
      <w:bookmarkEnd w:id="47"/>
      <w:bookmarkEnd w:id="48"/>
      <w:r w:rsidRPr="001766B2">
        <w:rPr>
          <w:noProof/>
        </w:rPr>
        <w:t xml:space="preserve"> </w:t>
      </w:r>
    </w:p>
    <w:p w14:paraId="67891D1C" w14:textId="77777777"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pPr>
      <w:r w:rsidRPr="001766B2">
        <w:rPr>
          <w:noProof/>
        </w:rPr>
        <w:t>Ej tillämpligt</w:t>
      </w:r>
    </w:p>
    <w:p w14:paraId="122EB010" w14:textId="77777777" w:rsidR="00E41E7D" w:rsidRPr="001766B2" w:rsidRDefault="00212D2A" w:rsidP="00212D2A">
      <w:pPr>
        <w:pStyle w:val="ManualHeading2"/>
        <w:rPr>
          <w:bCs/>
          <w:noProof/>
          <w:szCs w:val="24"/>
        </w:rPr>
      </w:pPr>
      <w:bookmarkStart w:id="49" w:name="_Toc514938049"/>
      <w:bookmarkStart w:id="50" w:name="_Toc520485048"/>
      <w:r w:rsidRPr="001766B2">
        <w:rPr>
          <w:noProof/>
        </w:rPr>
        <w:t>2.3.</w:t>
      </w:r>
      <w:r w:rsidRPr="001766B2">
        <w:rPr>
          <w:noProof/>
        </w:rPr>
        <w:tab/>
        <w:t>Åtgärder för att förebygga bedrägeri och oriktigheter</w:t>
      </w:r>
      <w:bookmarkEnd w:id="49"/>
      <w:bookmarkEnd w:id="50"/>
      <w:r w:rsidRPr="001766B2">
        <w:rPr>
          <w:noProof/>
        </w:rPr>
        <w:t xml:space="preserve"> </w:t>
      </w:r>
    </w:p>
    <w:p w14:paraId="24251714" w14:textId="77777777" w:rsidR="00E41E7D" w:rsidRPr="001766B2" w:rsidRDefault="00E41E7D" w:rsidP="00E41E7D">
      <w:pPr>
        <w:pStyle w:val="Text1"/>
        <w:rPr>
          <w:i/>
          <w:noProof/>
          <w:sz w:val="20"/>
        </w:rPr>
      </w:pPr>
      <w:r w:rsidRPr="001766B2">
        <w:rPr>
          <w:i/>
          <w:noProof/>
          <w:sz w:val="20"/>
        </w:rPr>
        <w:t>Beskriv förebyggande åtgärder (befintliga eller planerade), t.ex. från strategi för bedrägeribekämpning.</w:t>
      </w:r>
    </w:p>
    <w:p w14:paraId="3DF315C2" w14:textId="7A24E09E" w:rsidR="00E41E7D" w:rsidRPr="001766B2" w:rsidRDefault="00E41E7D" w:rsidP="00E41E7D">
      <w:pPr>
        <w:pStyle w:val="Text1"/>
        <w:pBdr>
          <w:top w:val="single" w:sz="4" w:space="1" w:color="auto"/>
          <w:left w:val="single" w:sz="4" w:space="4" w:color="auto"/>
          <w:bottom w:val="single" w:sz="4" w:space="1" w:color="auto"/>
          <w:right w:val="single" w:sz="4" w:space="4" w:color="auto"/>
        </w:pBdr>
        <w:rPr>
          <w:noProof/>
        </w:rPr>
        <w:sectPr w:rsidR="00E41E7D" w:rsidRPr="001766B2" w:rsidSect="00151ECD">
          <w:pgSz w:w="11907" w:h="16840" w:code="9"/>
          <w:pgMar w:top="1134" w:right="1418" w:bottom="1134" w:left="1418" w:header="709" w:footer="709" w:gutter="0"/>
          <w:cols w:space="708"/>
          <w:docGrid w:linePitch="360"/>
        </w:sectPr>
      </w:pPr>
      <w:r w:rsidRPr="001766B2">
        <w:rPr>
          <w:noProof/>
        </w:rPr>
        <w:t>Ej</w:t>
      </w:r>
      <w:r w:rsidR="001766B2">
        <w:rPr>
          <w:noProof/>
        </w:rPr>
        <w:t> </w:t>
      </w:r>
      <w:r w:rsidRPr="001766B2">
        <w:rPr>
          <w:noProof/>
        </w:rPr>
        <w:t>tillämpligt</w:t>
      </w:r>
    </w:p>
    <w:p w14:paraId="319695DC" w14:textId="77777777" w:rsidR="00C87E1E" w:rsidRPr="001766B2" w:rsidRDefault="00C87E1E" w:rsidP="00855A8A">
      <w:pPr>
        <w:rPr>
          <w:b/>
          <w:noProof/>
          <w:szCs w:val="24"/>
          <w:u w:val="single"/>
        </w:rPr>
      </w:pPr>
      <w:r w:rsidRPr="001766B2">
        <w:rPr>
          <w:b/>
          <w:noProof/>
          <w:u w:val="single"/>
        </w:rPr>
        <w:t>BERÄKNADE BUDGETKONSEKVENSER AV FÖRSLAGET ELLER INITIATIVET</w:t>
      </w:r>
      <w:bookmarkEnd w:id="1"/>
      <w:bookmarkEnd w:id="2"/>
      <w:r w:rsidRPr="001766B2">
        <w:rPr>
          <w:b/>
          <w:noProof/>
          <w:u w:val="single"/>
        </w:rPr>
        <w:t xml:space="preserve"> </w:t>
      </w:r>
    </w:p>
    <w:p w14:paraId="78FFDF5A" w14:textId="77777777" w:rsidR="00C87E1E" w:rsidRPr="001766B2" w:rsidRDefault="00C87E1E" w:rsidP="00FB18F4">
      <w:pPr>
        <w:keepNext/>
        <w:outlineLvl w:val="1"/>
        <w:rPr>
          <w:rFonts w:eastAsiaTheme="majorEastAsia"/>
          <w:b/>
          <w:bCs/>
          <w:noProof/>
          <w:szCs w:val="26"/>
        </w:rPr>
      </w:pPr>
      <w:bookmarkStart w:id="51" w:name="_Toc514938051"/>
      <w:bookmarkStart w:id="52" w:name="_Toc520485050"/>
      <w:r w:rsidRPr="001766B2">
        <w:rPr>
          <w:b/>
          <w:noProof/>
        </w:rPr>
        <w:t>Berörda rubriker i den fleråriga budgetramen och budgetrubriker i den årliga budgetens utgiftsdel</w:t>
      </w:r>
      <w:bookmarkEnd w:id="51"/>
      <w:bookmarkEnd w:id="52"/>
      <w:r w:rsidRPr="001766B2">
        <w:rPr>
          <w:b/>
          <w:noProof/>
        </w:rPr>
        <w:t xml:space="preserve"> </w:t>
      </w:r>
    </w:p>
    <w:p w14:paraId="0B287603" w14:textId="77777777" w:rsidR="00C87E1E" w:rsidRPr="001766B2" w:rsidRDefault="00C87E1E" w:rsidP="00C87E1E">
      <w:pPr>
        <w:tabs>
          <w:tab w:val="num" w:pos="1134"/>
        </w:tabs>
        <w:ind w:left="1134" w:hanging="283"/>
        <w:rPr>
          <w:noProof/>
        </w:rPr>
      </w:pPr>
      <w:r w:rsidRPr="001766B2">
        <w:rPr>
          <w:noProof/>
        </w:rPr>
        <w:t xml:space="preserve">Befintliga budgetrubriker (även kallade ”budgetposter”) </w:t>
      </w:r>
    </w:p>
    <w:p w14:paraId="2A43FD60" w14:textId="77777777" w:rsidR="00C87E1E" w:rsidRPr="001766B2" w:rsidRDefault="00C87E1E" w:rsidP="00FB18F4">
      <w:pPr>
        <w:rPr>
          <w:i/>
          <w:noProof/>
        </w:rPr>
      </w:pPr>
      <w:r w:rsidRPr="001766B2">
        <w:rPr>
          <w:i/>
          <w:noProof/>
        </w:rPr>
        <w:t xml:space="preserve">Redovisa enligt de berörda rubrikerna i den fleråriga budgetramen </w:t>
      </w:r>
      <w:r w:rsidRPr="001766B2">
        <w:rPr>
          <w:i/>
          <w:noProof/>
          <w:u w:val="single"/>
        </w:rPr>
        <w:t>i nummerföljd</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87E1E" w:rsidRPr="001766B2" w14:paraId="36E3943A" w14:textId="77777777" w:rsidTr="00C87E1E">
        <w:tc>
          <w:tcPr>
            <w:tcW w:w="1080" w:type="dxa"/>
            <w:vMerge w:val="restart"/>
            <w:vAlign w:val="center"/>
          </w:tcPr>
          <w:p w14:paraId="0D5C0CC4" w14:textId="77777777" w:rsidR="00C87E1E" w:rsidRPr="001766B2" w:rsidRDefault="00C87E1E" w:rsidP="00C87E1E">
            <w:pPr>
              <w:spacing w:before="60" w:after="60"/>
              <w:jc w:val="center"/>
              <w:rPr>
                <w:noProof/>
              </w:rPr>
            </w:pPr>
            <w:r w:rsidRPr="001766B2">
              <w:rPr>
                <w:noProof/>
                <w:sz w:val="18"/>
              </w:rPr>
              <w:t>Rubrik i den fleråriga budgetramen</w:t>
            </w:r>
          </w:p>
        </w:tc>
        <w:tc>
          <w:tcPr>
            <w:tcW w:w="3960" w:type="dxa"/>
            <w:vAlign w:val="center"/>
          </w:tcPr>
          <w:p w14:paraId="1F627A38" w14:textId="77777777" w:rsidR="00C87E1E" w:rsidRPr="001766B2" w:rsidRDefault="00C87E1E" w:rsidP="00C87E1E">
            <w:pPr>
              <w:spacing w:before="60" w:after="60"/>
              <w:jc w:val="center"/>
              <w:rPr>
                <w:noProof/>
              </w:rPr>
            </w:pPr>
            <w:r w:rsidRPr="001766B2">
              <w:rPr>
                <w:noProof/>
                <w:sz w:val="20"/>
              </w:rPr>
              <w:t>Budgetrubrik</w:t>
            </w:r>
          </w:p>
        </w:tc>
        <w:tc>
          <w:tcPr>
            <w:tcW w:w="1080" w:type="dxa"/>
            <w:vAlign w:val="center"/>
          </w:tcPr>
          <w:p w14:paraId="1FF786F8" w14:textId="77777777" w:rsidR="00C87E1E" w:rsidRPr="001766B2" w:rsidRDefault="00C87E1E" w:rsidP="00C87E1E">
            <w:pPr>
              <w:spacing w:before="60" w:after="60"/>
              <w:jc w:val="center"/>
              <w:rPr>
                <w:noProof/>
              </w:rPr>
            </w:pPr>
            <w:r w:rsidRPr="001766B2">
              <w:rPr>
                <w:noProof/>
              </w:rPr>
              <w:t>Typ av utgifter</w:t>
            </w:r>
          </w:p>
        </w:tc>
        <w:tc>
          <w:tcPr>
            <w:tcW w:w="4440" w:type="dxa"/>
            <w:gridSpan w:val="4"/>
            <w:vAlign w:val="center"/>
          </w:tcPr>
          <w:p w14:paraId="76019CA6" w14:textId="77777777" w:rsidR="00C87E1E" w:rsidRPr="001766B2" w:rsidRDefault="00C87E1E" w:rsidP="00C87E1E">
            <w:pPr>
              <w:spacing w:before="60" w:after="60"/>
              <w:jc w:val="center"/>
              <w:rPr>
                <w:noProof/>
              </w:rPr>
            </w:pPr>
            <w:r w:rsidRPr="001766B2">
              <w:rPr>
                <w:noProof/>
                <w:sz w:val="20"/>
              </w:rPr>
              <w:t xml:space="preserve">Bidrag </w:t>
            </w:r>
          </w:p>
        </w:tc>
      </w:tr>
      <w:tr w:rsidR="00C87E1E" w:rsidRPr="001766B2" w14:paraId="4D805B38" w14:textId="77777777" w:rsidTr="00C87E1E">
        <w:tc>
          <w:tcPr>
            <w:tcW w:w="1080" w:type="dxa"/>
            <w:vMerge/>
            <w:vAlign w:val="center"/>
          </w:tcPr>
          <w:p w14:paraId="53BA3BBA" w14:textId="77777777" w:rsidR="00C87E1E" w:rsidRPr="001766B2" w:rsidRDefault="00C87E1E" w:rsidP="00C87E1E">
            <w:pPr>
              <w:jc w:val="center"/>
              <w:rPr>
                <w:noProof/>
                <w:lang w:eastAsia="en-GB"/>
              </w:rPr>
            </w:pPr>
          </w:p>
        </w:tc>
        <w:tc>
          <w:tcPr>
            <w:tcW w:w="3960" w:type="dxa"/>
            <w:vAlign w:val="center"/>
          </w:tcPr>
          <w:p w14:paraId="2A92336D" w14:textId="77777777" w:rsidR="00C87E1E" w:rsidRPr="001766B2" w:rsidRDefault="00C87E1E" w:rsidP="00C87E1E">
            <w:pPr>
              <w:rPr>
                <w:noProof/>
              </w:rPr>
            </w:pPr>
            <w:r w:rsidRPr="001766B2">
              <w:rPr>
                <w:noProof/>
                <w:sz w:val="20"/>
              </w:rPr>
              <w:t xml:space="preserve">Nummer </w:t>
            </w:r>
            <w:r w:rsidRPr="001766B2">
              <w:rPr>
                <w:noProof/>
              </w:rPr>
              <w:t xml:space="preserve"> </w:t>
            </w:r>
            <w:r w:rsidRPr="001766B2">
              <w:rPr>
                <w:noProof/>
              </w:rPr>
              <w:br/>
            </w:r>
          </w:p>
        </w:tc>
        <w:tc>
          <w:tcPr>
            <w:tcW w:w="1080" w:type="dxa"/>
            <w:vAlign w:val="center"/>
          </w:tcPr>
          <w:p w14:paraId="45CBA2CE" w14:textId="77777777" w:rsidR="00C87E1E" w:rsidRPr="001766B2" w:rsidRDefault="00C87E1E" w:rsidP="00C87E1E">
            <w:pPr>
              <w:jc w:val="center"/>
              <w:rPr>
                <w:noProof/>
              </w:rPr>
            </w:pPr>
            <w:r w:rsidRPr="001766B2">
              <w:rPr>
                <w:noProof/>
                <w:sz w:val="18"/>
              </w:rPr>
              <w:t>Diff./Icke-diff</w:t>
            </w:r>
            <w:r w:rsidRPr="001766B2">
              <w:rPr>
                <w:rStyle w:val="FootnoteReference"/>
                <w:noProof/>
              </w:rPr>
              <w:footnoteReference w:id="22"/>
            </w:r>
            <w:r w:rsidRPr="001766B2">
              <w:rPr>
                <w:noProof/>
              </w:rPr>
              <w:t>.</w:t>
            </w:r>
          </w:p>
        </w:tc>
        <w:tc>
          <w:tcPr>
            <w:tcW w:w="956" w:type="dxa"/>
            <w:vAlign w:val="center"/>
          </w:tcPr>
          <w:p w14:paraId="30319A3E" w14:textId="77777777" w:rsidR="00C87E1E" w:rsidRPr="001766B2" w:rsidRDefault="00C87E1E" w:rsidP="00C87E1E">
            <w:pPr>
              <w:jc w:val="center"/>
              <w:rPr>
                <w:noProof/>
              </w:rPr>
            </w:pPr>
            <w:r w:rsidRPr="001766B2">
              <w:rPr>
                <w:noProof/>
                <w:sz w:val="18"/>
              </w:rPr>
              <w:t>från Efta-länder</w:t>
            </w:r>
            <w:r w:rsidRPr="001766B2">
              <w:rPr>
                <w:rStyle w:val="FootnoteReference"/>
                <w:noProof/>
              </w:rPr>
              <w:footnoteReference w:id="23"/>
            </w:r>
          </w:p>
          <w:p w14:paraId="79F71B74" w14:textId="77777777" w:rsidR="00C87E1E" w:rsidRPr="001766B2" w:rsidRDefault="00C87E1E" w:rsidP="00C87E1E">
            <w:pPr>
              <w:spacing w:before="0" w:after="0"/>
              <w:jc w:val="center"/>
              <w:rPr>
                <w:b/>
                <w:noProof/>
                <w:sz w:val="18"/>
                <w:lang w:eastAsia="en-GB"/>
              </w:rPr>
            </w:pPr>
          </w:p>
        </w:tc>
        <w:tc>
          <w:tcPr>
            <w:tcW w:w="1080" w:type="dxa"/>
            <w:vAlign w:val="center"/>
          </w:tcPr>
          <w:p w14:paraId="17E536AA" w14:textId="27369B1E" w:rsidR="00C87E1E" w:rsidRPr="001766B2" w:rsidRDefault="00C87E1E" w:rsidP="00C87E1E">
            <w:pPr>
              <w:jc w:val="center"/>
              <w:rPr>
                <w:noProof/>
              </w:rPr>
            </w:pPr>
            <w:r w:rsidRPr="001766B2">
              <w:rPr>
                <w:noProof/>
                <w:sz w:val="18"/>
              </w:rPr>
              <w:t>från kandidat</w:t>
            </w:r>
            <w:r w:rsidR="001766B2">
              <w:rPr>
                <w:noProof/>
                <w:sz w:val="18"/>
              </w:rPr>
              <w:t>-</w:t>
            </w:r>
            <w:r w:rsidRPr="001766B2">
              <w:rPr>
                <w:noProof/>
                <w:sz w:val="18"/>
              </w:rPr>
              <w:t>länder</w:t>
            </w:r>
            <w:r w:rsidRPr="001766B2">
              <w:rPr>
                <w:rStyle w:val="FootnoteReference"/>
                <w:noProof/>
              </w:rPr>
              <w:footnoteReference w:id="24"/>
            </w:r>
          </w:p>
          <w:p w14:paraId="4F6EE59C" w14:textId="77777777" w:rsidR="00C87E1E" w:rsidRPr="001766B2" w:rsidRDefault="00C87E1E" w:rsidP="00C87E1E">
            <w:pPr>
              <w:spacing w:before="0" w:after="0"/>
              <w:jc w:val="center"/>
              <w:rPr>
                <w:noProof/>
                <w:sz w:val="18"/>
                <w:lang w:eastAsia="en-GB"/>
              </w:rPr>
            </w:pPr>
          </w:p>
        </w:tc>
        <w:tc>
          <w:tcPr>
            <w:tcW w:w="956" w:type="dxa"/>
            <w:vAlign w:val="center"/>
          </w:tcPr>
          <w:p w14:paraId="6C6B60F2" w14:textId="5AED5572" w:rsidR="00C87E1E" w:rsidRPr="001766B2" w:rsidRDefault="00C87E1E" w:rsidP="00C87E1E">
            <w:pPr>
              <w:jc w:val="center"/>
              <w:rPr>
                <w:noProof/>
                <w:sz w:val="18"/>
              </w:rPr>
            </w:pPr>
            <w:r w:rsidRPr="001766B2">
              <w:rPr>
                <w:noProof/>
                <w:sz w:val="18"/>
              </w:rPr>
              <w:t>från tredje</w:t>
            </w:r>
            <w:r w:rsidR="001766B2">
              <w:rPr>
                <w:noProof/>
                <w:sz w:val="18"/>
              </w:rPr>
              <w:t>-</w:t>
            </w:r>
            <w:r w:rsidRPr="001766B2">
              <w:rPr>
                <w:noProof/>
                <w:sz w:val="18"/>
              </w:rPr>
              <w:t>länder</w:t>
            </w:r>
          </w:p>
        </w:tc>
        <w:tc>
          <w:tcPr>
            <w:tcW w:w="1448" w:type="dxa"/>
            <w:vAlign w:val="center"/>
          </w:tcPr>
          <w:p w14:paraId="6E73047E" w14:textId="3C03589D" w:rsidR="00C87E1E" w:rsidRPr="001766B2" w:rsidRDefault="00C87E1E" w:rsidP="00C87E1E">
            <w:pPr>
              <w:jc w:val="center"/>
              <w:rPr>
                <w:noProof/>
              </w:rPr>
            </w:pPr>
            <w:r w:rsidRPr="001766B2">
              <w:rPr>
                <w:noProof/>
                <w:sz w:val="16"/>
              </w:rPr>
              <w:t>enligt artikel 21.2 b i budget</w:t>
            </w:r>
            <w:r w:rsidR="001766B2">
              <w:rPr>
                <w:noProof/>
                <w:sz w:val="16"/>
              </w:rPr>
              <w:t>-</w:t>
            </w:r>
            <w:r w:rsidRPr="001766B2">
              <w:rPr>
                <w:noProof/>
                <w:sz w:val="16"/>
              </w:rPr>
              <w:t xml:space="preserve">förordningen </w:t>
            </w:r>
          </w:p>
        </w:tc>
      </w:tr>
      <w:tr w:rsidR="00C87E1E" w:rsidRPr="001766B2" w14:paraId="1638FF49" w14:textId="77777777" w:rsidTr="00C87E1E">
        <w:tc>
          <w:tcPr>
            <w:tcW w:w="1080" w:type="dxa"/>
            <w:vAlign w:val="center"/>
          </w:tcPr>
          <w:p w14:paraId="50386083" w14:textId="77777777" w:rsidR="00C87E1E" w:rsidRPr="001766B2" w:rsidRDefault="00C87E1E" w:rsidP="00C87E1E">
            <w:pPr>
              <w:jc w:val="center"/>
              <w:rPr>
                <w:noProof/>
                <w:color w:val="0000FF"/>
                <w:sz w:val="20"/>
                <w:szCs w:val="20"/>
              </w:rPr>
            </w:pPr>
            <w:r w:rsidRPr="001766B2">
              <w:rPr>
                <w:noProof/>
                <w:sz w:val="20"/>
              </w:rPr>
              <w:t>2a Ekonomisk, social och territoriell sammanhållning</w:t>
            </w:r>
          </w:p>
        </w:tc>
        <w:tc>
          <w:tcPr>
            <w:tcW w:w="3960" w:type="dxa"/>
            <w:vAlign w:val="center"/>
          </w:tcPr>
          <w:p w14:paraId="1DDB7462" w14:textId="77777777" w:rsidR="00431F4F" w:rsidRPr="001766B2" w:rsidRDefault="00431F4F" w:rsidP="00431F4F">
            <w:pPr>
              <w:spacing w:before="60"/>
              <w:rPr>
                <w:noProof/>
                <w:sz w:val="22"/>
              </w:rPr>
            </w:pPr>
            <w:r w:rsidRPr="001766B2">
              <w:rPr>
                <w:noProof/>
                <w:sz w:val="22"/>
              </w:rPr>
              <w:t>05.02.01 Europeiska regionala utvecklingsfonden (Eruf) Driftsutgifter</w:t>
            </w:r>
          </w:p>
          <w:p w14:paraId="070C9192" w14:textId="77777777" w:rsidR="00431F4F" w:rsidRPr="001766B2" w:rsidRDefault="00431F4F" w:rsidP="00431F4F">
            <w:pPr>
              <w:spacing w:before="60"/>
              <w:rPr>
                <w:noProof/>
                <w:sz w:val="22"/>
              </w:rPr>
            </w:pPr>
            <w:r w:rsidRPr="001766B2">
              <w:rPr>
                <w:noProof/>
                <w:sz w:val="22"/>
              </w:rPr>
              <w:t>05.03.01 Sammanhållningsfonden Driftsutgifter</w:t>
            </w:r>
          </w:p>
          <w:p w14:paraId="083949D6" w14:textId="77777777" w:rsidR="00C87E1E" w:rsidRPr="001766B2" w:rsidRDefault="00431F4F" w:rsidP="00C87E1E">
            <w:pPr>
              <w:spacing w:after="60"/>
              <w:rPr>
                <w:noProof/>
                <w:sz w:val="22"/>
              </w:rPr>
            </w:pPr>
            <w:r w:rsidRPr="001766B2">
              <w:rPr>
                <w:noProof/>
                <w:sz w:val="22"/>
              </w:rPr>
              <w:t>07.02.01 Europeiska socialfonden+ (ESF+) delad förvaltning – Driftsutgifter</w:t>
            </w:r>
          </w:p>
        </w:tc>
        <w:tc>
          <w:tcPr>
            <w:tcW w:w="1080" w:type="dxa"/>
            <w:vAlign w:val="center"/>
          </w:tcPr>
          <w:p w14:paraId="18D24846" w14:textId="77777777" w:rsidR="00C87E1E" w:rsidRPr="001766B2" w:rsidRDefault="00C87E1E" w:rsidP="00C87E1E">
            <w:pPr>
              <w:jc w:val="center"/>
              <w:rPr>
                <w:noProof/>
                <w:color w:val="0000FF"/>
              </w:rPr>
            </w:pPr>
            <w:r w:rsidRPr="001766B2">
              <w:rPr>
                <w:noProof/>
                <w:sz w:val="22"/>
              </w:rPr>
              <w:t>Diff.</w:t>
            </w:r>
          </w:p>
        </w:tc>
        <w:tc>
          <w:tcPr>
            <w:tcW w:w="956" w:type="dxa"/>
            <w:vAlign w:val="center"/>
          </w:tcPr>
          <w:p w14:paraId="562B5B61" w14:textId="77777777" w:rsidR="00C87E1E" w:rsidRPr="001766B2" w:rsidRDefault="00C87E1E" w:rsidP="00C87E1E">
            <w:pPr>
              <w:jc w:val="center"/>
              <w:rPr>
                <w:noProof/>
                <w:sz w:val="20"/>
                <w:szCs w:val="20"/>
              </w:rPr>
            </w:pPr>
            <w:r w:rsidRPr="001766B2">
              <w:rPr>
                <w:noProof/>
                <w:sz w:val="20"/>
              </w:rPr>
              <w:t>NEJ</w:t>
            </w:r>
          </w:p>
        </w:tc>
        <w:tc>
          <w:tcPr>
            <w:tcW w:w="1080" w:type="dxa"/>
            <w:vAlign w:val="center"/>
          </w:tcPr>
          <w:p w14:paraId="585D69AF" w14:textId="77777777" w:rsidR="00C87E1E" w:rsidRPr="001766B2" w:rsidRDefault="00C87E1E" w:rsidP="00C87E1E">
            <w:pPr>
              <w:jc w:val="center"/>
              <w:rPr>
                <w:noProof/>
                <w:sz w:val="20"/>
                <w:szCs w:val="20"/>
              </w:rPr>
            </w:pPr>
            <w:r w:rsidRPr="001766B2">
              <w:rPr>
                <w:noProof/>
                <w:sz w:val="20"/>
              </w:rPr>
              <w:t>NEJ</w:t>
            </w:r>
          </w:p>
        </w:tc>
        <w:tc>
          <w:tcPr>
            <w:tcW w:w="956" w:type="dxa"/>
            <w:vAlign w:val="center"/>
          </w:tcPr>
          <w:p w14:paraId="12AC496D" w14:textId="77777777" w:rsidR="00C87E1E" w:rsidRPr="001766B2" w:rsidRDefault="00C87E1E" w:rsidP="00C87E1E">
            <w:pPr>
              <w:jc w:val="center"/>
              <w:rPr>
                <w:noProof/>
                <w:sz w:val="20"/>
                <w:szCs w:val="20"/>
              </w:rPr>
            </w:pPr>
            <w:r w:rsidRPr="001766B2">
              <w:rPr>
                <w:noProof/>
                <w:sz w:val="20"/>
              </w:rPr>
              <w:t>NEJ</w:t>
            </w:r>
          </w:p>
        </w:tc>
        <w:tc>
          <w:tcPr>
            <w:tcW w:w="1448" w:type="dxa"/>
            <w:vAlign w:val="center"/>
          </w:tcPr>
          <w:p w14:paraId="76898ED2" w14:textId="77777777" w:rsidR="00C87E1E" w:rsidRPr="001766B2" w:rsidRDefault="00C87E1E" w:rsidP="00C87E1E">
            <w:pPr>
              <w:jc w:val="center"/>
              <w:rPr>
                <w:noProof/>
                <w:sz w:val="20"/>
                <w:szCs w:val="20"/>
              </w:rPr>
            </w:pPr>
            <w:r w:rsidRPr="001766B2">
              <w:rPr>
                <w:noProof/>
                <w:sz w:val="20"/>
              </w:rPr>
              <w:t>NEJ</w:t>
            </w:r>
          </w:p>
        </w:tc>
      </w:tr>
    </w:tbl>
    <w:p w14:paraId="23A643B3" w14:textId="77777777" w:rsidR="00C87E1E" w:rsidRPr="001766B2" w:rsidRDefault="00C87E1E" w:rsidP="00C87E1E">
      <w:pPr>
        <w:rPr>
          <w:noProof/>
          <w:lang w:eastAsia="en-GB"/>
        </w:rPr>
        <w:sectPr w:rsidR="00C87E1E" w:rsidRPr="001766B2" w:rsidSect="00151ECD">
          <w:pgSz w:w="11907" w:h="16840" w:code="1"/>
          <w:pgMar w:top="1134" w:right="1418" w:bottom="1134" w:left="1418" w:header="709" w:footer="709" w:gutter="0"/>
          <w:cols w:space="708"/>
          <w:docGrid w:linePitch="360"/>
        </w:sectPr>
      </w:pPr>
    </w:p>
    <w:p w14:paraId="3C7FFC00" w14:textId="77777777" w:rsidR="00C87E1E" w:rsidRPr="001766B2" w:rsidRDefault="00C87E1E" w:rsidP="00FB18F4">
      <w:pPr>
        <w:keepNext/>
        <w:outlineLvl w:val="1"/>
        <w:rPr>
          <w:rFonts w:eastAsiaTheme="majorEastAsia"/>
          <w:b/>
          <w:noProof/>
          <w:szCs w:val="24"/>
        </w:rPr>
      </w:pPr>
      <w:bookmarkStart w:id="53" w:name="_Toc514938052"/>
      <w:bookmarkStart w:id="54" w:name="_Toc520485051"/>
      <w:r w:rsidRPr="001766B2">
        <w:rPr>
          <w:b/>
          <w:noProof/>
        </w:rPr>
        <w:t>Förslagets beräknade budgetkonsekvenser på anslagen</w:t>
      </w:r>
      <w:bookmarkEnd w:id="53"/>
      <w:bookmarkEnd w:id="54"/>
      <w:r w:rsidRPr="001766B2">
        <w:rPr>
          <w:b/>
          <w:noProof/>
        </w:rPr>
        <w:t xml:space="preserve"> </w:t>
      </w:r>
    </w:p>
    <w:p w14:paraId="14F35AE7" w14:textId="77777777" w:rsidR="00C87E1E" w:rsidRPr="001766B2" w:rsidRDefault="00C87E1E" w:rsidP="00FB18F4">
      <w:pPr>
        <w:keepNext/>
        <w:outlineLvl w:val="2"/>
        <w:rPr>
          <w:rFonts w:eastAsiaTheme="majorEastAsia"/>
          <w:bCs/>
          <w:i/>
          <w:noProof/>
        </w:rPr>
      </w:pPr>
      <w:bookmarkStart w:id="55" w:name="_Toc514938053"/>
      <w:bookmarkStart w:id="56" w:name="_Toc520485052"/>
      <w:r w:rsidRPr="001766B2">
        <w:rPr>
          <w:i/>
          <w:noProof/>
        </w:rPr>
        <w:t>Sammanfattning av beräknad inverkan på driftsanslagen</w:t>
      </w:r>
      <w:bookmarkEnd w:id="55"/>
      <w:bookmarkEnd w:id="56"/>
      <w:r w:rsidRPr="001766B2">
        <w:rPr>
          <w:i/>
          <w:noProof/>
        </w:rPr>
        <w:t xml:space="preserve"> </w:t>
      </w:r>
    </w:p>
    <w:p w14:paraId="56F30DA8" w14:textId="77777777" w:rsidR="00C87E1E" w:rsidRPr="001766B2" w:rsidRDefault="00C87E1E" w:rsidP="00FB18F4">
      <w:pPr>
        <w:rPr>
          <w:noProof/>
          <w:lang w:eastAsia="en-GB"/>
        </w:rPr>
      </w:pPr>
    </w:p>
    <w:p w14:paraId="455FD9A5" w14:textId="77777777" w:rsidR="00E41E7D" w:rsidRPr="001766B2" w:rsidRDefault="00E41E7D" w:rsidP="00E41E7D">
      <w:pPr>
        <w:pStyle w:val="Text1"/>
        <w:ind w:left="0"/>
        <w:rPr>
          <w:noProof/>
        </w:rPr>
      </w:pPr>
      <w:r w:rsidRPr="001766B2">
        <w:rPr>
          <w:noProof/>
        </w:rPr>
        <w:t xml:space="preserve">Den föreslagna ändringen medför inte ändringar av de årliga taken för åtaganden och betalningar i den fleråriga budgetramen enligt bilaga I till förordning (EU) nr 1311/2013, eller av de totala betalningsbehoven under perioden 2021–2027. </w:t>
      </w:r>
    </w:p>
    <w:p w14:paraId="092D7333" w14:textId="77777777" w:rsidR="00E41E7D" w:rsidRPr="001766B2" w:rsidRDefault="00E41E7D" w:rsidP="00E41E7D">
      <w:pPr>
        <w:pStyle w:val="Text1"/>
        <w:ind w:left="0"/>
        <w:rPr>
          <w:noProof/>
        </w:rPr>
      </w:pPr>
      <w:r w:rsidRPr="001766B2">
        <w:rPr>
          <w:noProof/>
        </w:rPr>
        <w:t xml:space="preserve">Den årliga fördelningen av åtagandebemyndiganden för Europeiska regionala utvecklingsfonden, Europeiska socialfonden+ och Sammanhållningsfonden förblir oförändrad. </w:t>
      </w:r>
    </w:p>
    <w:p w14:paraId="2FA9205A" w14:textId="77777777" w:rsidR="00E33098" w:rsidRPr="001766B2" w:rsidRDefault="00E33098" w:rsidP="00E33098">
      <w:pPr>
        <w:rPr>
          <w:noProof/>
        </w:rPr>
      </w:pPr>
      <w:r w:rsidRPr="001766B2">
        <w:rPr>
          <w:noProof/>
        </w:rPr>
        <w:t>Förslaget förväntas leda till en tidigareläggning av betalningsbemyndiganden för kalenderåren 2022 och 2023, enligt beräkningarna nedan.</w:t>
      </w:r>
    </w:p>
    <w:p w14:paraId="064AF8B6" w14:textId="77777777" w:rsidR="00E33098" w:rsidRPr="001766B2" w:rsidRDefault="00E33098" w:rsidP="00E33098">
      <w:pPr>
        <w:rPr>
          <w:rFonts w:eastAsia="Times New Roman"/>
          <w:noProof/>
        </w:rPr>
      </w:pPr>
      <w:r w:rsidRPr="001766B2">
        <w:rPr>
          <w:noProof/>
        </w:rPr>
        <w:t>Förslaget/initiativet kräver inte att anslag av administrativ natur tas i anspråk</w:t>
      </w:r>
    </w:p>
    <w:p w14:paraId="053413B2" w14:textId="77777777" w:rsidR="007909C9" w:rsidRPr="001766B2" w:rsidRDefault="007909C9">
      <w:pPr>
        <w:spacing w:before="0" w:after="200" w:line="276" w:lineRule="auto"/>
        <w:jc w:val="left"/>
        <w:rPr>
          <w:noProof/>
          <w:sz w:val="18"/>
          <w:szCs w:val="18"/>
        </w:rPr>
      </w:pPr>
      <w:r w:rsidRPr="001766B2">
        <w:rPr>
          <w:noProof/>
        </w:rPr>
        <w:br w:type="page"/>
      </w:r>
    </w:p>
    <w:p w14:paraId="39E44245" w14:textId="77777777" w:rsidR="00C87E1E" w:rsidRPr="001766B2" w:rsidRDefault="00C87E1E" w:rsidP="00C87E1E">
      <w:pPr>
        <w:jc w:val="right"/>
        <w:rPr>
          <w:noProof/>
          <w:sz w:val="18"/>
          <w:szCs w:val="18"/>
        </w:rPr>
      </w:pPr>
      <w:r w:rsidRPr="001766B2">
        <w:rPr>
          <w:noProof/>
          <w:sz w:val="18"/>
        </w:rPr>
        <w:t>Miljoner euro (avrundat till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1766B2" w14:paraId="63FB301A" w14:textId="77777777" w:rsidTr="00C87E1E">
        <w:trPr>
          <w:jc w:val="center"/>
        </w:trPr>
        <w:tc>
          <w:tcPr>
            <w:tcW w:w="4744" w:type="dxa"/>
            <w:shd w:val="thinDiagStripe" w:color="C0C0C0" w:fill="auto"/>
            <w:vAlign w:val="center"/>
          </w:tcPr>
          <w:p w14:paraId="04CF2A29" w14:textId="77777777" w:rsidR="00C87E1E" w:rsidRPr="001766B2" w:rsidRDefault="00C87E1E" w:rsidP="00C87E1E">
            <w:pPr>
              <w:spacing w:before="60" w:after="60"/>
              <w:jc w:val="center"/>
              <w:rPr>
                <w:b/>
                <w:noProof/>
              </w:rPr>
            </w:pPr>
            <w:r w:rsidRPr="001766B2">
              <w:rPr>
                <w:b/>
                <w:noProof/>
              </w:rPr>
              <w:t>Rubrik i den fleråriga budgetramen</w:t>
            </w:r>
            <w:r w:rsidRPr="001766B2">
              <w:rPr>
                <w:b/>
                <w:noProof/>
                <w:sz w:val="22"/>
              </w:rPr>
              <w:t xml:space="preserve"> </w:t>
            </w:r>
          </w:p>
        </w:tc>
        <w:tc>
          <w:tcPr>
            <w:tcW w:w="1080" w:type="dxa"/>
            <w:vAlign w:val="center"/>
          </w:tcPr>
          <w:p w14:paraId="1A911940" w14:textId="77777777" w:rsidR="00C87E1E" w:rsidRPr="001766B2" w:rsidRDefault="00C87E1E" w:rsidP="00C87E1E">
            <w:pPr>
              <w:spacing w:before="60" w:after="60"/>
              <w:jc w:val="center"/>
              <w:rPr>
                <w:noProof/>
              </w:rPr>
            </w:pPr>
            <w:r w:rsidRPr="001766B2">
              <w:rPr>
                <w:noProof/>
                <w:sz w:val="22"/>
              </w:rPr>
              <w:t>Nummer</w:t>
            </w:r>
          </w:p>
        </w:tc>
        <w:tc>
          <w:tcPr>
            <w:tcW w:w="7817" w:type="dxa"/>
            <w:vAlign w:val="center"/>
          </w:tcPr>
          <w:p w14:paraId="4B826220" w14:textId="77777777" w:rsidR="00C87E1E" w:rsidRPr="001766B2" w:rsidRDefault="00C87E1E" w:rsidP="00C87E1E">
            <w:pPr>
              <w:spacing w:before="60" w:after="60"/>
              <w:rPr>
                <w:noProof/>
              </w:rPr>
            </w:pPr>
            <w:r w:rsidRPr="001766B2">
              <w:rPr>
                <w:noProof/>
              </w:rPr>
              <w:t>2a</w:t>
            </w:r>
          </w:p>
        </w:tc>
      </w:tr>
    </w:tbl>
    <w:p w14:paraId="3671446A" w14:textId="77777777" w:rsidR="00C87E1E" w:rsidRPr="001766B2" w:rsidRDefault="00C87E1E" w:rsidP="00C87E1E">
      <w:pPr>
        <w:rPr>
          <w:noProof/>
          <w:sz w:val="16"/>
          <w:lang w:eastAsia="en-GB"/>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276"/>
        <w:gridCol w:w="576"/>
        <w:gridCol w:w="703"/>
        <w:gridCol w:w="1134"/>
        <w:gridCol w:w="1131"/>
        <w:gridCol w:w="992"/>
        <w:gridCol w:w="709"/>
        <w:gridCol w:w="708"/>
        <w:gridCol w:w="1276"/>
        <w:gridCol w:w="1843"/>
      </w:tblGrid>
      <w:tr w:rsidR="00431F4F" w:rsidRPr="001766B2" w14:paraId="3A13F1CD" w14:textId="77777777" w:rsidTr="00A27D48">
        <w:tc>
          <w:tcPr>
            <w:tcW w:w="3904" w:type="dxa"/>
            <w:vAlign w:val="center"/>
          </w:tcPr>
          <w:p w14:paraId="325A70B9" w14:textId="77777777" w:rsidR="00431F4F" w:rsidRPr="001766B2" w:rsidRDefault="00431F4F" w:rsidP="00431F4F">
            <w:pPr>
              <w:jc w:val="center"/>
              <w:rPr>
                <w:noProof/>
              </w:rPr>
            </w:pPr>
            <w:r w:rsidRPr="001766B2">
              <w:rPr>
                <w:noProof/>
                <w:sz w:val="22"/>
              </w:rPr>
              <w:t>GD Regional- och stadspolitik och GD Sysselsättning, socialpolitik och inkludering</w:t>
            </w:r>
          </w:p>
        </w:tc>
        <w:tc>
          <w:tcPr>
            <w:tcW w:w="1276" w:type="dxa"/>
          </w:tcPr>
          <w:p w14:paraId="52A3375B" w14:textId="77777777" w:rsidR="00431F4F" w:rsidRPr="001766B2" w:rsidRDefault="00431F4F" w:rsidP="00431F4F">
            <w:pPr>
              <w:rPr>
                <w:noProof/>
                <w:sz w:val="20"/>
                <w:lang w:eastAsia="en-GB"/>
              </w:rPr>
            </w:pPr>
          </w:p>
        </w:tc>
        <w:tc>
          <w:tcPr>
            <w:tcW w:w="576" w:type="dxa"/>
          </w:tcPr>
          <w:p w14:paraId="5A8F8934" w14:textId="77777777" w:rsidR="00431F4F" w:rsidRPr="001766B2" w:rsidRDefault="00431F4F" w:rsidP="00431F4F">
            <w:pPr>
              <w:jc w:val="center"/>
              <w:rPr>
                <w:noProof/>
                <w:sz w:val="20"/>
                <w:lang w:eastAsia="en-GB"/>
              </w:rPr>
            </w:pPr>
          </w:p>
        </w:tc>
        <w:tc>
          <w:tcPr>
            <w:tcW w:w="703" w:type="dxa"/>
            <w:vAlign w:val="center"/>
          </w:tcPr>
          <w:p w14:paraId="4F8F865A" w14:textId="77777777" w:rsidR="00431F4F" w:rsidRPr="001766B2" w:rsidRDefault="00431F4F" w:rsidP="00431F4F">
            <w:pPr>
              <w:jc w:val="center"/>
              <w:rPr>
                <w:noProof/>
                <w:sz w:val="20"/>
              </w:rPr>
            </w:pPr>
            <w:r w:rsidRPr="001766B2">
              <w:rPr>
                <w:b/>
                <w:noProof/>
                <w:sz w:val="20"/>
              </w:rPr>
              <w:t>2021</w:t>
            </w:r>
          </w:p>
        </w:tc>
        <w:tc>
          <w:tcPr>
            <w:tcW w:w="1134" w:type="dxa"/>
            <w:vAlign w:val="center"/>
          </w:tcPr>
          <w:p w14:paraId="50220B34" w14:textId="77777777" w:rsidR="00431F4F" w:rsidRPr="001766B2" w:rsidRDefault="00431F4F" w:rsidP="00431F4F">
            <w:pPr>
              <w:jc w:val="center"/>
              <w:rPr>
                <w:noProof/>
                <w:sz w:val="20"/>
              </w:rPr>
            </w:pPr>
            <w:r w:rsidRPr="001766B2">
              <w:rPr>
                <w:b/>
                <w:noProof/>
                <w:sz w:val="20"/>
              </w:rPr>
              <w:t>2022</w:t>
            </w:r>
          </w:p>
        </w:tc>
        <w:tc>
          <w:tcPr>
            <w:tcW w:w="1131" w:type="dxa"/>
            <w:vAlign w:val="center"/>
          </w:tcPr>
          <w:p w14:paraId="4514A1EE" w14:textId="77777777" w:rsidR="00431F4F" w:rsidRPr="001766B2" w:rsidRDefault="00431F4F" w:rsidP="00431F4F">
            <w:pPr>
              <w:jc w:val="center"/>
              <w:rPr>
                <w:noProof/>
                <w:sz w:val="20"/>
              </w:rPr>
            </w:pPr>
            <w:r w:rsidRPr="001766B2">
              <w:rPr>
                <w:b/>
                <w:noProof/>
                <w:sz w:val="20"/>
              </w:rPr>
              <w:t>2023</w:t>
            </w:r>
          </w:p>
        </w:tc>
        <w:tc>
          <w:tcPr>
            <w:tcW w:w="992" w:type="dxa"/>
            <w:vAlign w:val="center"/>
          </w:tcPr>
          <w:p w14:paraId="439511B6" w14:textId="77777777" w:rsidR="00431F4F" w:rsidRPr="001766B2" w:rsidRDefault="00431F4F" w:rsidP="00431F4F">
            <w:pPr>
              <w:jc w:val="center"/>
              <w:rPr>
                <w:noProof/>
                <w:sz w:val="20"/>
              </w:rPr>
            </w:pPr>
            <w:r w:rsidRPr="001766B2">
              <w:rPr>
                <w:b/>
                <w:noProof/>
                <w:sz w:val="20"/>
              </w:rPr>
              <w:t>2024</w:t>
            </w:r>
          </w:p>
        </w:tc>
        <w:tc>
          <w:tcPr>
            <w:tcW w:w="709" w:type="dxa"/>
            <w:vAlign w:val="center"/>
          </w:tcPr>
          <w:p w14:paraId="48D53C52" w14:textId="77777777" w:rsidR="00431F4F" w:rsidRPr="001766B2" w:rsidRDefault="00431F4F" w:rsidP="00431F4F">
            <w:pPr>
              <w:jc w:val="center"/>
              <w:rPr>
                <w:b/>
                <w:noProof/>
                <w:sz w:val="20"/>
              </w:rPr>
            </w:pPr>
            <w:r w:rsidRPr="001766B2">
              <w:rPr>
                <w:b/>
                <w:noProof/>
                <w:sz w:val="20"/>
              </w:rPr>
              <w:t>2025</w:t>
            </w:r>
          </w:p>
        </w:tc>
        <w:tc>
          <w:tcPr>
            <w:tcW w:w="708" w:type="dxa"/>
            <w:vAlign w:val="center"/>
          </w:tcPr>
          <w:p w14:paraId="37780163" w14:textId="77777777" w:rsidR="00431F4F" w:rsidRPr="001766B2" w:rsidRDefault="00431F4F" w:rsidP="00431F4F">
            <w:pPr>
              <w:jc w:val="center"/>
              <w:rPr>
                <w:b/>
                <w:noProof/>
                <w:sz w:val="20"/>
              </w:rPr>
            </w:pPr>
            <w:r w:rsidRPr="001766B2">
              <w:rPr>
                <w:b/>
                <w:noProof/>
                <w:sz w:val="20"/>
              </w:rPr>
              <w:t>2026</w:t>
            </w:r>
          </w:p>
        </w:tc>
        <w:tc>
          <w:tcPr>
            <w:tcW w:w="1276" w:type="dxa"/>
            <w:vAlign w:val="center"/>
          </w:tcPr>
          <w:p w14:paraId="11DA0683" w14:textId="77777777" w:rsidR="00431F4F" w:rsidRPr="001766B2" w:rsidRDefault="00431F4F" w:rsidP="00431F4F">
            <w:pPr>
              <w:jc w:val="center"/>
              <w:rPr>
                <w:b/>
                <w:noProof/>
                <w:sz w:val="20"/>
              </w:rPr>
            </w:pPr>
            <w:r w:rsidRPr="001766B2">
              <w:rPr>
                <w:b/>
                <w:noProof/>
                <w:sz w:val="20"/>
              </w:rPr>
              <w:t>2027</w:t>
            </w:r>
          </w:p>
        </w:tc>
        <w:tc>
          <w:tcPr>
            <w:tcW w:w="1843" w:type="dxa"/>
            <w:vAlign w:val="center"/>
          </w:tcPr>
          <w:p w14:paraId="7438975E" w14:textId="77777777" w:rsidR="00431F4F" w:rsidRPr="001766B2" w:rsidRDefault="00431F4F" w:rsidP="00431F4F">
            <w:pPr>
              <w:jc w:val="center"/>
              <w:rPr>
                <w:b/>
                <w:noProof/>
                <w:sz w:val="20"/>
              </w:rPr>
            </w:pPr>
            <w:r w:rsidRPr="001766B2">
              <w:rPr>
                <w:b/>
                <w:noProof/>
                <w:sz w:val="20"/>
              </w:rPr>
              <w:t>TOTALT</w:t>
            </w:r>
          </w:p>
        </w:tc>
      </w:tr>
      <w:tr w:rsidR="00431F4F" w:rsidRPr="001766B2" w14:paraId="4F699956" w14:textId="77777777" w:rsidTr="00A27D48">
        <w:trPr>
          <w:trHeight w:val="213"/>
        </w:trPr>
        <w:tc>
          <w:tcPr>
            <w:tcW w:w="5756" w:type="dxa"/>
            <w:gridSpan w:val="3"/>
            <w:vAlign w:val="center"/>
          </w:tcPr>
          <w:p w14:paraId="2A301AAB" w14:textId="77777777" w:rsidR="00431F4F" w:rsidRPr="001766B2" w:rsidRDefault="00431F4F" w:rsidP="00431F4F">
            <w:pPr>
              <w:spacing w:before="20" w:after="20"/>
              <w:rPr>
                <w:noProof/>
                <w:sz w:val="21"/>
              </w:rPr>
            </w:pPr>
            <w:r w:rsidRPr="001766B2">
              <w:rPr>
                <w:noProof/>
                <w:sz w:val="21"/>
              </w:rPr>
              <w:sym w:font="Wingdings" w:char="F09F"/>
            </w:r>
            <w:r w:rsidRPr="001766B2">
              <w:rPr>
                <w:noProof/>
                <w:sz w:val="21"/>
              </w:rPr>
              <w:t xml:space="preserve"> Driftsanslag  </w:t>
            </w:r>
          </w:p>
        </w:tc>
        <w:tc>
          <w:tcPr>
            <w:tcW w:w="703" w:type="dxa"/>
            <w:vAlign w:val="center"/>
          </w:tcPr>
          <w:p w14:paraId="127BD9C1" w14:textId="77777777" w:rsidR="00431F4F" w:rsidRPr="001766B2" w:rsidRDefault="00431F4F" w:rsidP="00431F4F">
            <w:pPr>
              <w:rPr>
                <w:noProof/>
                <w:sz w:val="20"/>
                <w:lang w:eastAsia="en-GB"/>
              </w:rPr>
            </w:pPr>
          </w:p>
        </w:tc>
        <w:tc>
          <w:tcPr>
            <w:tcW w:w="1134" w:type="dxa"/>
            <w:vAlign w:val="center"/>
          </w:tcPr>
          <w:p w14:paraId="345D8D77" w14:textId="77777777" w:rsidR="00431F4F" w:rsidRPr="001766B2" w:rsidRDefault="00431F4F" w:rsidP="00431F4F">
            <w:pPr>
              <w:rPr>
                <w:noProof/>
                <w:sz w:val="20"/>
                <w:lang w:eastAsia="en-GB"/>
              </w:rPr>
            </w:pPr>
          </w:p>
        </w:tc>
        <w:tc>
          <w:tcPr>
            <w:tcW w:w="1131" w:type="dxa"/>
            <w:vAlign w:val="center"/>
          </w:tcPr>
          <w:p w14:paraId="0408EB98" w14:textId="77777777" w:rsidR="00431F4F" w:rsidRPr="001766B2" w:rsidRDefault="00431F4F" w:rsidP="00431F4F">
            <w:pPr>
              <w:rPr>
                <w:noProof/>
                <w:sz w:val="20"/>
                <w:lang w:eastAsia="en-GB"/>
              </w:rPr>
            </w:pPr>
          </w:p>
        </w:tc>
        <w:tc>
          <w:tcPr>
            <w:tcW w:w="992" w:type="dxa"/>
            <w:vAlign w:val="center"/>
          </w:tcPr>
          <w:p w14:paraId="6542E621" w14:textId="77777777" w:rsidR="00431F4F" w:rsidRPr="001766B2" w:rsidRDefault="00431F4F" w:rsidP="00431F4F">
            <w:pPr>
              <w:rPr>
                <w:noProof/>
                <w:sz w:val="20"/>
                <w:lang w:eastAsia="en-GB"/>
              </w:rPr>
            </w:pPr>
          </w:p>
        </w:tc>
        <w:tc>
          <w:tcPr>
            <w:tcW w:w="709" w:type="dxa"/>
          </w:tcPr>
          <w:p w14:paraId="52837DDE" w14:textId="77777777" w:rsidR="00431F4F" w:rsidRPr="001766B2" w:rsidRDefault="00431F4F" w:rsidP="00431F4F">
            <w:pPr>
              <w:rPr>
                <w:noProof/>
                <w:sz w:val="20"/>
                <w:lang w:eastAsia="en-GB"/>
              </w:rPr>
            </w:pPr>
          </w:p>
        </w:tc>
        <w:tc>
          <w:tcPr>
            <w:tcW w:w="708" w:type="dxa"/>
            <w:vAlign w:val="center"/>
          </w:tcPr>
          <w:p w14:paraId="19808D7C" w14:textId="77777777" w:rsidR="00431F4F" w:rsidRPr="001766B2" w:rsidRDefault="00431F4F" w:rsidP="00431F4F">
            <w:pPr>
              <w:rPr>
                <w:b/>
                <w:noProof/>
                <w:sz w:val="20"/>
                <w:lang w:eastAsia="en-GB"/>
              </w:rPr>
            </w:pPr>
          </w:p>
        </w:tc>
        <w:tc>
          <w:tcPr>
            <w:tcW w:w="1276" w:type="dxa"/>
            <w:vAlign w:val="center"/>
          </w:tcPr>
          <w:p w14:paraId="73C08DBC" w14:textId="77777777" w:rsidR="00431F4F" w:rsidRPr="001766B2" w:rsidRDefault="00431F4F" w:rsidP="00431F4F">
            <w:pPr>
              <w:rPr>
                <w:b/>
                <w:noProof/>
                <w:sz w:val="20"/>
                <w:lang w:eastAsia="en-GB"/>
              </w:rPr>
            </w:pPr>
          </w:p>
        </w:tc>
        <w:tc>
          <w:tcPr>
            <w:tcW w:w="1843" w:type="dxa"/>
          </w:tcPr>
          <w:p w14:paraId="3D0A4E46" w14:textId="77777777" w:rsidR="00431F4F" w:rsidRPr="001766B2" w:rsidRDefault="00431F4F" w:rsidP="00431F4F">
            <w:pPr>
              <w:rPr>
                <w:b/>
                <w:noProof/>
                <w:sz w:val="20"/>
                <w:lang w:eastAsia="en-GB"/>
              </w:rPr>
            </w:pPr>
          </w:p>
        </w:tc>
      </w:tr>
      <w:tr w:rsidR="00431F4F" w:rsidRPr="001766B2" w14:paraId="227EAE00" w14:textId="77777777" w:rsidTr="00A27D48">
        <w:trPr>
          <w:trHeight w:val="1092"/>
        </w:trPr>
        <w:tc>
          <w:tcPr>
            <w:tcW w:w="3904" w:type="dxa"/>
            <w:vMerge w:val="restart"/>
            <w:vAlign w:val="center"/>
          </w:tcPr>
          <w:p w14:paraId="212C6424" w14:textId="77777777" w:rsidR="00431F4F" w:rsidRPr="001766B2" w:rsidRDefault="00431F4F" w:rsidP="00431F4F">
            <w:pPr>
              <w:spacing w:before="0" w:after="200" w:line="276" w:lineRule="auto"/>
              <w:jc w:val="left"/>
              <w:rPr>
                <w:noProof/>
                <w:sz w:val="20"/>
              </w:rPr>
            </w:pPr>
            <w:r w:rsidRPr="001766B2">
              <w:rPr>
                <w:noProof/>
                <w:sz w:val="20"/>
              </w:rPr>
              <w:t>05.02.01 Europeiska regionala utvecklingsfonden (Eruf) Driftsutgifter</w:t>
            </w:r>
          </w:p>
          <w:p w14:paraId="3F0A8222" w14:textId="77777777" w:rsidR="00431F4F" w:rsidRPr="001766B2" w:rsidRDefault="00431F4F" w:rsidP="00431F4F">
            <w:pPr>
              <w:spacing w:before="0" w:after="200" w:line="276" w:lineRule="auto"/>
              <w:jc w:val="left"/>
              <w:rPr>
                <w:noProof/>
                <w:sz w:val="20"/>
              </w:rPr>
            </w:pPr>
            <w:r w:rsidRPr="001766B2">
              <w:rPr>
                <w:noProof/>
                <w:sz w:val="20"/>
              </w:rPr>
              <w:t>05.03.01 Sammanhållningsfonden Driftsutgifter</w:t>
            </w:r>
          </w:p>
          <w:p w14:paraId="112F3004" w14:textId="77777777" w:rsidR="00431F4F" w:rsidRPr="001766B2" w:rsidRDefault="00431F4F" w:rsidP="00431F4F">
            <w:pPr>
              <w:rPr>
                <w:noProof/>
                <w:sz w:val="20"/>
              </w:rPr>
            </w:pPr>
            <w:r w:rsidRPr="001766B2">
              <w:rPr>
                <w:noProof/>
                <w:sz w:val="20"/>
              </w:rPr>
              <w:t xml:space="preserve">07.02.01 Europeiska socialfonden+ (ESF+) delad förvaltning – Driftsutgifter  </w:t>
            </w:r>
          </w:p>
          <w:p w14:paraId="5A51BEE0" w14:textId="77777777" w:rsidR="00431F4F" w:rsidRPr="001766B2" w:rsidRDefault="00431F4F" w:rsidP="00431F4F">
            <w:pPr>
              <w:rPr>
                <w:noProof/>
                <w:lang w:eastAsia="en-GB"/>
              </w:rPr>
            </w:pPr>
          </w:p>
        </w:tc>
        <w:tc>
          <w:tcPr>
            <w:tcW w:w="1276" w:type="dxa"/>
            <w:vAlign w:val="center"/>
          </w:tcPr>
          <w:p w14:paraId="0D1484C6" w14:textId="77777777" w:rsidR="00431F4F" w:rsidRPr="001766B2" w:rsidRDefault="00431F4F" w:rsidP="00431F4F">
            <w:pPr>
              <w:spacing w:before="20" w:after="20"/>
              <w:rPr>
                <w:noProof/>
                <w:sz w:val="18"/>
              </w:rPr>
            </w:pPr>
            <w:r w:rsidRPr="001766B2">
              <w:rPr>
                <w:noProof/>
                <w:sz w:val="18"/>
              </w:rPr>
              <w:t>Åtaganden</w:t>
            </w:r>
          </w:p>
        </w:tc>
        <w:tc>
          <w:tcPr>
            <w:tcW w:w="576" w:type="dxa"/>
            <w:vAlign w:val="center"/>
          </w:tcPr>
          <w:p w14:paraId="67365AE5" w14:textId="77777777" w:rsidR="00431F4F" w:rsidRPr="001766B2" w:rsidRDefault="00431F4F" w:rsidP="00431F4F">
            <w:pPr>
              <w:spacing w:before="20" w:after="20"/>
              <w:jc w:val="center"/>
              <w:rPr>
                <w:noProof/>
                <w:sz w:val="14"/>
              </w:rPr>
            </w:pPr>
            <w:r w:rsidRPr="001766B2">
              <w:rPr>
                <w:noProof/>
                <w:sz w:val="14"/>
              </w:rPr>
              <w:t>(1a)</w:t>
            </w:r>
          </w:p>
        </w:tc>
        <w:tc>
          <w:tcPr>
            <w:tcW w:w="703" w:type="dxa"/>
            <w:vAlign w:val="center"/>
          </w:tcPr>
          <w:p w14:paraId="2B4A0186" w14:textId="77777777" w:rsidR="00431F4F" w:rsidRPr="001766B2" w:rsidRDefault="00431F4F" w:rsidP="00431F4F">
            <w:pPr>
              <w:spacing w:before="20" w:after="20"/>
              <w:rPr>
                <w:noProof/>
                <w:sz w:val="22"/>
                <w:lang w:eastAsia="en-GB"/>
              </w:rPr>
            </w:pPr>
          </w:p>
        </w:tc>
        <w:tc>
          <w:tcPr>
            <w:tcW w:w="1134" w:type="dxa"/>
            <w:vAlign w:val="center"/>
          </w:tcPr>
          <w:p w14:paraId="51292E98" w14:textId="77777777" w:rsidR="00431F4F" w:rsidRPr="001766B2" w:rsidRDefault="00431F4F" w:rsidP="00431F4F">
            <w:pPr>
              <w:spacing w:before="20" w:after="20"/>
              <w:jc w:val="right"/>
              <w:rPr>
                <w:noProof/>
                <w:sz w:val="22"/>
                <w:lang w:eastAsia="en-GB"/>
              </w:rPr>
            </w:pPr>
          </w:p>
        </w:tc>
        <w:tc>
          <w:tcPr>
            <w:tcW w:w="1131" w:type="dxa"/>
            <w:vAlign w:val="center"/>
          </w:tcPr>
          <w:p w14:paraId="33ED70E9" w14:textId="77777777" w:rsidR="00431F4F" w:rsidRPr="001766B2" w:rsidRDefault="00431F4F" w:rsidP="00431F4F">
            <w:pPr>
              <w:spacing w:before="20" w:after="20"/>
              <w:jc w:val="right"/>
              <w:rPr>
                <w:noProof/>
                <w:sz w:val="22"/>
                <w:lang w:eastAsia="en-GB"/>
              </w:rPr>
            </w:pPr>
          </w:p>
        </w:tc>
        <w:tc>
          <w:tcPr>
            <w:tcW w:w="992" w:type="dxa"/>
            <w:vAlign w:val="center"/>
          </w:tcPr>
          <w:p w14:paraId="37115F81" w14:textId="77777777" w:rsidR="00431F4F" w:rsidRPr="001766B2" w:rsidRDefault="00431F4F" w:rsidP="00431F4F">
            <w:pPr>
              <w:spacing w:before="20" w:after="20"/>
              <w:rPr>
                <w:noProof/>
                <w:sz w:val="22"/>
                <w:lang w:eastAsia="en-GB"/>
              </w:rPr>
            </w:pPr>
          </w:p>
        </w:tc>
        <w:tc>
          <w:tcPr>
            <w:tcW w:w="709" w:type="dxa"/>
            <w:vAlign w:val="center"/>
          </w:tcPr>
          <w:p w14:paraId="3089AEEE" w14:textId="77777777" w:rsidR="00431F4F" w:rsidRPr="001766B2" w:rsidRDefault="00431F4F" w:rsidP="00431F4F">
            <w:pPr>
              <w:spacing w:before="20" w:after="20"/>
              <w:jc w:val="right"/>
              <w:rPr>
                <w:noProof/>
                <w:sz w:val="22"/>
                <w:lang w:eastAsia="en-GB"/>
              </w:rPr>
            </w:pPr>
          </w:p>
        </w:tc>
        <w:tc>
          <w:tcPr>
            <w:tcW w:w="708" w:type="dxa"/>
            <w:vAlign w:val="center"/>
          </w:tcPr>
          <w:p w14:paraId="2D08BCD9" w14:textId="77777777" w:rsidR="00431F4F" w:rsidRPr="001766B2" w:rsidRDefault="00431F4F" w:rsidP="00431F4F">
            <w:pPr>
              <w:spacing w:before="20" w:after="20"/>
              <w:jc w:val="center"/>
              <w:rPr>
                <w:b/>
                <w:noProof/>
                <w:sz w:val="22"/>
                <w:lang w:eastAsia="en-GB"/>
              </w:rPr>
            </w:pPr>
          </w:p>
        </w:tc>
        <w:tc>
          <w:tcPr>
            <w:tcW w:w="1276" w:type="dxa"/>
            <w:vAlign w:val="center"/>
          </w:tcPr>
          <w:p w14:paraId="4341A93F" w14:textId="77777777" w:rsidR="00431F4F" w:rsidRPr="001766B2" w:rsidRDefault="00431F4F" w:rsidP="00431F4F">
            <w:pPr>
              <w:spacing w:before="20" w:after="20"/>
              <w:jc w:val="center"/>
              <w:rPr>
                <w:b/>
                <w:noProof/>
                <w:sz w:val="22"/>
                <w:lang w:eastAsia="en-GB"/>
              </w:rPr>
            </w:pPr>
          </w:p>
        </w:tc>
        <w:tc>
          <w:tcPr>
            <w:tcW w:w="1843" w:type="dxa"/>
            <w:vAlign w:val="center"/>
          </w:tcPr>
          <w:p w14:paraId="4906BC9D" w14:textId="77777777" w:rsidR="00431F4F" w:rsidRPr="001766B2" w:rsidRDefault="00431F4F" w:rsidP="00431F4F">
            <w:pPr>
              <w:spacing w:before="20" w:after="20"/>
              <w:jc w:val="center"/>
              <w:rPr>
                <w:b/>
                <w:noProof/>
                <w:sz w:val="22"/>
              </w:rPr>
            </w:pPr>
            <w:r w:rsidRPr="001766B2">
              <w:rPr>
                <w:b/>
                <w:noProof/>
                <w:sz w:val="22"/>
              </w:rPr>
              <w:t>0,000</w:t>
            </w:r>
          </w:p>
        </w:tc>
      </w:tr>
      <w:tr w:rsidR="00431F4F" w:rsidRPr="001766B2" w14:paraId="09F5E0AF" w14:textId="77777777" w:rsidTr="00A27D48">
        <w:tc>
          <w:tcPr>
            <w:tcW w:w="3904" w:type="dxa"/>
            <w:vMerge/>
          </w:tcPr>
          <w:p w14:paraId="70E5FD1B" w14:textId="77777777" w:rsidR="00431F4F" w:rsidRPr="001766B2" w:rsidRDefault="00431F4F" w:rsidP="00431F4F">
            <w:pPr>
              <w:jc w:val="center"/>
              <w:rPr>
                <w:noProof/>
                <w:sz w:val="20"/>
                <w:lang w:eastAsia="en-GB"/>
              </w:rPr>
            </w:pPr>
          </w:p>
        </w:tc>
        <w:tc>
          <w:tcPr>
            <w:tcW w:w="1276" w:type="dxa"/>
            <w:vAlign w:val="center"/>
          </w:tcPr>
          <w:p w14:paraId="422BDD1C" w14:textId="77777777" w:rsidR="00431F4F" w:rsidRPr="001766B2" w:rsidRDefault="00431F4F" w:rsidP="00431F4F">
            <w:pPr>
              <w:spacing w:before="20" w:after="20"/>
              <w:rPr>
                <w:noProof/>
                <w:sz w:val="18"/>
              </w:rPr>
            </w:pPr>
            <w:r w:rsidRPr="001766B2">
              <w:rPr>
                <w:noProof/>
                <w:sz w:val="18"/>
              </w:rPr>
              <w:t>Betalningar</w:t>
            </w:r>
          </w:p>
        </w:tc>
        <w:tc>
          <w:tcPr>
            <w:tcW w:w="576" w:type="dxa"/>
            <w:vAlign w:val="center"/>
          </w:tcPr>
          <w:p w14:paraId="27CE4F05" w14:textId="77777777" w:rsidR="00431F4F" w:rsidRPr="001766B2" w:rsidRDefault="00431F4F" w:rsidP="00431F4F">
            <w:pPr>
              <w:spacing w:before="20" w:after="20"/>
              <w:jc w:val="center"/>
              <w:rPr>
                <w:noProof/>
                <w:sz w:val="14"/>
              </w:rPr>
            </w:pPr>
            <w:r w:rsidRPr="001766B2">
              <w:rPr>
                <w:noProof/>
                <w:sz w:val="14"/>
              </w:rPr>
              <w:t>(2 a)</w:t>
            </w:r>
          </w:p>
        </w:tc>
        <w:tc>
          <w:tcPr>
            <w:tcW w:w="703" w:type="dxa"/>
            <w:vAlign w:val="center"/>
          </w:tcPr>
          <w:p w14:paraId="30BA301C" w14:textId="77777777" w:rsidR="00431F4F" w:rsidRPr="001766B2" w:rsidRDefault="00431F4F" w:rsidP="00431F4F">
            <w:pPr>
              <w:spacing w:before="20" w:after="20"/>
              <w:jc w:val="right"/>
              <w:rPr>
                <w:noProof/>
                <w:sz w:val="22"/>
                <w:lang w:eastAsia="en-GB"/>
              </w:rPr>
            </w:pPr>
          </w:p>
        </w:tc>
        <w:tc>
          <w:tcPr>
            <w:tcW w:w="1134" w:type="dxa"/>
            <w:vAlign w:val="center"/>
          </w:tcPr>
          <w:p w14:paraId="71D46BF9" w14:textId="77777777" w:rsidR="00431F4F" w:rsidRPr="001766B2" w:rsidRDefault="00431F4F" w:rsidP="00431F4F">
            <w:pPr>
              <w:spacing w:before="20" w:after="20"/>
              <w:jc w:val="right"/>
              <w:rPr>
                <w:noProof/>
                <w:sz w:val="22"/>
              </w:rPr>
            </w:pPr>
            <w:r w:rsidRPr="001766B2">
              <w:rPr>
                <w:noProof/>
                <w:sz w:val="22"/>
              </w:rPr>
              <w:t>1 743,000</w:t>
            </w:r>
          </w:p>
        </w:tc>
        <w:tc>
          <w:tcPr>
            <w:tcW w:w="1131" w:type="dxa"/>
            <w:vAlign w:val="center"/>
          </w:tcPr>
          <w:p w14:paraId="7D3F2C6F" w14:textId="77777777" w:rsidR="00431F4F" w:rsidRPr="001766B2" w:rsidRDefault="00431F4F" w:rsidP="00431F4F">
            <w:pPr>
              <w:spacing w:before="20" w:after="20"/>
              <w:jc w:val="right"/>
              <w:rPr>
                <w:noProof/>
                <w:sz w:val="22"/>
              </w:rPr>
            </w:pPr>
            <w:r w:rsidRPr="001766B2">
              <w:rPr>
                <w:noProof/>
                <w:sz w:val="22"/>
              </w:rPr>
              <w:t>1 743,000</w:t>
            </w:r>
          </w:p>
        </w:tc>
        <w:tc>
          <w:tcPr>
            <w:tcW w:w="992" w:type="dxa"/>
            <w:vAlign w:val="center"/>
          </w:tcPr>
          <w:p w14:paraId="7B989DA0" w14:textId="77777777" w:rsidR="00431F4F" w:rsidRPr="001766B2" w:rsidRDefault="00431F4F" w:rsidP="00431F4F">
            <w:pPr>
              <w:spacing w:before="20" w:after="20"/>
              <w:jc w:val="right"/>
              <w:rPr>
                <w:noProof/>
                <w:sz w:val="22"/>
              </w:rPr>
            </w:pPr>
            <w:r w:rsidRPr="001766B2">
              <w:rPr>
                <w:noProof/>
                <w:sz w:val="22"/>
              </w:rPr>
              <w:t>-</w:t>
            </w:r>
          </w:p>
        </w:tc>
        <w:tc>
          <w:tcPr>
            <w:tcW w:w="709" w:type="dxa"/>
            <w:vAlign w:val="center"/>
          </w:tcPr>
          <w:p w14:paraId="28E3F458" w14:textId="77777777" w:rsidR="00431F4F" w:rsidRPr="001766B2" w:rsidRDefault="00431F4F" w:rsidP="00431F4F">
            <w:pPr>
              <w:spacing w:before="20" w:after="20"/>
              <w:jc w:val="right"/>
              <w:rPr>
                <w:noProof/>
                <w:sz w:val="22"/>
              </w:rPr>
            </w:pPr>
          </w:p>
        </w:tc>
        <w:tc>
          <w:tcPr>
            <w:tcW w:w="708" w:type="dxa"/>
            <w:vAlign w:val="center"/>
          </w:tcPr>
          <w:p w14:paraId="4C219921" w14:textId="77777777" w:rsidR="00431F4F" w:rsidRPr="001766B2" w:rsidRDefault="00431F4F" w:rsidP="00431F4F">
            <w:pPr>
              <w:spacing w:before="20" w:after="20"/>
              <w:jc w:val="center"/>
              <w:rPr>
                <w:b/>
                <w:noProof/>
                <w:sz w:val="22"/>
                <w:lang w:eastAsia="en-GB"/>
              </w:rPr>
            </w:pPr>
          </w:p>
        </w:tc>
        <w:tc>
          <w:tcPr>
            <w:tcW w:w="1276" w:type="dxa"/>
            <w:vAlign w:val="center"/>
          </w:tcPr>
          <w:p w14:paraId="3FFC5391" w14:textId="77777777" w:rsidR="00431F4F" w:rsidRPr="001766B2" w:rsidRDefault="00841AC1" w:rsidP="00431F4F">
            <w:pPr>
              <w:spacing w:before="20" w:after="20"/>
              <w:jc w:val="center"/>
              <w:rPr>
                <w:b/>
                <w:noProof/>
                <w:sz w:val="22"/>
              </w:rPr>
            </w:pPr>
            <w:r w:rsidRPr="001766B2">
              <w:rPr>
                <w:noProof/>
                <w:sz w:val="22"/>
              </w:rPr>
              <w:t>-3 486,000</w:t>
            </w:r>
          </w:p>
        </w:tc>
        <w:tc>
          <w:tcPr>
            <w:tcW w:w="1843" w:type="dxa"/>
            <w:vAlign w:val="center"/>
          </w:tcPr>
          <w:p w14:paraId="4E1EAD94" w14:textId="77777777" w:rsidR="00431F4F" w:rsidRPr="001766B2" w:rsidRDefault="00431F4F" w:rsidP="00431F4F">
            <w:pPr>
              <w:spacing w:before="20" w:after="20"/>
              <w:jc w:val="center"/>
              <w:rPr>
                <w:b/>
                <w:noProof/>
                <w:sz w:val="22"/>
              </w:rPr>
            </w:pPr>
            <w:r w:rsidRPr="001766B2">
              <w:rPr>
                <w:b/>
                <w:noProof/>
                <w:sz w:val="22"/>
              </w:rPr>
              <w:t>0,000</w:t>
            </w:r>
          </w:p>
        </w:tc>
      </w:tr>
      <w:tr w:rsidR="00431F4F" w:rsidRPr="001766B2" w14:paraId="68C02E5F" w14:textId="77777777" w:rsidTr="00A27D48">
        <w:tc>
          <w:tcPr>
            <w:tcW w:w="3904" w:type="dxa"/>
            <w:vMerge w:val="restart"/>
            <w:vAlign w:val="center"/>
          </w:tcPr>
          <w:p w14:paraId="38B94BDA" w14:textId="77777777" w:rsidR="00431F4F" w:rsidRPr="001766B2" w:rsidRDefault="00431F4F" w:rsidP="00431F4F">
            <w:pPr>
              <w:rPr>
                <w:noProof/>
              </w:rPr>
            </w:pPr>
            <w:r w:rsidRPr="001766B2">
              <w:rPr>
                <w:noProof/>
                <w:sz w:val="20"/>
              </w:rPr>
              <w:t>Budgetrubrik</w:t>
            </w:r>
          </w:p>
        </w:tc>
        <w:tc>
          <w:tcPr>
            <w:tcW w:w="1276" w:type="dxa"/>
            <w:vAlign w:val="center"/>
          </w:tcPr>
          <w:p w14:paraId="379FBF77" w14:textId="77777777" w:rsidR="00431F4F" w:rsidRPr="001766B2" w:rsidRDefault="00431F4F" w:rsidP="00431F4F">
            <w:pPr>
              <w:spacing w:before="20" w:after="20"/>
              <w:rPr>
                <w:noProof/>
                <w:sz w:val="18"/>
              </w:rPr>
            </w:pPr>
            <w:r w:rsidRPr="001766B2">
              <w:rPr>
                <w:noProof/>
                <w:sz w:val="18"/>
              </w:rPr>
              <w:t>Åtaganden</w:t>
            </w:r>
          </w:p>
        </w:tc>
        <w:tc>
          <w:tcPr>
            <w:tcW w:w="576" w:type="dxa"/>
            <w:vAlign w:val="center"/>
          </w:tcPr>
          <w:p w14:paraId="068106D6" w14:textId="77777777" w:rsidR="00431F4F" w:rsidRPr="001766B2" w:rsidRDefault="00431F4F" w:rsidP="00431F4F">
            <w:pPr>
              <w:spacing w:before="20" w:after="20"/>
              <w:jc w:val="center"/>
              <w:rPr>
                <w:noProof/>
                <w:sz w:val="14"/>
              </w:rPr>
            </w:pPr>
            <w:r w:rsidRPr="001766B2">
              <w:rPr>
                <w:noProof/>
                <w:sz w:val="14"/>
              </w:rPr>
              <w:t>(1b)</w:t>
            </w:r>
          </w:p>
        </w:tc>
        <w:tc>
          <w:tcPr>
            <w:tcW w:w="703" w:type="dxa"/>
            <w:vAlign w:val="center"/>
          </w:tcPr>
          <w:p w14:paraId="1EEFE19D" w14:textId="77777777" w:rsidR="00431F4F" w:rsidRPr="001766B2" w:rsidRDefault="00431F4F" w:rsidP="00431F4F">
            <w:pPr>
              <w:spacing w:before="20" w:after="20"/>
              <w:jc w:val="right"/>
              <w:rPr>
                <w:noProof/>
                <w:sz w:val="20"/>
                <w:lang w:eastAsia="en-GB"/>
              </w:rPr>
            </w:pPr>
          </w:p>
        </w:tc>
        <w:tc>
          <w:tcPr>
            <w:tcW w:w="1134" w:type="dxa"/>
            <w:vAlign w:val="center"/>
          </w:tcPr>
          <w:p w14:paraId="73AEFB68" w14:textId="77777777" w:rsidR="00431F4F" w:rsidRPr="001766B2" w:rsidRDefault="00431F4F" w:rsidP="00431F4F">
            <w:pPr>
              <w:spacing w:before="20" w:after="20"/>
              <w:jc w:val="right"/>
              <w:rPr>
                <w:noProof/>
                <w:sz w:val="20"/>
                <w:lang w:eastAsia="en-GB"/>
              </w:rPr>
            </w:pPr>
          </w:p>
        </w:tc>
        <w:tc>
          <w:tcPr>
            <w:tcW w:w="1131" w:type="dxa"/>
            <w:vAlign w:val="center"/>
          </w:tcPr>
          <w:p w14:paraId="1AEFA78A" w14:textId="77777777" w:rsidR="00431F4F" w:rsidRPr="001766B2" w:rsidRDefault="00431F4F" w:rsidP="00431F4F">
            <w:pPr>
              <w:spacing w:before="20" w:after="20"/>
              <w:jc w:val="right"/>
              <w:rPr>
                <w:noProof/>
                <w:sz w:val="20"/>
                <w:lang w:eastAsia="en-GB"/>
              </w:rPr>
            </w:pPr>
          </w:p>
        </w:tc>
        <w:tc>
          <w:tcPr>
            <w:tcW w:w="992" w:type="dxa"/>
            <w:vAlign w:val="center"/>
          </w:tcPr>
          <w:p w14:paraId="76FB1C31" w14:textId="77777777" w:rsidR="00431F4F" w:rsidRPr="001766B2" w:rsidRDefault="00431F4F" w:rsidP="00431F4F">
            <w:pPr>
              <w:spacing w:before="20" w:after="20"/>
              <w:jc w:val="right"/>
              <w:rPr>
                <w:noProof/>
                <w:sz w:val="20"/>
                <w:lang w:eastAsia="en-GB"/>
              </w:rPr>
            </w:pPr>
          </w:p>
        </w:tc>
        <w:tc>
          <w:tcPr>
            <w:tcW w:w="709" w:type="dxa"/>
          </w:tcPr>
          <w:p w14:paraId="1A757372" w14:textId="77777777" w:rsidR="00431F4F" w:rsidRPr="001766B2" w:rsidRDefault="00431F4F" w:rsidP="00431F4F">
            <w:pPr>
              <w:spacing w:before="20" w:after="20"/>
              <w:jc w:val="right"/>
              <w:rPr>
                <w:noProof/>
                <w:sz w:val="20"/>
                <w:lang w:eastAsia="en-GB"/>
              </w:rPr>
            </w:pPr>
          </w:p>
        </w:tc>
        <w:tc>
          <w:tcPr>
            <w:tcW w:w="708" w:type="dxa"/>
          </w:tcPr>
          <w:p w14:paraId="26DAA8C5" w14:textId="77777777" w:rsidR="00431F4F" w:rsidRPr="001766B2" w:rsidRDefault="00431F4F" w:rsidP="00431F4F">
            <w:pPr>
              <w:spacing w:before="20" w:after="20"/>
              <w:jc w:val="right"/>
              <w:rPr>
                <w:b/>
                <w:noProof/>
                <w:sz w:val="20"/>
                <w:lang w:eastAsia="en-GB"/>
              </w:rPr>
            </w:pPr>
          </w:p>
        </w:tc>
        <w:tc>
          <w:tcPr>
            <w:tcW w:w="1276" w:type="dxa"/>
          </w:tcPr>
          <w:p w14:paraId="2D894491" w14:textId="77777777" w:rsidR="00431F4F" w:rsidRPr="001766B2" w:rsidRDefault="00431F4F" w:rsidP="00431F4F">
            <w:pPr>
              <w:spacing w:before="20" w:after="20"/>
              <w:jc w:val="right"/>
              <w:rPr>
                <w:b/>
                <w:noProof/>
                <w:sz w:val="20"/>
                <w:lang w:eastAsia="en-GB"/>
              </w:rPr>
            </w:pPr>
          </w:p>
        </w:tc>
        <w:tc>
          <w:tcPr>
            <w:tcW w:w="1843" w:type="dxa"/>
            <w:vAlign w:val="center"/>
          </w:tcPr>
          <w:p w14:paraId="06182E98" w14:textId="77777777" w:rsidR="00431F4F" w:rsidRPr="001766B2" w:rsidRDefault="00431F4F" w:rsidP="00431F4F">
            <w:pPr>
              <w:spacing w:before="20" w:after="20"/>
              <w:jc w:val="right"/>
              <w:rPr>
                <w:b/>
                <w:noProof/>
                <w:sz w:val="20"/>
                <w:lang w:eastAsia="en-GB"/>
              </w:rPr>
            </w:pPr>
          </w:p>
        </w:tc>
      </w:tr>
      <w:tr w:rsidR="00431F4F" w:rsidRPr="001766B2" w14:paraId="2BE770FF" w14:textId="77777777" w:rsidTr="00A27D48">
        <w:tc>
          <w:tcPr>
            <w:tcW w:w="3904" w:type="dxa"/>
            <w:vMerge/>
          </w:tcPr>
          <w:p w14:paraId="2FBFD259" w14:textId="77777777" w:rsidR="00431F4F" w:rsidRPr="001766B2" w:rsidRDefault="00431F4F" w:rsidP="00431F4F">
            <w:pPr>
              <w:jc w:val="center"/>
              <w:rPr>
                <w:noProof/>
                <w:sz w:val="20"/>
                <w:lang w:eastAsia="en-GB"/>
              </w:rPr>
            </w:pPr>
          </w:p>
        </w:tc>
        <w:tc>
          <w:tcPr>
            <w:tcW w:w="1276" w:type="dxa"/>
            <w:vAlign w:val="center"/>
          </w:tcPr>
          <w:p w14:paraId="6CF56005" w14:textId="77777777" w:rsidR="00431F4F" w:rsidRPr="001766B2" w:rsidRDefault="00431F4F" w:rsidP="00431F4F">
            <w:pPr>
              <w:spacing w:before="20" w:after="20"/>
              <w:rPr>
                <w:noProof/>
                <w:sz w:val="18"/>
              </w:rPr>
            </w:pPr>
            <w:r w:rsidRPr="001766B2">
              <w:rPr>
                <w:noProof/>
                <w:sz w:val="18"/>
              </w:rPr>
              <w:t>Betalningar</w:t>
            </w:r>
          </w:p>
        </w:tc>
        <w:tc>
          <w:tcPr>
            <w:tcW w:w="576" w:type="dxa"/>
            <w:vAlign w:val="center"/>
          </w:tcPr>
          <w:p w14:paraId="1C7188CB" w14:textId="77777777" w:rsidR="00431F4F" w:rsidRPr="001766B2" w:rsidRDefault="00431F4F" w:rsidP="00431F4F">
            <w:pPr>
              <w:spacing w:before="20" w:after="20"/>
              <w:jc w:val="center"/>
              <w:rPr>
                <w:noProof/>
                <w:sz w:val="14"/>
              </w:rPr>
            </w:pPr>
            <w:r w:rsidRPr="001766B2">
              <w:rPr>
                <w:noProof/>
                <w:sz w:val="14"/>
              </w:rPr>
              <w:t>(2b)</w:t>
            </w:r>
          </w:p>
        </w:tc>
        <w:tc>
          <w:tcPr>
            <w:tcW w:w="703" w:type="dxa"/>
            <w:vAlign w:val="center"/>
          </w:tcPr>
          <w:p w14:paraId="4A9999A7" w14:textId="77777777" w:rsidR="00431F4F" w:rsidRPr="001766B2" w:rsidRDefault="00431F4F" w:rsidP="00431F4F">
            <w:pPr>
              <w:spacing w:before="20" w:after="20"/>
              <w:jc w:val="right"/>
              <w:rPr>
                <w:noProof/>
                <w:sz w:val="20"/>
                <w:lang w:eastAsia="en-GB"/>
              </w:rPr>
            </w:pPr>
          </w:p>
        </w:tc>
        <w:tc>
          <w:tcPr>
            <w:tcW w:w="1134" w:type="dxa"/>
            <w:vAlign w:val="center"/>
          </w:tcPr>
          <w:p w14:paraId="01A88792" w14:textId="77777777" w:rsidR="00431F4F" w:rsidRPr="001766B2" w:rsidRDefault="00431F4F" w:rsidP="00431F4F">
            <w:pPr>
              <w:spacing w:before="20" w:after="20"/>
              <w:jc w:val="right"/>
              <w:rPr>
                <w:noProof/>
                <w:sz w:val="20"/>
                <w:lang w:eastAsia="en-GB"/>
              </w:rPr>
            </w:pPr>
          </w:p>
        </w:tc>
        <w:tc>
          <w:tcPr>
            <w:tcW w:w="1131" w:type="dxa"/>
            <w:vAlign w:val="center"/>
          </w:tcPr>
          <w:p w14:paraId="39658EBB" w14:textId="77777777" w:rsidR="00431F4F" w:rsidRPr="001766B2" w:rsidRDefault="00431F4F" w:rsidP="00431F4F">
            <w:pPr>
              <w:spacing w:before="20" w:after="20"/>
              <w:jc w:val="right"/>
              <w:rPr>
                <w:noProof/>
                <w:sz w:val="20"/>
                <w:lang w:eastAsia="en-GB"/>
              </w:rPr>
            </w:pPr>
          </w:p>
        </w:tc>
        <w:tc>
          <w:tcPr>
            <w:tcW w:w="992" w:type="dxa"/>
            <w:vAlign w:val="center"/>
          </w:tcPr>
          <w:p w14:paraId="08217999" w14:textId="77777777" w:rsidR="00431F4F" w:rsidRPr="001766B2" w:rsidRDefault="00431F4F" w:rsidP="00431F4F">
            <w:pPr>
              <w:spacing w:before="20" w:after="20"/>
              <w:jc w:val="right"/>
              <w:rPr>
                <w:noProof/>
                <w:sz w:val="20"/>
                <w:lang w:eastAsia="en-GB"/>
              </w:rPr>
            </w:pPr>
          </w:p>
        </w:tc>
        <w:tc>
          <w:tcPr>
            <w:tcW w:w="709" w:type="dxa"/>
          </w:tcPr>
          <w:p w14:paraId="0742A379" w14:textId="77777777" w:rsidR="00431F4F" w:rsidRPr="001766B2" w:rsidRDefault="00431F4F" w:rsidP="00431F4F">
            <w:pPr>
              <w:spacing w:before="20" w:after="20"/>
              <w:jc w:val="right"/>
              <w:rPr>
                <w:noProof/>
                <w:sz w:val="20"/>
                <w:lang w:eastAsia="en-GB"/>
              </w:rPr>
            </w:pPr>
          </w:p>
        </w:tc>
        <w:tc>
          <w:tcPr>
            <w:tcW w:w="708" w:type="dxa"/>
          </w:tcPr>
          <w:p w14:paraId="228617F9" w14:textId="77777777" w:rsidR="00431F4F" w:rsidRPr="001766B2" w:rsidRDefault="00431F4F" w:rsidP="00431F4F">
            <w:pPr>
              <w:spacing w:before="20" w:after="20"/>
              <w:jc w:val="right"/>
              <w:rPr>
                <w:b/>
                <w:noProof/>
                <w:sz w:val="20"/>
                <w:lang w:eastAsia="en-GB"/>
              </w:rPr>
            </w:pPr>
          </w:p>
        </w:tc>
        <w:tc>
          <w:tcPr>
            <w:tcW w:w="1276" w:type="dxa"/>
          </w:tcPr>
          <w:p w14:paraId="0D527C15" w14:textId="77777777" w:rsidR="00431F4F" w:rsidRPr="001766B2" w:rsidRDefault="00431F4F" w:rsidP="00431F4F">
            <w:pPr>
              <w:spacing w:before="20" w:after="20"/>
              <w:jc w:val="right"/>
              <w:rPr>
                <w:b/>
                <w:noProof/>
                <w:sz w:val="20"/>
                <w:lang w:eastAsia="en-GB"/>
              </w:rPr>
            </w:pPr>
          </w:p>
        </w:tc>
        <w:tc>
          <w:tcPr>
            <w:tcW w:w="1843" w:type="dxa"/>
            <w:vAlign w:val="center"/>
          </w:tcPr>
          <w:p w14:paraId="306EF631" w14:textId="77777777" w:rsidR="00431F4F" w:rsidRPr="001766B2" w:rsidRDefault="00431F4F" w:rsidP="00431F4F">
            <w:pPr>
              <w:spacing w:before="20" w:after="20"/>
              <w:jc w:val="right"/>
              <w:rPr>
                <w:b/>
                <w:noProof/>
                <w:sz w:val="20"/>
                <w:lang w:eastAsia="en-GB"/>
              </w:rPr>
            </w:pPr>
          </w:p>
        </w:tc>
      </w:tr>
      <w:tr w:rsidR="00841AC1" w:rsidRPr="001766B2" w14:paraId="33BC0437" w14:textId="77777777" w:rsidTr="00841AC1">
        <w:trPr>
          <w:trHeight w:val="231"/>
        </w:trPr>
        <w:tc>
          <w:tcPr>
            <w:tcW w:w="5756" w:type="dxa"/>
            <w:gridSpan w:val="3"/>
            <w:vAlign w:val="center"/>
          </w:tcPr>
          <w:p w14:paraId="68E6AD24" w14:textId="77777777" w:rsidR="00841AC1" w:rsidRPr="001766B2" w:rsidRDefault="00841AC1" w:rsidP="00431F4F">
            <w:pPr>
              <w:spacing w:before="20" w:after="20"/>
              <w:rPr>
                <w:noProof/>
              </w:rPr>
            </w:pPr>
            <w:r w:rsidRPr="001766B2">
              <w:rPr>
                <w:noProof/>
                <w:sz w:val="21"/>
              </w:rPr>
              <w:t>Anslag av administrativ natur som finansieras genom ramanslagen för vissa operativa program</w:t>
            </w:r>
            <w:r w:rsidRPr="001766B2">
              <w:rPr>
                <w:rStyle w:val="FootnoteReference"/>
                <w:noProof/>
              </w:rPr>
              <w:footnoteReference w:id="25"/>
            </w:r>
            <w:r w:rsidRPr="001766B2">
              <w:rPr>
                <w:noProof/>
                <w:sz w:val="21"/>
              </w:rPr>
              <w:t xml:space="preserve"> </w:t>
            </w:r>
          </w:p>
          <w:p w14:paraId="748D3B5B" w14:textId="77777777" w:rsidR="00841AC1" w:rsidRPr="001766B2" w:rsidRDefault="00841AC1" w:rsidP="00431F4F">
            <w:pPr>
              <w:spacing w:before="0" w:after="0"/>
              <w:rPr>
                <w:noProof/>
                <w:lang w:eastAsia="en-GB"/>
              </w:rPr>
            </w:pPr>
          </w:p>
        </w:tc>
        <w:tc>
          <w:tcPr>
            <w:tcW w:w="703" w:type="dxa"/>
            <w:vAlign w:val="center"/>
          </w:tcPr>
          <w:p w14:paraId="692B06DF" w14:textId="77777777" w:rsidR="00841AC1" w:rsidRPr="001766B2" w:rsidRDefault="00841AC1" w:rsidP="00431F4F">
            <w:pPr>
              <w:rPr>
                <w:b/>
                <w:noProof/>
                <w:sz w:val="20"/>
                <w:lang w:eastAsia="en-GB"/>
              </w:rPr>
            </w:pPr>
          </w:p>
        </w:tc>
        <w:tc>
          <w:tcPr>
            <w:tcW w:w="1134" w:type="dxa"/>
            <w:vAlign w:val="center"/>
          </w:tcPr>
          <w:p w14:paraId="32B379BF" w14:textId="77777777" w:rsidR="00841AC1" w:rsidRPr="001766B2" w:rsidRDefault="00841AC1" w:rsidP="00431F4F">
            <w:pPr>
              <w:rPr>
                <w:b/>
                <w:noProof/>
                <w:sz w:val="20"/>
                <w:lang w:eastAsia="en-GB"/>
              </w:rPr>
            </w:pPr>
          </w:p>
        </w:tc>
        <w:tc>
          <w:tcPr>
            <w:tcW w:w="1131" w:type="dxa"/>
            <w:vAlign w:val="center"/>
          </w:tcPr>
          <w:p w14:paraId="2A525AF9" w14:textId="77777777" w:rsidR="00841AC1" w:rsidRPr="001766B2" w:rsidRDefault="00841AC1" w:rsidP="00431F4F">
            <w:pPr>
              <w:rPr>
                <w:b/>
                <w:noProof/>
                <w:sz w:val="20"/>
                <w:lang w:eastAsia="en-GB"/>
              </w:rPr>
            </w:pPr>
          </w:p>
        </w:tc>
        <w:tc>
          <w:tcPr>
            <w:tcW w:w="992" w:type="dxa"/>
            <w:vAlign w:val="center"/>
          </w:tcPr>
          <w:p w14:paraId="3478B9FB" w14:textId="77777777" w:rsidR="00841AC1" w:rsidRPr="001766B2" w:rsidRDefault="00841AC1" w:rsidP="00431F4F">
            <w:pPr>
              <w:rPr>
                <w:b/>
                <w:noProof/>
                <w:sz w:val="20"/>
                <w:lang w:eastAsia="en-GB"/>
              </w:rPr>
            </w:pPr>
          </w:p>
        </w:tc>
        <w:tc>
          <w:tcPr>
            <w:tcW w:w="709" w:type="dxa"/>
          </w:tcPr>
          <w:p w14:paraId="16839C84" w14:textId="77777777" w:rsidR="00841AC1" w:rsidRPr="001766B2" w:rsidRDefault="00841AC1" w:rsidP="00431F4F">
            <w:pPr>
              <w:rPr>
                <w:b/>
                <w:noProof/>
                <w:sz w:val="20"/>
                <w:lang w:eastAsia="en-GB"/>
              </w:rPr>
            </w:pPr>
          </w:p>
        </w:tc>
        <w:tc>
          <w:tcPr>
            <w:tcW w:w="708" w:type="dxa"/>
            <w:vAlign w:val="center"/>
          </w:tcPr>
          <w:p w14:paraId="52182E9F" w14:textId="77777777" w:rsidR="00841AC1" w:rsidRPr="001766B2" w:rsidRDefault="00841AC1" w:rsidP="00431F4F">
            <w:pPr>
              <w:rPr>
                <w:b/>
                <w:noProof/>
                <w:sz w:val="20"/>
                <w:lang w:eastAsia="en-GB"/>
              </w:rPr>
            </w:pPr>
          </w:p>
        </w:tc>
        <w:tc>
          <w:tcPr>
            <w:tcW w:w="1276" w:type="dxa"/>
          </w:tcPr>
          <w:p w14:paraId="04C16C39" w14:textId="77777777" w:rsidR="00841AC1" w:rsidRPr="001766B2" w:rsidRDefault="00841AC1" w:rsidP="00431F4F">
            <w:pPr>
              <w:rPr>
                <w:b/>
                <w:noProof/>
                <w:sz w:val="20"/>
                <w:lang w:eastAsia="en-GB"/>
              </w:rPr>
            </w:pPr>
          </w:p>
        </w:tc>
        <w:tc>
          <w:tcPr>
            <w:tcW w:w="1843" w:type="dxa"/>
            <w:vAlign w:val="center"/>
          </w:tcPr>
          <w:p w14:paraId="0B616DC0" w14:textId="77777777" w:rsidR="00841AC1" w:rsidRPr="001766B2" w:rsidRDefault="00841AC1" w:rsidP="00431F4F">
            <w:pPr>
              <w:rPr>
                <w:b/>
                <w:noProof/>
                <w:sz w:val="20"/>
                <w:lang w:eastAsia="en-GB"/>
              </w:rPr>
            </w:pPr>
          </w:p>
        </w:tc>
      </w:tr>
      <w:tr w:rsidR="00431F4F" w:rsidRPr="001766B2" w14:paraId="76152B4F" w14:textId="77777777" w:rsidTr="00A27D48">
        <w:trPr>
          <w:trHeight w:val="319"/>
        </w:trPr>
        <w:tc>
          <w:tcPr>
            <w:tcW w:w="3904" w:type="dxa"/>
            <w:vAlign w:val="center"/>
          </w:tcPr>
          <w:p w14:paraId="4EFA84ED" w14:textId="77777777" w:rsidR="00431F4F" w:rsidRPr="001766B2" w:rsidRDefault="00431F4F" w:rsidP="00431F4F">
            <w:pPr>
              <w:spacing w:before="60" w:after="60"/>
              <w:rPr>
                <w:noProof/>
              </w:rPr>
            </w:pPr>
            <w:r w:rsidRPr="001766B2">
              <w:rPr>
                <w:noProof/>
                <w:sz w:val="20"/>
              </w:rPr>
              <w:t>Budgetrubrik</w:t>
            </w:r>
          </w:p>
        </w:tc>
        <w:tc>
          <w:tcPr>
            <w:tcW w:w="1276" w:type="dxa"/>
            <w:vAlign w:val="center"/>
          </w:tcPr>
          <w:p w14:paraId="7BCA54DB" w14:textId="77777777" w:rsidR="00431F4F" w:rsidRPr="001766B2" w:rsidRDefault="00431F4F" w:rsidP="00431F4F">
            <w:pPr>
              <w:spacing w:before="40" w:after="40"/>
              <w:jc w:val="right"/>
              <w:rPr>
                <w:noProof/>
                <w:sz w:val="18"/>
                <w:lang w:eastAsia="en-GB"/>
              </w:rPr>
            </w:pPr>
          </w:p>
        </w:tc>
        <w:tc>
          <w:tcPr>
            <w:tcW w:w="576" w:type="dxa"/>
            <w:vAlign w:val="center"/>
          </w:tcPr>
          <w:p w14:paraId="1C2650D1" w14:textId="77777777" w:rsidR="00431F4F" w:rsidRPr="001766B2" w:rsidRDefault="00431F4F" w:rsidP="00431F4F">
            <w:pPr>
              <w:spacing w:before="40" w:after="40"/>
              <w:jc w:val="center"/>
              <w:rPr>
                <w:noProof/>
                <w:sz w:val="14"/>
              </w:rPr>
            </w:pPr>
            <w:r w:rsidRPr="001766B2">
              <w:rPr>
                <w:noProof/>
                <w:sz w:val="14"/>
              </w:rPr>
              <w:t>(3)</w:t>
            </w:r>
          </w:p>
        </w:tc>
        <w:tc>
          <w:tcPr>
            <w:tcW w:w="703" w:type="dxa"/>
            <w:vAlign w:val="center"/>
          </w:tcPr>
          <w:p w14:paraId="04F73420" w14:textId="77777777" w:rsidR="00431F4F" w:rsidRPr="001766B2" w:rsidRDefault="00431F4F" w:rsidP="00431F4F">
            <w:pPr>
              <w:spacing w:before="40" w:after="40"/>
              <w:jc w:val="right"/>
              <w:rPr>
                <w:b/>
                <w:noProof/>
                <w:sz w:val="20"/>
                <w:lang w:eastAsia="en-GB"/>
              </w:rPr>
            </w:pPr>
          </w:p>
        </w:tc>
        <w:tc>
          <w:tcPr>
            <w:tcW w:w="1134" w:type="dxa"/>
            <w:vAlign w:val="center"/>
          </w:tcPr>
          <w:p w14:paraId="1A976D12" w14:textId="77777777" w:rsidR="00431F4F" w:rsidRPr="001766B2" w:rsidRDefault="00431F4F" w:rsidP="00431F4F">
            <w:pPr>
              <w:spacing w:before="40" w:after="40"/>
              <w:jc w:val="right"/>
              <w:rPr>
                <w:b/>
                <w:noProof/>
                <w:sz w:val="20"/>
                <w:lang w:eastAsia="en-GB"/>
              </w:rPr>
            </w:pPr>
          </w:p>
        </w:tc>
        <w:tc>
          <w:tcPr>
            <w:tcW w:w="1131" w:type="dxa"/>
            <w:vAlign w:val="center"/>
          </w:tcPr>
          <w:p w14:paraId="3E3FFCEB" w14:textId="77777777" w:rsidR="00431F4F" w:rsidRPr="001766B2" w:rsidRDefault="00431F4F" w:rsidP="00431F4F">
            <w:pPr>
              <w:spacing w:before="40" w:after="40"/>
              <w:jc w:val="right"/>
              <w:rPr>
                <w:b/>
                <w:noProof/>
                <w:sz w:val="20"/>
                <w:lang w:eastAsia="en-GB"/>
              </w:rPr>
            </w:pPr>
          </w:p>
        </w:tc>
        <w:tc>
          <w:tcPr>
            <w:tcW w:w="992" w:type="dxa"/>
            <w:vAlign w:val="center"/>
          </w:tcPr>
          <w:p w14:paraId="37D691BF" w14:textId="77777777" w:rsidR="00431F4F" w:rsidRPr="001766B2" w:rsidRDefault="00431F4F" w:rsidP="00431F4F">
            <w:pPr>
              <w:spacing w:before="40" w:after="40"/>
              <w:jc w:val="right"/>
              <w:rPr>
                <w:b/>
                <w:noProof/>
                <w:sz w:val="20"/>
                <w:lang w:eastAsia="en-GB"/>
              </w:rPr>
            </w:pPr>
          </w:p>
        </w:tc>
        <w:tc>
          <w:tcPr>
            <w:tcW w:w="709" w:type="dxa"/>
          </w:tcPr>
          <w:p w14:paraId="3DA22614" w14:textId="77777777" w:rsidR="00431F4F" w:rsidRPr="001766B2" w:rsidRDefault="00431F4F" w:rsidP="00431F4F">
            <w:pPr>
              <w:spacing w:before="40" w:after="40"/>
              <w:jc w:val="right"/>
              <w:rPr>
                <w:b/>
                <w:noProof/>
                <w:sz w:val="20"/>
                <w:lang w:eastAsia="en-GB"/>
              </w:rPr>
            </w:pPr>
          </w:p>
        </w:tc>
        <w:tc>
          <w:tcPr>
            <w:tcW w:w="708" w:type="dxa"/>
          </w:tcPr>
          <w:p w14:paraId="109B9101" w14:textId="77777777" w:rsidR="00431F4F" w:rsidRPr="001766B2" w:rsidRDefault="00431F4F" w:rsidP="00431F4F">
            <w:pPr>
              <w:spacing w:before="40" w:after="40"/>
              <w:jc w:val="right"/>
              <w:rPr>
                <w:b/>
                <w:noProof/>
                <w:sz w:val="20"/>
                <w:lang w:eastAsia="en-GB"/>
              </w:rPr>
            </w:pPr>
          </w:p>
        </w:tc>
        <w:tc>
          <w:tcPr>
            <w:tcW w:w="1276" w:type="dxa"/>
          </w:tcPr>
          <w:p w14:paraId="3B168EA2" w14:textId="77777777" w:rsidR="00431F4F" w:rsidRPr="001766B2" w:rsidRDefault="00431F4F" w:rsidP="00431F4F">
            <w:pPr>
              <w:spacing w:before="40" w:after="40"/>
              <w:jc w:val="right"/>
              <w:rPr>
                <w:b/>
                <w:noProof/>
                <w:sz w:val="20"/>
                <w:lang w:eastAsia="en-GB"/>
              </w:rPr>
            </w:pPr>
          </w:p>
        </w:tc>
        <w:tc>
          <w:tcPr>
            <w:tcW w:w="1843" w:type="dxa"/>
            <w:vAlign w:val="center"/>
          </w:tcPr>
          <w:p w14:paraId="6B6AAA53" w14:textId="77777777" w:rsidR="00431F4F" w:rsidRPr="001766B2" w:rsidRDefault="00431F4F" w:rsidP="00431F4F">
            <w:pPr>
              <w:spacing w:before="40" w:after="40"/>
              <w:jc w:val="right"/>
              <w:rPr>
                <w:b/>
                <w:noProof/>
                <w:sz w:val="20"/>
                <w:lang w:eastAsia="en-GB"/>
              </w:rPr>
            </w:pPr>
          </w:p>
        </w:tc>
      </w:tr>
      <w:tr w:rsidR="00431F4F" w:rsidRPr="001766B2" w14:paraId="7325DF33" w14:textId="77777777" w:rsidTr="00A27D48">
        <w:tc>
          <w:tcPr>
            <w:tcW w:w="3904" w:type="dxa"/>
            <w:vMerge w:val="restart"/>
            <w:vAlign w:val="center"/>
          </w:tcPr>
          <w:p w14:paraId="252B6AF7" w14:textId="77777777" w:rsidR="00431F4F" w:rsidRPr="001766B2" w:rsidRDefault="00431F4F" w:rsidP="00431F4F">
            <w:pPr>
              <w:jc w:val="center"/>
              <w:rPr>
                <w:b/>
                <w:noProof/>
              </w:rPr>
            </w:pPr>
            <w:r w:rsidRPr="001766B2">
              <w:rPr>
                <w:b/>
                <w:noProof/>
                <w:sz w:val="22"/>
              </w:rPr>
              <w:t>TOTALA anslag</w:t>
            </w:r>
            <w:r w:rsidRPr="001766B2">
              <w:rPr>
                <w:noProof/>
              </w:rPr>
              <w:t xml:space="preserve"> </w:t>
            </w:r>
            <w:r w:rsidRPr="001766B2">
              <w:rPr>
                <w:noProof/>
              </w:rPr>
              <w:br/>
            </w:r>
            <w:r w:rsidRPr="001766B2">
              <w:rPr>
                <w:noProof/>
                <w:sz w:val="22"/>
              </w:rPr>
              <w:t>för GD Regional- och stadspolitik och GD Sysselsättning, socialpolitik och inkludering</w:t>
            </w:r>
          </w:p>
        </w:tc>
        <w:tc>
          <w:tcPr>
            <w:tcW w:w="1276" w:type="dxa"/>
            <w:vAlign w:val="center"/>
          </w:tcPr>
          <w:p w14:paraId="0DB3438D" w14:textId="77777777" w:rsidR="00431F4F" w:rsidRPr="001766B2" w:rsidRDefault="00431F4F" w:rsidP="00431F4F">
            <w:pPr>
              <w:rPr>
                <w:noProof/>
                <w:sz w:val="18"/>
              </w:rPr>
            </w:pPr>
            <w:r w:rsidRPr="001766B2">
              <w:rPr>
                <w:noProof/>
                <w:sz w:val="18"/>
              </w:rPr>
              <w:t>Åtaganden</w:t>
            </w:r>
          </w:p>
        </w:tc>
        <w:tc>
          <w:tcPr>
            <w:tcW w:w="576" w:type="dxa"/>
            <w:vAlign w:val="center"/>
          </w:tcPr>
          <w:p w14:paraId="31332614" w14:textId="77777777" w:rsidR="00431F4F" w:rsidRPr="001766B2" w:rsidRDefault="00431F4F" w:rsidP="00431F4F">
            <w:pPr>
              <w:jc w:val="center"/>
              <w:rPr>
                <w:noProof/>
                <w:sz w:val="14"/>
              </w:rPr>
            </w:pPr>
            <w:r w:rsidRPr="001766B2">
              <w:rPr>
                <w:noProof/>
                <w:sz w:val="14"/>
              </w:rPr>
              <w:t>=1a+1b +3</w:t>
            </w:r>
          </w:p>
        </w:tc>
        <w:tc>
          <w:tcPr>
            <w:tcW w:w="703" w:type="dxa"/>
            <w:vAlign w:val="center"/>
          </w:tcPr>
          <w:p w14:paraId="1248AD67" w14:textId="77777777" w:rsidR="00431F4F" w:rsidRPr="001766B2" w:rsidRDefault="00431F4F" w:rsidP="00431F4F">
            <w:pPr>
              <w:spacing w:before="20" w:after="20"/>
              <w:jc w:val="right"/>
              <w:rPr>
                <w:noProof/>
                <w:sz w:val="22"/>
                <w:lang w:eastAsia="en-GB"/>
              </w:rPr>
            </w:pPr>
          </w:p>
        </w:tc>
        <w:tc>
          <w:tcPr>
            <w:tcW w:w="1134" w:type="dxa"/>
            <w:vAlign w:val="center"/>
          </w:tcPr>
          <w:p w14:paraId="0930FD9F" w14:textId="77777777" w:rsidR="00431F4F" w:rsidRPr="001766B2" w:rsidRDefault="00431F4F" w:rsidP="00431F4F">
            <w:pPr>
              <w:spacing w:before="20" w:after="20"/>
              <w:jc w:val="right"/>
              <w:rPr>
                <w:noProof/>
                <w:sz w:val="22"/>
                <w:lang w:eastAsia="en-GB"/>
              </w:rPr>
            </w:pPr>
          </w:p>
        </w:tc>
        <w:tc>
          <w:tcPr>
            <w:tcW w:w="1131" w:type="dxa"/>
            <w:vAlign w:val="center"/>
          </w:tcPr>
          <w:p w14:paraId="377E6EE4" w14:textId="77777777" w:rsidR="00431F4F" w:rsidRPr="001766B2" w:rsidRDefault="00431F4F" w:rsidP="00431F4F">
            <w:pPr>
              <w:spacing w:before="20" w:after="20"/>
              <w:jc w:val="right"/>
              <w:rPr>
                <w:noProof/>
                <w:sz w:val="22"/>
                <w:lang w:eastAsia="en-GB"/>
              </w:rPr>
            </w:pPr>
          </w:p>
        </w:tc>
        <w:tc>
          <w:tcPr>
            <w:tcW w:w="992" w:type="dxa"/>
            <w:vAlign w:val="center"/>
          </w:tcPr>
          <w:p w14:paraId="0870E82A" w14:textId="77777777" w:rsidR="00431F4F" w:rsidRPr="001766B2" w:rsidRDefault="00431F4F" w:rsidP="00431F4F">
            <w:pPr>
              <w:spacing w:before="20" w:after="20"/>
              <w:jc w:val="right"/>
              <w:rPr>
                <w:noProof/>
                <w:sz w:val="22"/>
                <w:lang w:eastAsia="en-GB"/>
              </w:rPr>
            </w:pPr>
          </w:p>
        </w:tc>
        <w:tc>
          <w:tcPr>
            <w:tcW w:w="709" w:type="dxa"/>
            <w:vAlign w:val="center"/>
          </w:tcPr>
          <w:p w14:paraId="6E8743BC" w14:textId="77777777" w:rsidR="00431F4F" w:rsidRPr="001766B2" w:rsidRDefault="00431F4F" w:rsidP="00431F4F">
            <w:pPr>
              <w:spacing w:before="20" w:after="20"/>
              <w:jc w:val="right"/>
              <w:rPr>
                <w:noProof/>
                <w:sz w:val="22"/>
                <w:lang w:eastAsia="en-GB"/>
              </w:rPr>
            </w:pPr>
          </w:p>
        </w:tc>
        <w:tc>
          <w:tcPr>
            <w:tcW w:w="708" w:type="dxa"/>
            <w:vAlign w:val="center"/>
          </w:tcPr>
          <w:p w14:paraId="563E7124" w14:textId="77777777" w:rsidR="00431F4F" w:rsidRPr="001766B2" w:rsidRDefault="00431F4F" w:rsidP="00431F4F">
            <w:pPr>
              <w:spacing w:before="20" w:after="20"/>
              <w:jc w:val="center"/>
              <w:rPr>
                <w:b/>
                <w:noProof/>
                <w:sz w:val="22"/>
                <w:lang w:eastAsia="en-GB"/>
              </w:rPr>
            </w:pPr>
          </w:p>
        </w:tc>
        <w:tc>
          <w:tcPr>
            <w:tcW w:w="1276" w:type="dxa"/>
            <w:vAlign w:val="center"/>
          </w:tcPr>
          <w:p w14:paraId="34875702" w14:textId="77777777" w:rsidR="00431F4F" w:rsidRPr="001766B2" w:rsidRDefault="00431F4F" w:rsidP="00431F4F">
            <w:pPr>
              <w:spacing w:before="20" w:after="20"/>
              <w:jc w:val="center"/>
              <w:rPr>
                <w:b/>
                <w:noProof/>
                <w:sz w:val="22"/>
                <w:lang w:eastAsia="en-GB"/>
              </w:rPr>
            </w:pPr>
          </w:p>
        </w:tc>
        <w:tc>
          <w:tcPr>
            <w:tcW w:w="1843" w:type="dxa"/>
            <w:vAlign w:val="center"/>
          </w:tcPr>
          <w:p w14:paraId="4721B4E7" w14:textId="77777777" w:rsidR="00431F4F" w:rsidRPr="001766B2" w:rsidRDefault="00431F4F" w:rsidP="00431F4F">
            <w:pPr>
              <w:spacing w:before="20" w:after="20"/>
              <w:jc w:val="center"/>
              <w:rPr>
                <w:b/>
                <w:noProof/>
                <w:sz w:val="22"/>
              </w:rPr>
            </w:pPr>
            <w:r w:rsidRPr="001766B2">
              <w:rPr>
                <w:b/>
                <w:noProof/>
                <w:sz w:val="22"/>
              </w:rPr>
              <w:t>0,000</w:t>
            </w:r>
          </w:p>
        </w:tc>
      </w:tr>
      <w:tr w:rsidR="00431F4F" w:rsidRPr="001766B2" w14:paraId="2521135A" w14:textId="77777777" w:rsidTr="00A27D48">
        <w:tc>
          <w:tcPr>
            <w:tcW w:w="3904" w:type="dxa"/>
            <w:vMerge/>
          </w:tcPr>
          <w:p w14:paraId="0EF0AD34" w14:textId="77777777" w:rsidR="00431F4F" w:rsidRPr="001766B2" w:rsidRDefault="00431F4F" w:rsidP="00431F4F">
            <w:pPr>
              <w:rPr>
                <w:noProof/>
                <w:sz w:val="20"/>
                <w:lang w:eastAsia="en-GB"/>
              </w:rPr>
            </w:pPr>
          </w:p>
        </w:tc>
        <w:tc>
          <w:tcPr>
            <w:tcW w:w="1276" w:type="dxa"/>
            <w:vAlign w:val="center"/>
          </w:tcPr>
          <w:p w14:paraId="4231592A" w14:textId="77777777" w:rsidR="00431F4F" w:rsidRPr="001766B2" w:rsidRDefault="00431F4F" w:rsidP="00431F4F">
            <w:pPr>
              <w:rPr>
                <w:noProof/>
                <w:sz w:val="18"/>
              </w:rPr>
            </w:pPr>
            <w:r w:rsidRPr="001766B2">
              <w:rPr>
                <w:noProof/>
                <w:sz w:val="18"/>
              </w:rPr>
              <w:t>Betalningar</w:t>
            </w:r>
          </w:p>
        </w:tc>
        <w:tc>
          <w:tcPr>
            <w:tcW w:w="576" w:type="dxa"/>
            <w:vAlign w:val="center"/>
          </w:tcPr>
          <w:p w14:paraId="7A367FB7" w14:textId="77777777" w:rsidR="00431F4F" w:rsidRPr="001766B2" w:rsidRDefault="00431F4F" w:rsidP="00431F4F">
            <w:pPr>
              <w:jc w:val="center"/>
              <w:rPr>
                <w:noProof/>
                <w:sz w:val="14"/>
              </w:rPr>
            </w:pPr>
            <w:r w:rsidRPr="001766B2">
              <w:rPr>
                <w:noProof/>
                <w:sz w:val="14"/>
              </w:rPr>
              <w:t>=2a+2b</w:t>
            </w:r>
          </w:p>
          <w:p w14:paraId="17CE790F" w14:textId="77777777" w:rsidR="00431F4F" w:rsidRPr="001766B2" w:rsidRDefault="00431F4F" w:rsidP="00431F4F">
            <w:pPr>
              <w:jc w:val="center"/>
              <w:rPr>
                <w:noProof/>
                <w:sz w:val="14"/>
              </w:rPr>
            </w:pPr>
            <w:r w:rsidRPr="001766B2">
              <w:rPr>
                <w:noProof/>
                <w:sz w:val="14"/>
              </w:rPr>
              <w:t>+3</w:t>
            </w:r>
          </w:p>
        </w:tc>
        <w:tc>
          <w:tcPr>
            <w:tcW w:w="703" w:type="dxa"/>
            <w:vAlign w:val="center"/>
          </w:tcPr>
          <w:p w14:paraId="6706E560" w14:textId="77777777" w:rsidR="00431F4F" w:rsidRPr="001766B2" w:rsidRDefault="00431F4F" w:rsidP="00431F4F">
            <w:pPr>
              <w:spacing w:before="20" w:after="20"/>
              <w:jc w:val="right"/>
              <w:rPr>
                <w:noProof/>
                <w:sz w:val="22"/>
                <w:lang w:eastAsia="en-GB"/>
              </w:rPr>
            </w:pPr>
          </w:p>
        </w:tc>
        <w:tc>
          <w:tcPr>
            <w:tcW w:w="1134" w:type="dxa"/>
            <w:vAlign w:val="center"/>
          </w:tcPr>
          <w:p w14:paraId="0E9A852B" w14:textId="77777777" w:rsidR="00431F4F" w:rsidRPr="001766B2" w:rsidRDefault="00431F4F" w:rsidP="00431F4F">
            <w:pPr>
              <w:spacing w:before="20" w:after="20"/>
              <w:jc w:val="right"/>
              <w:rPr>
                <w:noProof/>
                <w:sz w:val="22"/>
              </w:rPr>
            </w:pPr>
            <w:r w:rsidRPr="001766B2">
              <w:rPr>
                <w:noProof/>
                <w:sz w:val="22"/>
              </w:rPr>
              <w:t>1 743,000</w:t>
            </w:r>
          </w:p>
        </w:tc>
        <w:tc>
          <w:tcPr>
            <w:tcW w:w="1131" w:type="dxa"/>
            <w:vAlign w:val="center"/>
          </w:tcPr>
          <w:p w14:paraId="58F38EAC" w14:textId="77777777" w:rsidR="00431F4F" w:rsidRPr="001766B2" w:rsidRDefault="00431F4F" w:rsidP="00431F4F">
            <w:pPr>
              <w:spacing w:before="20" w:after="20"/>
              <w:jc w:val="right"/>
              <w:rPr>
                <w:noProof/>
                <w:sz w:val="22"/>
              </w:rPr>
            </w:pPr>
            <w:r w:rsidRPr="001766B2">
              <w:rPr>
                <w:noProof/>
                <w:sz w:val="22"/>
              </w:rPr>
              <w:t>1 743,000</w:t>
            </w:r>
          </w:p>
        </w:tc>
        <w:tc>
          <w:tcPr>
            <w:tcW w:w="992" w:type="dxa"/>
            <w:vAlign w:val="center"/>
          </w:tcPr>
          <w:p w14:paraId="12B54457" w14:textId="77777777" w:rsidR="00431F4F" w:rsidRPr="001766B2" w:rsidRDefault="00431F4F" w:rsidP="00841AC1">
            <w:pPr>
              <w:spacing w:before="20" w:after="20"/>
              <w:jc w:val="right"/>
              <w:rPr>
                <w:noProof/>
                <w:sz w:val="22"/>
              </w:rPr>
            </w:pPr>
            <w:r w:rsidRPr="001766B2">
              <w:rPr>
                <w:noProof/>
                <w:sz w:val="22"/>
              </w:rPr>
              <w:t>-</w:t>
            </w:r>
          </w:p>
        </w:tc>
        <w:tc>
          <w:tcPr>
            <w:tcW w:w="709" w:type="dxa"/>
            <w:vAlign w:val="center"/>
          </w:tcPr>
          <w:p w14:paraId="4F0B67A4" w14:textId="77777777" w:rsidR="00431F4F" w:rsidRPr="001766B2" w:rsidRDefault="00431F4F" w:rsidP="00431F4F">
            <w:pPr>
              <w:spacing w:before="20" w:after="20"/>
              <w:jc w:val="right"/>
              <w:rPr>
                <w:noProof/>
                <w:sz w:val="22"/>
              </w:rPr>
            </w:pPr>
          </w:p>
        </w:tc>
        <w:tc>
          <w:tcPr>
            <w:tcW w:w="708" w:type="dxa"/>
            <w:vAlign w:val="center"/>
          </w:tcPr>
          <w:p w14:paraId="0393D49A" w14:textId="77777777" w:rsidR="00431F4F" w:rsidRPr="001766B2" w:rsidRDefault="00431F4F" w:rsidP="00431F4F">
            <w:pPr>
              <w:spacing w:before="20" w:after="20"/>
              <w:jc w:val="center"/>
              <w:rPr>
                <w:b/>
                <w:noProof/>
                <w:sz w:val="22"/>
                <w:lang w:eastAsia="en-GB"/>
              </w:rPr>
            </w:pPr>
          </w:p>
        </w:tc>
        <w:tc>
          <w:tcPr>
            <w:tcW w:w="1276" w:type="dxa"/>
            <w:vAlign w:val="center"/>
          </w:tcPr>
          <w:p w14:paraId="594FB923" w14:textId="77777777" w:rsidR="00431F4F" w:rsidRPr="001766B2" w:rsidRDefault="00431F4F" w:rsidP="00431F4F">
            <w:pPr>
              <w:spacing w:before="20" w:after="20"/>
              <w:jc w:val="center"/>
              <w:rPr>
                <w:b/>
                <w:noProof/>
                <w:sz w:val="22"/>
              </w:rPr>
            </w:pPr>
            <w:r w:rsidRPr="001766B2">
              <w:rPr>
                <w:noProof/>
                <w:sz w:val="22"/>
              </w:rPr>
              <w:t>-3 486,000</w:t>
            </w:r>
          </w:p>
        </w:tc>
        <w:tc>
          <w:tcPr>
            <w:tcW w:w="1843" w:type="dxa"/>
            <w:vAlign w:val="center"/>
          </w:tcPr>
          <w:p w14:paraId="627E5F76" w14:textId="77777777" w:rsidR="00431F4F" w:rsidRPr="001766B2" w:rsidRDefault="00431F4F" w:rsidP="00431F4F">
            <w:pPr>
              <w:spacing w:before="20" w:after="20"/>
              <w:jc w:val="center"/>
              <w:rPr>
                <w:b/>
                <w:noProof/>
                <w:sz w:val="22"/>
              </w:rPr>
            </w:pPr>
            <w:r w:rsidRPr="001766B2">
              <w:rPr>
                <w:b/>
                <w:noProof/>
                <w:sz w:val="22"/>
              </w:rPr>
              <w:t>0,000</w:t>
            </w:r>
          </w:p>
        </w:tc>
      </w:tr>
    </w:tbl>
    <w:p w14:paraId="00F0233D" w14:textId="77777777" w:rsidR="00C87E1E" w:rsidRPr="001766B2" w:rsidRDefault="00C87E1E" w:rsidP="00C87E1E">
      <w:pPr>
        <w:rPr>
          <w:noProof/>
        </w:rPr>
      </w:pPr>
      <w:r w:rsidRPr="001766B2">
        <w:rPr>
          <w:noProof/>
        </w:rPr>
        <w:t xml:space="preserve"> </w:t>
      </w:r>
      <w:r w:rsidRPr="001766B2">
        <w:rPr>
          <w:noProof/>
        </w:rPr>
        <w:br/>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20"/>
        <w:gridCol w:w="567"/>
        <w:gridCol w:w="709"/>
        <w:gridCol w:w="1134"/>
        <w:gridCol w:w="1134"/>
        <w:gridCol w:w="992"/>
        <w:gridCol w:w="709"/>
        <w:gridCol w:w="708"/>
        <w:gridCol w:w="1276"/>
        <w:gridCol w:w="1843"/>
      </w:tblGrid>
      <w:tr w:rsidR="00841AC1" w:rsidRPr="001766B2" w14:paraId="2CF7FCDD" w14:textId="77777777" w:rsidTr="00A27D48">
        <w:trPr>
          <w:trHeight w:val="277"/>
        </w:trPr>
        <w:tc>
          <w:tcPr>
            <w:tcW w:w="3960" w:type="dxa"/>
            <w:vMerge w:val="restart"/>
            <w:vAlign w:val="center"/>
          </w:tcPr>
          <w:p w14:paraId="17848FD6" w14:textId="77777777" w:rsidR="00841AC1" w:rsidRPr="001766B2" w:rsidRDefault="00841AC1" w:rsidP="00841AC1">
            <w:pPr>
              <w:spacing w:before="20" w:after="20"/>
              <w:rPr>
                <w:noProof/>
              </w:rPr>
            </w:pPr>
            <w:r w:rsidRPr="001766B2">
              <w:rPr>
                <w:noProof/>
              </w:rPr>
              <w:br w:type="page"/>
            </w:r>
            <w:r w:rsidRPr="001766B2">
              <w:rPr>
                <w:noProof/>
                <w:sz w:val="21"/>
              </w:rPr>
              <w:sym w:font="Wingdings" w:char="F09F"/>
            </w:r>
            <w:r w:rsidRPr="001766B2">
              <w:rPr>
                <w:noProof/>
                <w:sz w:val="21"/>
              </w:rPr>
              <w:t xml:space="preserve"> TOTALA driftsanslag </w:t>
            </w:r>
          </w:p>
        </w:tc>
        <w:tc>
          <w:tcPr>
            <w:tcW w:w="1220" w:type="dxa"/>
            <w:vAlign w:val="center"/>
          </w:tcPr>
          <w:p w14:paraId="538ED2D1" w14:textId="77777777" w:rsidR="00841AC1" w:rsidRPr="001766B2" w:rsidRDefault="00841AC1" w:rsidP="00841AC1">
            <w:pPr>
              <w:spacing w:beforeLines="20" w:before="48" w:afterLines="20" w:after="48"/>
              <w:rPr>
                <w:noProof/>
                <w:sz w:val="18"/>
              </w:rPr>
            </w:pPr>
            <w:r w:rsidRPr="001766B2">
              <w:rPr>
                <w:noProof/>
                <w:sz w:val="18"/>
              </w:rPr>
              <w:t>Åtaganden</w:t>
            </w:r>
          </w:p>
        </w:tc>
        <w:tc>
          <w:tcPr>
            <w:tcW w:w="567" w:type="dxa"/>
            <w:vAlign w:val="center"/>
          </w:tcPr>
          <w:p w14:paraId="293A8B9C" w14:textId="77777777" w:rsidR="00841AC1" w:rsidRPr="001766B2" w:rsidRDefault="00841AC1" w:rsidP="00841AC1">
            <w:pPr>
              <w:spacing w:beforeLines="20" w:before="48" w:afterLines="20" w:after="48"/>
              <w:jc w:val="center"/>
              <w:rPr>
                <w:noProof/>
                <w:sz w:val="14"/>
              </w:rPr>
            </w:pPr>
            <w:r w:rsidRPr="001766B2">
              <w:rPr>
                <w:noProof/>
                <w:sz w:val="14"/>
              </w:rPr>
              <w:t>(4)</w:t>
            </w:r>
          </w:p>
        </w:tc>
        <w:tc>
          <w:tcPr>
            <w:tcW w:w="709" w:type="dxa"/>
            <w:vAlign w:val="center"/>
          </w:tcPr>
          <w:p w14:paraId="460A9C37" w14:textId="77777777" w:rsidR="00841AC1" w:rsidRPr="001766B2" w:rsidRDefault="00841AC1" w:rsidP="00841AC1">
            <w:pPr>
              <w:spacing w:before="20" w:after="20"/>
              <w:jc w:val="right"/>
              <w:rPr>
                <w:noProof/>
                <w:sz w:val="20"/>
                <w:lang w:eastAsia="en-GB"/>
              </w:rPr>
            </w:pPr>
          </w:p>
        </w:tc>
        <w:tc>
          <w:tcPr>
            <w:tcW w:w="1134" w:type="dxa"/>
            <w:vAlign w:val="center"/>
          </w:tcPr>
          <w:p w14:paraId="2017BAD5" w14:textId="77777777" w:rsidR="00841AC1" w:rsidRPr="001766B2" w:rsidRDefault="00841AC1" w:rsidP="00841AC1">
            <w:pPr>
              <w:spacing w:before="20" w:after="20"/>
              <w:jc w:val="right"/>
              <w:rPr>
                <w:noProof/>
                <w:sz w:val="20"/>
                <w:lang w:eastAsia="en-GB"/>
              </w:rPr>
            </w:pPr>
          </w:p>
        </w:tc>
        <w:tc>
          <w:tcPr>
            <w:tcW w:w="1134" w:type="dxa"/>
            <w:vAlign w:val="center"/>
          </w:tcPr>
          <w:p w14:paraId="4967307B" w14:textId="77777777" w:rsidR="00841AC1" w:rsidRPr="001766B2" w:rsidRDefault="00841AC1" w:rsidP="00841AC1">
            <w:pPr>
              <w:spacing w:before="20" w:after="20"/>
              <w:jc w:val="right"/>
              <w:rPr>
                <w:noProof/>
                <w:sz w:val="20"/>
                <w:lang w:eastAsia="en-GB"/>
              </w:rPr>
            </w:pPr>
          </w:p>
        </w:tc>
        <w:tc>
          <w:tcPr>
            <w:tcW w:w="992" w:type="dxa"/>
            <w:vAlign w:val="center"/>
          </w:tcPr>
          <w:p w14:paraId="16BBB3E1" w14:textId="77777777" w:rsidR="00841AC1" w:rsidRPr="001766B2" w:rsidRDefault="00841AC1" w:rsidP="00841AC1">
            <w:pPr>
              <w:spacing w:before="20" w:after="20"/>
              <w:jc w:val="right"/>
              <w:rPr>
                <w:noProof/>
                <w:sz w:val="20"/>
                <w:lang w:eastAsia="en-GB"/>
              </w:rPr>
            </w:pPr>
          </w:p>
        </w:tc>
        <w:tc>
          <w:tcPr>
            <w:tcW w:w="709" w:type="dxa"/>
            <w:vAlign w:val="center"/>
          </w:tcPr>
          <w:p w14:paraId="39F0865F" w14:textId="77777777" w:rsidR="00841AC1" w:rsidRPr="001766B2" w:rsidRDefault="00841AC1" w:rsidP="00841AC1">
            <w:pPr>
              <w:spacing w:before="20" w:after="20"/>
              <w:jc w:val="right"/>
              <w:rPr>
                <w:noProof/>
                <w:sz w:val="20"/>
                <w:lang w:eastAsia="en-GB"/>
              </w:rPr>
            </w:pPr>
          </w:p>
        </w:tc>
        <w:tc>
          <w:tcPr>
            <w:tcW w:w="708" w:type="dxa"/>
            <w:vAlign w:val="center"/>
          </w:tcPr>
          <w:p w14:paraId="5B5FB6DD" w14:textId="77777777" w:rsidR="00841AC1" w:rsidRPr="001766B2" w:rsidRDefault="00841AC1" w:rsidP="00841AC1">
            <w:pPr>
              <w:spacing w:before="20" w:after="20"/>
              <w:jc w:val="right"/>
              <w:rPr>
                <w:b/>
                <w:noProof/>
                <w:sz w:val="20"/>
                <w:lang w:eastAsia="en-GB"/>
              </w:rPr>
            </w:pPr>
          </w:p>
        </w:tc>
        <w:tc>
          <w:tcPr>
            <w:tcW w:w="1276" w:type="dxa"/>
            <w:vAlign w:val="center"/>
          </w:tcPr>
          <w:p w14:paraId="01F719A6" w14:textId="77777777" w:rsidR="00841AC1" w:rsidRPr="001766B2" w:rsidRDefault="00841AC1" w:rsidP="00841AC1">
            <w:pPr>
              <w:spacing w:before="20" w:after="20"/>
              <w:jc w:val="right"/>
              <w:rPr>
                <w:b/>
                <w:noProof/>
                <w:sz w:val="20"/>
                <w:lang w:eastAsia="en-GB"/>
              </w:rPr>
            </w:pPr>
          </w:p>
        </w:tc>
        <w:tc>
          <w:tcPr>
            <w:tcW w:w="1843" w:type="dxa"/>
            <w:vAlign w:val="center"/>
          </w:tcPr>
          <w:p w14:paraId="7F9FB537" w14:textId="77777777" w:rsidR="00841AC1" w:rsidRPr="001766B2" w:rsidRDefault="00841AC1" w:rsidP="00841AC1">
            <w:pPr>
              <w:spacing w:before="20" w:after="20"/>
              <w:jc w:val="right"/>
              <w:rPr>
                <w:b/>
                <w:noProof/>
                <w:sz w:val="20"/>
                <w:lang w:eastAsia="en-GB"/>
              </w:rPr>
            </w:pPr>
          </w:p>
        </w:tc>
      </w:tr>
      <w:tr w:rsidR="00841AC1" w:rsidRPr="001766B2" w14:paraId="00E3E8A3" w14:textId="77777777" w:rsidTr="00A27D48">
        <w:tc>
          <w:tcPr>
            <w:tcW w:w="3960" w:type="dxa"/>
            <w:vMerge/>
          </w:tcPr>
          <w:p w14:paraId="40AC7AD5" w14:textId="77777777" w:rsidR="00841AC1" w:rsidRPr="001766B2" w:rsidRDefault="00841AC1" w:rsidP="00841AC1">
            <w:pPr>
              <w:jc w:val="center"/>
              <w:rPr>
                <w:noProof/>
                <w:sz w:val="20"/>
                <w:lang w:eastAsia="en-GB"/>
              </w:rPr>
            </w:pPr>
          </w:p>
        </w:tc>
        <w:tc>
          <w:tcPr>
            <w:tcW w:w="1220" w:type="dxa"/>
            <w:vAlign w:val="center"/>
          </w:tcPr>
          <w:p w14:paraId="33F12156" w14:textId="77777777" w:rsidR="00841AC1" w:rsidRPr="001766B2" w:rsidRDefault="00841AC1" w:rsidP="00841AC1">
            <w:pPr>
              <w:spacing w:beforeLines="20" w:before="48" w:afterLines="20" w:after="48"/>
              <w:rPr>
                <w:noProof/>
                <w:sz w:val="18"/>
              </w:rPr>
            </w:pPr>
            <w:r w:rsidRPr="001766B2">
              <w:rPr>
                <w:noProof/>
                <w:sz w:val="18"/>
              </w:rPr>
              <w:t>Betalningar</w:t>
            </w:r>
          </w:p>
        </w:tc>
        <w:tc>
          <w:tcPr>
            <w:tcW w:w="567" w:type="dxa"/>
            <w:vAlign w:val="center"/>
          </w:tcPr>
          <w:p w14:paraId="44989F8F" w14:textId="77777777" w:rsidR="00841AC1" w:rsidRPr="001766B2" w:rsidRDefault="00841AC1" w:rsidP="00841AC1">
            <w:pPr>
              <w:spacing w:beforeLines="20" w:before="48" w:afterLines="20" w:after="48"/>
              <w:jc w:val="center"/>
              <w:rPr>
                <w:noProof/>
                <w:sz w:val="14"/>
              </w:rPr>
            </w:pPr>
            <w:r w:rsidRPr="001766B2">
              <w:rPr>
                <w:noProof/>
                <w:sz w:val="14"/>
              </w:rPr>
              <w:t>(5)</w:t>
            </w:r>
          </w:p>
        </w:tc>
        <w:tc>
          <w:tcPr>
            <w:tcW w:w="709" w:type="dxa"/>
            <w:vAlign w:val="center"/>
          </w:tcPr>
          <w:p w14:paraId="2E2DF715" w14:textId="77777777" w:rsidR="00841AC1" w:rsidRPr="001766B2" w:rsidRDefault="00841AC1" w:rsidP="00841AC1">
            <w:pPr>
              <w:spacing w:before="20" w:after="20"/>
              <w:jc w:val="right"/>
              <w:rPr>
                <w:noProof/>
                <w:sz w:val="20"/>
                <w:lang w:eastAsia="en-GB"/>
              </w:rPr>
            </w:pPr>
          </w:p>
        </w:tc>
        <w:tc>
          <w:tcPr>
            <w:tcW w:w="1134" w:type="dxa"/>
            <w:vAlign w:val="center"/>
          </w:tcPr>
          <w:p w14:paraId="346CBB12" w14:textId="77777777" w:rsidR="00841AC1" w:rsidRPr="001766B2" w:rsidRDefault="00841AC1" w:rsidP="00841AC1">
            <w:pPr>
              <w:spacing w:before="20" w:after="20"/>
              <w:jc w:val="right"/>
              <w:rPr>
                <w:noProof/>
                <w:sz w:val="20"/>
                <w:lang w:eastAsia="en-GB"/>
              </w:rPr>
            </w:pPr>
          </w:p>
        </w:tc>
        <w:tc>
          <w:tcPr>
            <w:tcW w:w="1134" w:type="dxa"/>
            <w:vAlign w:val="center"/>
          </w:tcPr>
          <w:p w14:paraId="4A515E3B" w14:textId="77777777" w:rsidR="00841AC1" w:rsidRPr="001766B2" w:rsidRDefault="00841AC1" w:rsidP="00841AC1">
            <w:pPr>
              <w:spacing w:before="20" w:after="20"/>
              <w:jc w:val="right"/>
              <w:rPr>
                <w:noProof/>
                <w:sz w:val="20"/>
                <w:lang w:eastAsia="en-GB"/>
              </w:rPr>
            </w:pPr>
          </w:p>
        </w:tc>
        <w:tc>
          <w:tcPr>
            <w:tcW w:w="992" w:type="dxa"/>
            <w:vAlign w:val="center"/>
          </w:tcPr>
          <w:p w14:paraId="2E98DC38" w14:textId="77777777" w:rsidR="00841AC1" w:rsidRPr="001766B2" w:rsidRDefault="00841AC1" w:rsidP="00841AC1">
            <w:pPr>
              <w:spacing w:before="20" w:after="20"/>
              <w:jc w:val="right"/>
              <w:rPr>
                <w:noProof/>
                <w:sz w:val="20"/>
                <w:lang w:eastAsia="en-GB"/>
              </w:rPr>
            </w:pPr>
          </w:p>
        </w:tc>
        <w:tc>
          <w:tcPr>
            <w:tcW w:w="709" w:type="dxa"/>
            <w:vAlign w:val="center"/>
          </w:tcPr>
          <w:p w14:paraId="39452191" w14:textId="77777777" w:rsidR="00841AC1" w:rsidRPr="001766B2" w:rsidRDefault="00841AC1" w:rsidP="00841AC1">
            <w:pPr>
              <w:spacing w:before="20" w:after="20"/>
              <w:jc w:val="right"/>
              <w:rPr>
                <w:noProof/>
                <w:sz w:val="20"/>
                <w:lang w:eastAsia="en-GB"/>
              </w:rPr>
            </w:pPr>
          </w:p>
        </w:tc>
        <w:tc>
          <w:tcPr>
            <w:tcW w:w="708" w:type="dxa"/>
            <w:vAlign w:val="center"/>
          </w:tcPr>
          <w:p w14:paraId="2C258D9F" w14:textId="77777777" w:rsidR="00841AC1" w:rsidRPr="001766B2" w:rsidRDefault="00841AC1" w:rsidP="00841AC1">
            <w:pPr>
              <w:spacing w:before="20" w:after="20"/>
              <w:jc w:val="right"/>
              <w:rPr>
                <w:b/>
                <w:noProof/>
                <w:sz w:val="20"/>
                <w:lang w:eastAsia="en-GB"/>
              </w:rPr>
            </w:pPr>
          </w:p>
        </w:tc>
        <w:tc>
          <w:tcPr>
            <w:tcW w:w="1276" w:type="dxa"/>
            <w:vAlign w:val="center"/>
          </w:tcPr>
          <w:p w14:paraId="37B6CD5A" w14:textId="77777777" w:rsidR="00841AC1" w:rsidRPr="001766B2" w:rsidRDefault="00841AC1" w:rsidP="00841AC1">
            <w:pPr>
              <w:spacing w:before="20" w:after="20"/>
              <w:jc w:val="right"/>
              <w:rPr>
                <w:b/>
                <w:noProof/>
                <w:sz w:val="20"/>
                <w:lang w:eastAsia="en-GB"/>
              </w:rPr>
            </w:pPr>
          </w:p>
        </w:tc>
        <w:tc>
          <w:tcPr>
            <w:tcW w:w="1843" w:type="dxa"/>
            <w:vAlign w:val="center"/>
          </w:tcPr>
          <w:p w14:paraId="7AF0BF32" w14:textId="77777777" w:rsidR="00841AC1" w:rsidRPr="001766B2" w:rsidRDefault="00841AC1" w:rsidP="00841AC1">
            <w:pPr>
              <w:spacing w:before="20" w:after="20"/>
              <w:jc w:val="right"/>
              <w:rPr>
                <w:b/>
                <w:noProof/>
                <w:sz w:val="20"/>
                <w:lang w:eastAsia="en-GB"/>
              </w:rPr>
            </w:pPr>
          </w:p>
        </w:tc>
      </w:tr>
      <w:tr w:rsidR="00841AC1" w:rsidRPr="001766B2" w14:paraId="77F5BA94" w14:textId="77777777" w:rsidTr="00A27D48">
        <w:trPr>
          <w:trHeight w:val="533"/>
        </w:trPr>
        <w:tc>
          <w:tcPr>
            <w:tcW w:w="5180" w:type="dxa"/>
            <w:gridSpan w:val="2"/>
            <w:vAlign w:val="center"/>
          </w:tcPr>
          <w:p w14:paraId="42607847" w14:textId="77777777" w:rsidR="00841AC1" w:rsidRPr="001766B2" w:rsidRDefault="00841AC1" w:rsidP="00841AC1">
            <w:pPr>
              <w:spacing w:beforeLines="20" w:before="48" w:afterLines="20" w:after="48"/>
              <w:rPr>
                <w:noProof/>
              </w:rPr>
            </w:pPr>
            <w:r w:rsidRPr="001766B2">
              <w:rPr>
                <w:noProof/>
                <w:sz w:val="21"/>
              </w:rPr>
              <w:sym w:font="Wingdings" w:char="F09F"/>
            </w:r>
            <w:r w:rsidRPr="001766B2">
              <w:rPr>
                <w:noProof/>
                <w:sz w:val="21"/>
              </w:rPr>
              <w:t xml:space="preserve"> TOTALA anslag av administrativ natur som finansieras genom ramanslagen för vissa operativa program </w:t>
            </w:r>
          </w:p>
        </w:tc>
        <w:tc>
          <w:tcPr>
            <w:tcW w:w="567" w:type="dxa"/>
            <w:vAlign w:val="center"/>
          </w:tcPr>
          <w:p w14:paraId="09F30514" w14:textId="77777777" w:rsidR="00841AC1" w:rsidRPr="001766B2" w:rsidRDefault="00841AC1" w:rsidP="00841AC1">
            <w:pPr>
              <w:spacing w:beforeLines="20" w:before="48" w:afterLines="20" w:after="48"/>
              <w:jc w:val="center"/>
              <w:rPr>
                <w:noProof/>
                <w:sz w:val="14"/>
              </w:rPr>
            </w:pPr>
            <w:r w:rsidRPr="001766B2">
              <w:rPr>
                <w:noProof/>
                <w:sz w:val="14"/>
              </w:rPr>
              <w:t>(6)</w:t>
            </w:r>
          </w:p>
        </w:tc>
        <w:tc>
          <w:tcPr>
            <w:tcW w:w="709" w:type="dxa"/>
            <w:vAlign w:val="center"/>
          </w:tcPr>
          <w:p w14:paraId="4B168191" w14:textId="77777777" w:rsidR="00841AC1" w:rsidRPr="001766B2" w:rsidRDefault="00841AC1" w:rsidP="00841AC1">
            <w:pPr>
              <w:spacing w:before="20" w:after="20"/>
              <w:jc w:val="right"/>
              <w:rPr>
                <w:b/>
                <w:noProof/>
                <w:sz w:val="20"/>
                <w:lang w:eastAsia="en-GB"/>
              </w:rPr>
            </w:pPr>
          </w:p>
        </w:tc>
        <w:tc>
          <w:tcPr>
            <w:tcW w:w="1134" w:type="dxa"/>
            <w:vAlign w:val="center"/>
          </w:tcPr>
          <w:p w14:paraId="39758572" w14:textId="77777777" w:rsidR="00841AC1" w:rsidRPr="001766B2" w:rsidRDefault="00841AC1" w:rsidP="00841AC1">
            <w:pPr>
              <w:spacing w:before="20" w:after="20"/>
              <w:jc w:val="right"/>
              <w:rPr>
                <w:b/>
                <w:noProof/>
                <w:sz w:val="20"/>
                <w:lang w:eastAsia="en-GB"/>
              </w:rPr>
            </w:pPr>
          </w:p>
        </w:tc>
        <w:tc>
          <w:tcPr>
            <w:tcW w:w="1134" w:type="dxa"/>
            <w:vAlign w:val="center"/>
          </w:tcPr>
          <w:p w14:paraId="6C8D4439" w14:textId="77777777" w:rsidR="00841AC1" w:rsidRPr="001766B2" w:rsidRDefault="00841AC1" w:rsidP="00841AC1">
            <w:pPr>
              <w:spacing w:before="20" w:after="20"/>
              <w:jc w:val="right"/>
              <w:rPr>
                <w:b/>
                <w:noProof/>
                <w:sz w:val="20"/>
                <w:lang w:eastAsia="en-GB"/>
              </w:rPr>
            </w:pPr>
          </w:p>
        </w:tc>
        <w:tc>
          <w:tcPr>
            <w:tcW w:w="992" w:type="dxa"/>
            <w:vAlign w:val="center"/>
          </w:tcPr>
          <w:p w14:paraId="027F286F" w14:textId="77777777" w:rsidR="00841AC1" w:rsidRPr="001766B2" w:rsidRDefault="00841AC1" w:rsidP="00841AC1">
            <w:pPr>
              <w:spacing w:before="20" w:after="20"/>
              <w:jc w:val="right"/>
              <w:rPr>
                <w:b/>
                <w:noProof/>
                <w:sz w:val="20"/>
                <w:lang w:eastAsia="en-GB"/>
              </w:rPr>
            </w:pPr>
          </w:p>
        </w:tc>
        <w:tc>
          <w:tcPr>
            <w:tcW w:w="709" w:type="dxa"/>
            <w:vAlign w:val="center"/>
          </w:tcPr>
          <w:p w14:paraId="633EE930" w14:textId="77777777" w:rsidR="00841AC1" w:rsidRPr="001766B2" w:rsidRDefault="00841AC1" w:rsidP="00841AC1">
            <w:pPr>
              <w:spacing w:before="20" w:after="20"/>
              <w:jc w:val="right"/>
              <w:rPr>
                <w:b/>
                <w:noProof/>
                <w:sz w:val="20"/>
                <w:lang w:eastAsia="en-GB"/>
              </w:rPr>
            </w:pPr>
          </w:p>
        </w:tc>
        <w:tc>
          <w:tcPr>
            <w:tcW w:w="708" w:type="dxa"/>
            <w:vAlign w:val="center"/>
          </w:tcPr>
          <w:p w14:paraId="7F84BF7C" w14:textId="77777777" w:rsidR="00841AC1" w:rsidRPr="001766B2" w:rsidRDefault="00841AC1" w:rsidP="00841AC1">
            <w:pPr>
              <w:spacing w:before="20" w:after="20"/>
              <w:jc w:val="right"/>
              <w:rPr>
                <w:b/>
                <w:noProof/>
                <w:sz w:val="20"/>
                <w:lang w:eastAsia="en-GB"/>
              </w:rPr>
            </w:pPr>
          </w:p>
        </w:tc>
        <w:tc>
          <w:tcPr>
            <w:tcW w:w="1276" w:type="dxa"/>
            <w:vAlign w:val="center"/>
          </w:tcPr>
          <w:p w14:paraId="22B30237" w14:textId="77777777" w:rsidR="00841AC1" w:rsidRPr="001766B2" w:rsidRDefault="00841AC1" w:rsidP="00841AC1">
            <w:pPr>
              <w:spacing w:before="20" w:after="20"/>
              <w:jc w:val="right"/>
              <w:rPr>
                <w:b/>
                <w:noProof/>
                <w:sz w:val="20"/>
                <w:lang w:eastAsia="en-GB"/>
              </w:rPr>
            </w:pPr>
          </w:p>
        </w:tc>
        <w:tc>
          <w:tcPr>
            <w:tcW w:w="1843" w:type="dxa"/>
            <w:vAlign w:val="center"/>
          </w:tcPr>
          <w:p w14:paraId="4868CFB9" w14:textId="77777777" w:rsidR="00841AC1" w:rsidRPr="001766B2" w:rsidRDefault="00841AC1" w:rsidP="00841AC1">
            <w:pPr>
              <w:spacing w:before="20" w:after="20"/>
              <w:jc w:val="right"/>
              <w:rPr>
                <w:b/>
                <w:noProof/>
                <w:sz w:val="20"/>
                <w:lang w:eastAsia="en-GB"/>
              </w:rPr>
            </w:pPr>
          </w:p>
        </w:tc>
      </w:tr>
      <w:tr w:rsidR="00841AC1" w:rsidRPr="001766B2" w14:paraId="0CBA845A" w14:textId="77777777" w:rsidTr="00A27D48">
        <w:tc>
          <w:tcPr>
            <w:tcW w:w="3960" w:type="dxa"/>
            <w:vMerge w:val="restart"/>
            <w:shd w:val="thinDiagStripe" w:color="C0C0C0" w:fill="auto"/>
            <w:vAlign w:val="center"/>
          </w:tcPr>
          <w:p w14:paraId="2903BFD2" w14:textId="77777777" w:rsidR="00841AC1" w:rsidRPr="001766B2" w:rsidRDefault="00841AC1" w:rsidP="00841AC1">
            <w:pPr>
              <w:jc w:val="center"/>
              <w:rPr>
                <w:b/>
                <w:noProof/>
              </w:rPr>
            </w:pPr>
            <w:r w:rsidRPr="001766B2">
              <w:rPr>
                <w:b/>
                <w:noProof/>
              </w:rPr>
              <w:t>TOTALA anslag för RUBRIK 2a</w:t>
            </w:r>
            <w:r w:rsidRPr="001766B2">
              <w:rPr>
                <w:noProof/>
              </w:rPr>
              <w:t xml:space="preserve"> </w:t>
            </w:r>
            <w:r w:rsidRPr="001766B2">
              <w:rPr>
                <w:noProof/>
              </w:rPr>
              <w:br/>
            </w:r>
            <w:r w:rsidRPr="001766B2">
              <w:rPr>
                <w:noProof/>
                <w:sz w:val="22"/>
              </w:rPr>
              <w:t>i den fleråriga budgetramen</w:t>
            </w:r>
          </w:p>
        </w:tc>
        <w:tc>
          <w:tcPr>
            <w:tcW w:w="1220" w:type="dxa"/>
            <w:vAlign w:val="center"/>
          </w:tcPr>
          <w:p w14:paraId="0FE29F1A" w14:textId="77777777" w:rsidR="00841AC1" w:rsidRPr="001766B2" w:rsidRDefault="00841AC1" w:rsidP="00841AC1">
            <w:pPr>
              <w:rPr>
                <w:noProof/>
                <w:sz w:val="18"/>
              </w:rPr>
            </w:pPr>
            <w:r w:rsidRPr="001766B2">
              <w:rPr>
                <w:noProof/>
                <w:sz w:val="18"/>
              </w:rPr>
              <w:t>Åtaganden</w:t>
            </w:r>
          </w:p>
        </w:tc>
        <w:tc>
          <w:tcPr>
            <w:tcW w:w="567" w:type="dxa"/>
            <w:vAlign w:val="center"/>
          </w:tcPr>
          <w:p w14:paraId="03FE6AB0" w14:textId="77777777" w:rsidR="00841AC1" w:rsidRPr="001766B2" w:rsidRDefault="00841AC1" w:rsidP="00841AC1">
            <w:pPr>
              <w:jc w:val="center"/>
              <w:rPr>
                <w:noProof/>
                <w:sz w:val="14"/>
              </w:rPr>
            </w:pPr>
            <w:r w:rsidRPr="001766B2">
              <w:rPr>
                <w:noProof/>
                <w:sz w:val="14"/>
              </w:rPr>
              <w:t>=4+6</w:t>
            </w:r>
          </w:p>
        </w:tc>
        <w:tc>
          <w:tcPr>
            <w:tcW w:w="709" w:type="dxa"/>
            <w:vAlign w:val="center"/>
          </w:tcPr>
          <w:p w14:paraId="524F84EE" w14:textId="77777777" w:rsidR="00841AC1" w:rsidRPr="001766B2" w:rsidRDefault="00841AC1" w:rsidP="00841AC1">
            <w:pPr>
              <w:spacing w:before="20" w:after="20"/>
              <w:jc w:val="right"/>
              <w:rPr>
                <w:noProof/>
                <w:sz w:val="22"/>
                <w:lang w:eastAsia="en-GB"/>
              </w:rPr>
            </w:pPr>
          </w:p>
        </w:tc>
        <w:tc>
          <w:tcPr>
            <w:tcW w:w="1134" w:type="dxa"/>
            <w:vAlign w:val="center"/>
          </w:tcPr>
          <w:p w14:paraId="4FAB71A1" w14:textId="77777777" w:rsidR="00841AC1" w:rsidRPr="001766B2" w:rsidRDefault="00841AC1" w:rsidP="00841AC1">
            <w:pPr>
              <w:spacing w:before="20" w:after="20"/>
              <w:jc w:val="right"/>
              <w:rPr>
                <w:noProof/>
                <w:sz w:val="22"/>
                <w:lang w:eastAsia="en-GB"/>
              </w:rPr>
            </w:pPr>
          </w:p>
        </w:tc>
        <w:tc>
          <w:tcPr>
            <w:tcW w:w="1134" w:type="dxa"/>
            <w:vAlign w:val="center"/>
          </w:tcPr>
          <w:p w14:paraId="7F331F27" w14:textId="77777777" w:rsidR="00841AC1" w:rsidRPr="001766B2" w:rsidRDefault="00841AC1" w:rsidP="00841AC1">
            <w:pPr>
              <w:spacing w:before="20" w:after="20"/>
              <w:jc w:val="right"/>
              <w:rPr>
                <w:noProof/>
                <w:sz w:val="22"/>
                <w:lang w:eastAsia="en-GB"/>
              </w:rPr>
            </w:pPr>
          </w:p>
        </w:tc>
        <w:tc>
          <w:tcPr>
            <w:tcW w:w="992" w:type="dxa"/>
            <w:vAlign w:val="center"/>
          </w:tcPr>
          <w:p w14:paraId="673F0A0F" w14:textId="77777777" w:rsidR="00841AC1" w:rsidRPr="001766B2" w:rsidRDefault="00841AC1" w:rsidP="00841AC1">
            <w:pPr>
              <w:spacing w:before="20" w:after="20"/>
              <w:jc w:val="right"/>
              <w:rPr>
                <w:noProof/>
                <w:sz w:val="22"/>
                <w:lang w:eastAsia="en-GB"/>
              </w:rPr>
            </w:pPr>
          </w:p>
        </w:tc>
        <w:tc>
          <w:tcPr>
            <w:tcW w:w="709" w:type="dxa"/>
            <w:vAlign w:val="center"/>
          </w:tcPr>
          <w:p w14:paraId="7871DB0E" w14:textId="77777777" w:rsidR="00841AC1" w:rsidRPr="001766B2" w:rsidRDefault="00841AC1" w:rsidP="00841AC1">
            <w:pPr>
              <w:spacing w:before="20" w:after="20"/>
              <w:jc w:val="right"/>
              <w:rPr>
                <w:noProof/>
                <w:sz w:val="22"/>
                <w:lang w:eastAsia="en-GB"/>
              </w:rPr>
            </w:pPr>
          </w:p>
        </w:tc>
        <w:tc>
          <w:tcPr>
            <w:tcW w:w="708" w:type="dxa"/>
            <w:vAlign w:val="center"/>
          </w:tcPr>
          <w:p w14:paraId="42EDA0B8" w14:textId="77777777" w:rsidR="00841AC1" w:rsidRPr="001766B2" w:rsidRDefault="00841AC1" w:rsidP="00841AC1">
            <w:pPr>
              <w:spacing w:before="20" w:after="20"/>
              <w:jc w:val="center"/>
              <w:rPr>
                <w:b/>
                <w:noProof/>
                <w:sz w:val="22"/>
                <w:lang w:eastAsia="en-GB"/>
              </w:rPr>
            </w:pPr>
          </w:p>
        </w:tc>
        <w:tc>
          <w:tcPr>
            <w:tcW w:w="1276" w:type="dxa"/>
            <w:vAlign w:val="center"/>
          </w:tcPr>
          <w:p w14:paraId="313B9DC5" w14:textId="77777777" w:rsidR="00841AC1" w:rsidRPr="001766B2" w:rsidRDefault="00841AC1" w:rsidP="00841AC1">
            <w:pPr>
              <w:spacing w:before="20" w:after="20"/>
              <w:jc w:val="center"/>
              <w:rPr>
                <w:b/>
                <w:noProof/>
                <w:sz w:val="22"/>
                <w:lang w:eastAsia="en-GB"/>
              </w:rPr>
            </w:pPr>
          </w:p>
        </w:tc>
        <w:tc>
          <w:tcPr>
            <w:tcW w:w="1843" w:type="dxa"/>
            <w:vAlign w:val="center"/>
          </w:tcPr>
          <w:p w14:paraId="572049C2" w14:textId="77777777" w:rsidR="00841AC1" w:rsidRPr="001766B2" w:rsidRDefault="00841AC1" w:rsidP="00841AC1">
            <w:pPr>
              <w:spacing w:before="20" w:after="20"/>
              <w:jc w:val="center"/>
              <w:rPr>
                <w:b/>
                <w:noProof/>
                <w:sz w:val="22"/>
              </w:rPr>
            </w:pPr>
            <w:r w:rsidRPr="001766B2">
              <w:rPr>
                <w:b/>
                <w:noProof/>
                <w:sz w:val="22"/>
              </w:rPr>
              <w:t>0,000</w:t>
            </w:r>
          </w:p>
        </w:tc>
      </w:tr>
      <w:tr w:rsidR="00841AC1" w:rsidRPr="001766B2" w14:paraId="1691687C" w14:textId="77777777" w:rsidTr="00A27D48">
        <w:tc>
          <w:tcPr>
            <w:tcW w:w="3960" w:type="dxa"/>
            <w:vMerge/>
            <w:shd w:val="thinDiagStripe" w:color="C0C0C0" w:fill="auto"/>
          </w:tcPr>
          <w:p w14:paraId="6A74213F" w14:textId="77777777" w:rsidR="00841AC1" w:rsidRPr="001766B2" w:rsidRDefault="00841AC1" w:rsidP="00841AC1">
            <w:pPr>
              <w:rPr>
                <w:noProof/>
                <w:sz w:val="20"/>
                <w:lang w:eastAsia="en-GB"/>
              </w:rPr>
            </w:pPr>
          </w:p>
        </w:tc>
        <w:tc>
          <w:tcPr>
            <w:tcW w:w="1220" w:type="dxa"/>
            <w:vAlign w:val="center"/>
          </w:tcPr>
          <w:p w14:paraId="042C62B4" w14:textId="77777777" w:rsidR="00841AC1" w:rsidRPr="001766B2" w:rsidRDefault="00841AC1" w:rsidP="00841AC1">
            <w:pPr>
              <w:rPr>
                <w:noProof/>
                <w:sz w:val="18"/>
              </w:rPr>
            </w:pPr>
            <w:r w:rsidRPr="001766B2">
              <w:rPr>
                <w:noProof/>
                <w:sz w:val="18"/>
              </w:rPr>
              <w:t>Betalningar</w:t>
            </w:r>
          </w:p>
        </w:tc>
        <w:tc>
          <w:tcPr>
            <w:tcW w:w="567" w:type="dxa"/>
            <w:vAlign w:val="center"/>
          </w:tcPr>
          <w:p w14:paraId="35D34DB0" w14:textId="77777777" w:rsidR="00841AC1" w:rsidRPr="001766B2" w:rsidRDefault="00841AC1" w:rsidP="00841AC1">
            <w:pPr>
              <w:jc w:val="center"/>
              <w:rPr>
                <w:noProof/>
                <w:sz w:val="14"/>
              </w:rPr>
            </w:pPr>
            <w:r w:rsidRPr="001766B2">
              <w:rPr>
                <w:noProof/>
                <w:sz w:val="14"/>
              </w:rPr>
              <w:t>=5+6</w:t>
            </w:r>
          </w:p>
        </w:tc>
        <w:tc>
          <w:tcPr>
            <w:tcW w:w="709" w:type="dxa"/>
            <w:vAlign w:val="center"/>
          </w:tcPr>
          <w:p w14:paraId="0658188E" w14:textId="77777777" w:rsidR="00841AC1" w:rsidRPr="001766B2" w:rsidRDefault="00841AC1" w:rsidP="00841AC1">
            <w:pPr>
              <w:spacing w:before="20" w:after="20"/>
              <w:jc w:val="right"/>
              <w:rPr>
                <w:noProof/>
                <w:sz w:val="22"/>
                <w:lang w:eastAsia="en-GB"/>
              </w:rPr>
            </w:pPr>
          </w:p>
        </w:tc>
        <w:tc>
          <w:tcPr>
            <w:tcW w:w="1134" w:type="dxa"/>
            <w:vAlign w:val="center"/>
          </w:tcPr>
          <w:p w14:paraId="7CB2BB3A" w14:textId="77777777" w:rsidR="00841AC1" w:rsidRPr="001766B2" w:rsidRDefault="00841AC1" w:rsidP="00841AC1">
            <w:pPr>
              <w:spacing w:before="20" w:after="20"/>
              <w:jc w:val="right"/>
              <w:rPr>
                <w:noProof/>
                <w:sz w:val="22"/>
              </w:rPr>
            </w:pPr>
            <w:r w:rsidRPr="001766B2">
              <w:rPr>
                <w:noProof/>
                <w:sz w:val="22"/>
              </w:rPr>
              <w:t>1 743,000</w:t>
            </w:r>
          </w:p>
        </w:tc>
        <w:tc>
          <w:tcPr>
            <w:tcW w:w="1134" w:type="dxa"/>
            <w:vAlign w:val="center"/>
          </w:tcPr>
          <w:p w14:paraId="6FC59063" w14:textId="77777777" w:rsidR="00841AC1" w:rsidRPr="001766B2" w:rsidRDefault="00841AC1" w:rsidP="00841AC1">
            <w:pPr>
              <w:spacing w:before="20" w:after="20"/>
              <w:jc w:val="right"/>
              <w:rPr>
                <w:noProof/>
                <w:sz w:val="22"/>
              </w:rPr>
            </w:pPr>
            <w:r w:rsidRPr="001766B2">
              <w:rPr>
                <w:noProof/>
                <w:sz w:val="22"/>
              </w:rPr>
              <w:t>1 743,000</w:t>
            </w:r>
          </w:p>
        </w:tc>
        <w:tc>
          <w:tcPr>
            <w:tcW w:w="992" w:type="dxa"/>
            <w:vAlign w:val="center"/>
          </w:tcPr>
          <w:p w14:paraId="09410A99" w14:textId="77777777" w:rsidR="00841AC1" w:rsidRPr="001766B2" w:rsidRDefault="00841AC1" w:rsidP="00841AC1">
            <w:pPr>
              <w:spacing w:before="20" w:after="20"/>
              <w:jc w:val="right"/>
              <w:rPr>
                <w:noProof/>
                <w:sz w:val="22"/>
                <w:lang w:eastAsia="en-GB"/>
              </w:rPr>
            </w:pPr>
          </w:p>
        </w:tc>
        <w:tc>
          <w:tcPr>
            <w:tcW w:w="709" w:type="dxa"/>
            <w:vAlign w:val="center"/>
          </w:tcPr>
          <w:p w14:paraId="1F4040F6" w14:textId="77777777" w:rsidR="00841AC1" w:rsidRPr="001766B2" w:rsidRDefault="00841AC1" w:rsidP="00841AC1">
            <w:pPr>
              <w:spacing w:before="20" w:after="20"/>
              <w:jc w:val="right"/>
              <w:rPr>
                <w:noProof/>
                <w:sz w:val="22"/>
              </w:rPr>
            </w:pPr>
          </w:p>
        </w:tc>
        <w:tc>
          <w:tcPr>
            <w:tcW w:w="708" w:type="dxa"/>
            <w:vAlign w:val="center"/>
          </w:tcPr>
          <w:p w14:paraId="7F08EBBD" w14:textId="77777777" w:rsidR="00841AC1" w:rsidRPr="001766B2" w:rsidRDefault="00841AC1" w:rsidP="00841AC1">
            <w:pPr>
              <w:spacing w:before="20" w:after="20"/>
              <w:jc w:val="center"/>
              <w:rPr>
                <w:b/>
                <w:noProof/>
                <w:sz w:val="22"/>
                <w:lang w:eastAsia="en-GB"/>
              </w:rPr>
            </w:pPr>
          </w:p>
        </w:tc>
        <w:tc>
          <w:tcPr>
            <w:tcW w:w="1276" w:type="dxa"/>
            <w:vAlign w:val="center"/>
          </w:tcPr>
          <w:p w14:paraId="1448B1B7" w14:textId="77777777" w:rsidR="00841AC1" w:rsidRPr="001766B2" w:rsidRDefault="00841AC1" w:rsidP="00841AC1">
            <w:pPr>
              <w:spacing w:before="20" w:after="20"/>
              <w:jc w:val="center"/>
              <w:rPr>
                <w:b/>
                <w:noProof/>
                <w:sz w:val="22"/>
              </w:rPr>
            </w:pPr>
            <w:r w:rsidRPr="001766B2">
              <w:rPr>
                <w:noProof/>
                <w:sz w:val="22"/>
              </w:rPr>
              <w:t>-3 486,000</w:t>
            </w:r>
          </w:p>
        </w:tc>
        <w:tc>
          <w:tcPr>
            <w:tcW w:w="1843" w:type="dxa"/>
            <w:vAlign w:val="center"/>
          </w:tcPr>
          <w:p w14:paraId="43D67D4A" w14:textId="77777777" w:rsidR="00841AC1" w:rsidRPr="001766B2" w:rsidRDefault="00841AC1" w:rsidP="00841AC1">
            <w:pPr>
              <w:spacing w:before="20" w:after="20"/>
              <w:jc w:val="center"/>
              <w:rPr>
                <w:b/>
                <w:noProof/>
                <w:sz w:val="22"/>
              </w:rPr>
            </w:pPr>
            <w:r w:rsidRPr="001766B2">
              <w:rPr>
                <w:b/>
                <w:noProof/>
                <w:sz w:val="22"/>
              </w:rPr>
              <w:t>0,000</w:t>
            </w:r>
          </w:p>
        </w:tc>
      </w:tr>
    </w:tbl>
    <w:p w14:paraId="63622666" w14:textId="77777777" w:rsidR="00C87E1E" w:rsidRPr="001766B2" w:rsidRDefault="00C87E1E" w:rsidP="00C87E1E">
      <w:pPr>
        <w:rPr>
          <w:noProof/>
          <w:lang w:eastAsia="en-GB"/>
        </w:rPr>
      </w:pPr>
    </w:p>
    <w:p w14:paraId="47681097" w14:textId="77777777" w:rsidR="00C87E1E" w:rsidRPr="001766B2" w:rsidRDefault="00C87E1E" w:rsidP="00C87E1E">
      <w:pPr>
        <w:spacing w:before="0" w:after="0"/>
        <w:jc w:val="left"/>
        <w:rPr>
          <w:noProof/>
        </w:rPr>
      </w:pPr>
      <w:r w:rsidRPr="001766B2">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1766B2" w14:paraId="38FFF9BE" w14:textId="77777777" w:rsidTr="00C87E1E">
        <w:trPr>
          <w:jc w:val="center"/>
        </w:trPr>
        <w:tc>
          <w:tcPr>
            <w:tcW w:w="4744" w:type="dxa"/>
            <w:shd w:val="thinDiagStripe" w:color="C0C0C0" w:fill="auto"/>
            <w:vAlign w:val="center"/>
          </w:tcPr>
          <w:p w14:paraId="7E513C28" w14:textId="77777777" w:rsidR="00C87E1E" w:rsidRPr="001766B2" w:rsidRDefault="00C87E1E" w:rsidP="00C87E1E">
            <w:pPr>
              <w:spacing w:before="60" w:after="60"/>
              <w:jc w:val="center"/>
              <w:rPr>
                <w:b/>
                <w:noProof/>
              </w:rPr>
            </w:pPr>
            <w:r w:rsidRPr="001766B2">
              <w:rPr>
                <w:noProof/>
              </w:rPr>
              <w:br w:type="page"/>
            </w:r>
            <w:r w:rsidRPr="001766B2">
              <w:rPr>
                <w:b/>
                <w:noProof/>
              </w:rPr>
              <w:t>Rubrik i den fleråriga budgetramen</w:t>
            </w:r>
            <w:r w:rsidRPr="001766B2">
              <w:rPr>
                <w:b/>
                <w:noProof/>
                <w:sz w:val="22"/>
              </w:rPr>
              <w:t xml:space="preserve"> </w:t>
            </w:r>
          </w:p>
        </w:tc>
        <w:tc>
          <w:tcPr>
            <w:tcW w:w="1080" w:type="dxa"/>
            <w:shd w:val="thinDiagStripe" w:color="C0C0C0" w:fill="auto"/>
            <w:vAlign w:val="center"/>
          </w:tcPr>
          <w:p w14:paraId="0D7DB96E" w14:textId="77777777" w:rsidR="00C87E1E" w:rsidRPr="001766B2" w:rsidRDefault="00C87E1E" w:rsidP="00C87E1E">
            <w:pPr>
              <w:spacing w:before="60" w:after="60"/>
              <w:jc w:val="center"/>
              <w:rPr>
                <w:noProof/>
              </w:rPr>
            </w:pPr>
            <w:r w:rsidRPr="001766B2">
              <w:rPr>
                <w:b/>
                <w:noProof/>
                <w:sz w:val="22"/>
              </w:rPr>
              <w:t>7</w:t>
            </w:r>
          </w:p>
        </w:tc>
        <w:tc>
          <w:tcPr>
            <w:tcW w:w="7817" w:type="dxa"/>
            <w:vAlign w:val="center"/>
          </w:tcPr>
          <w:p w14:paraId="2B3F5DD8" w14:textId="77777777" w:rsidR="00C87E1E" w:rsidRPr="001766B2" w:rsidRDefault="00C87E1E" w:rsidP="00C87E1E">
            <w:pPr>
              <w:spacing w:before="60" w:after="60"/>
              <w:rPr>
                <w:noProof/>
              </w:rPr>
            </w:pPr>
            <w:r w:rsidRPr="001766B2">
              <w:rPr>
                <w:noProof/>
                <w:sz w:val="22"/>
              </w:rPr>
              <w:t>”Administrativa utgifter”</w:t>
            </w:r>
          </w:p>
        </w:tc>
      </w:tr>
    </w:tbl>
    <w:p w14:paraId="4F1CB26F" w14:textId="77777777" w:rsidR="00C87E1E" w:rsidRPr="001766B2" w:rsidRDefault="00C87E1E" w:rsidP="00C87E1E">
      <w:pPr>
        <w:jc w:val="left"/>
        <w:rPr>
          <w:noProof/>
          <w:sz w:val="20"/>
        </w:rPr>
      </w:pPr>
      <w:r w:rsidRPr="001766B2">
        <w:rPr>
          <w:noProof/>
        </w:rPr>
        <w:t xml:space="preserve">Detta avsnitt ska fyllas i med hjälp av det datablad för budgetuppgifter av administrativ natur som först ska föras in i </w:t>
      </w:r>
      <w:hyperlink r:id="rId15" w:history="1">
        <w:r w:rsidRPr="001766B2">
          <w:rPr>
            <w:noProof/>
            <w:color w:val="0000FF"/>
            <w:u w:val="single"/>
          </w:rPr>
          <w:t>bilagan till finansieringsöversikt för rättsakt</w:t>
        </w:r>
      </w:hyperlink>
      <w:r w:rsidRPr="001766B2">
        <w:rPr>
          <w:noProof/>
        </w:rPr>
        <w:t xml:space="preserve"> (bilaga V till de interna bestämmelserna), vilken ska laddas upp i DECIDE som underlag för samråden mellan kommissionens avdelningar.</w:t>
      </w:r>
    </w:p>
    <w:p w14:paraId="1AF61FF2" w14:textId="77777777" w:rsidR="00C87E1E" w:rsidRPr="001766B2" w:rsidRDefault="00C87E1E" w:rsidP="00C87E1E">
      <w:pPr>
        <w:jc w:val="right"/>
        <w:rPr>
          <w:noProof/>
          <w:sz w:val="20"/>
        </w:rPr>
      </w:pPr>
      <w:r w:rsidRPr="001766B2">
        <w:rPr>
          <w:noProof/>
          <w:sz w:val="20"/>
        </w:rPr>
        <w:t>Miljoner euro (avrundat till tre decimaler)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87E1E" w:rsidRPr="001766B2" w14:paraId="213C4E67" w14:textId="77777777" w:rsidTr="00C87E1E">
        <w:tc>
          <w:tcPr>
            <w:tcW w:w="3960" w:type="dxa"/>
            <w:tcBorders>
              <w:top w:val="nil"/>
              <w:left w:val="nil"/>
              <w:right w:val="nil"/>
            </w:tcBorders>
            <w:vAlign w:val="center"/>
          </w:tcPr>
          <w:p w14:paraId="6F3455A9" w14:textId="77777777" w:rsidR="00C87E1E" w:rsidRPr="001766B2" w:rsidRDefault="00C87E1E" w:rsidP="00C87E1E">
            <w:pPr>
              <w:jc w:val="center"/>
              <w:rPr>
                <w:noProof/>
                <w:lang w:eastAsia="en-GB"/>
              </w:rPr>
            </w:pPr>
          </w:p>
        </w:tc>
        <w:tc>
          <w:tcPr>
            <w:tcW w:w="1560" w:type="dxa"/>
            <w:tcBorders>
              <w:top w:val="nil"/>
              <w:left w:val="nil"/>
              <w:right w:val="nil"/>
            </w:tcBorders>
          </w:tcPr>
          <w:p w14:paraId="45C730ED" w14:textId="77777777" w:rsidR="00C87E1E" w:rsidRPr="001766B2" w:rsidRDefault="00C87E1E" w:rsidP="00C87E1E">
            <w:pPr>
              <w:rPr>
                <w:noProof/>
                <w:sz w:val="20"/>
                <w:lang w:eastAsia="en-GB"/>
              </w:rPr>
            </w:pPr>
          </w:p>
        </w:tc>
        <w:tc>
          <w:tcPr>
            <w:tcW w:w="534" w:type="dxa"/>
            <w:tcBorders>
              <w:top w:val="nil"/>
              <w:left w:val="nil"/>
            </w:tcBorders>
          </w:tcPr>
          <w:p w14:paraId="05ACC9BF" w14:textId="77777777" w:rsidR="00C87E1E" w:rsidRPr="001766B2" w:rsidRDefault="00C87E1E" w:rsidP="00C87E1E">
            <w:pPr>
              <w:jc w:val="center"/>
              <w:rPr>
                <w:noProof/>
                <w:sz w:val="20"/>
                <w:lang w:eastAsia="en-GB"/>
              </w:rPr>
            </w:pPr>
          </w:p>
        </w:tc>
        <w:tc>
          <w:tcPr>
            <w:tcW w:w="868" w:type="dxa"/>
            <w:vAlign w:val="center"/>
          </w:tcPr>
          <w:p w14:paraId="50C4491A"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w:t>
            </w:r>
          </w:p>
        </w:tc>
        <w:tc>
          <w:tcPr>
            <w:tcW w:w="868" w:type="dxa"/>
            <w:vAlign w:val="center"/>
          </w:tcPr>
          <w:p w14:paraId="15354470"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N+1</w:t>
            </w:r>
          </w:p>
        </w:tc>
        <w:tc>
          <w:tcPr>
            <w:tcW w:w="868" w:type="dxa"/>
            <w:vAlign w:val="center"/>
          </w:tcPr>
          <w:p w14:paraId="378F35EF"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N+2</w:t>
            </w:r>
          </w:p>
        </w:tc>
        <w:tc>
          <w:tcPr>
            <w:tcW w:w="868" w:type="dxa"/>
            <w:vAlign w:val="center"/>
          </w:tcPr>
          <w:p w14:paraId="0C14E2FA"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N+3</w:t>
            </w:r>
          </w:p>
        </w:tc>
        <w:tc>
          <w:tcPr>
            <w:tcW w:w="2604" w:type="dxa"/>
            <w:gridSpan w:val="3"/>
            <w:vAlign w:val="center"/>
          </w:tcPr>
          <w:p w14:paraId="1854396F" w14:textId="77777777" w:rsidR="00C87E1E" w:rsidRPr="001766B2" w:rsidRDefault="00C87E1E" w:rsidP="00C87E1E">
            <w:pPr>
              <w:jc w:val="center"/>
              <w:rPr>
                <w:b/>
                <w:noProof/>
                <w:sz w:val="18"/>
              </w:rPr>
            </w:pPr>
            <w:r w:rsidRPr="001766B2">
              <w:rPr>
                <w:noProof/>
                <w:sz w:val="18"/>
              </w:rPr>
              <w:t xml:space="preserve">För in så många år som behövs för att redovisa varaktigheten för inverkan på resursanvändningen (jfr punkt 1.6) </w:t>
            </w:r>
          </w:p>
        </w:tc>
        <w:tc>
          <w:tcPr>
            <w:tcW w:w="1777" w:type="dxa"/>
            <w:vAlign w:val="center"/>
          </w:tcPr>
          <w:p w14:paraId="722C1C08" w14:textId="77777777" w:rsidR="00C87E1E" w:rsidRPr="001766B2" w:rsidRDefault="00C87E1E" w:rsidP="00C87E1E">
            <w:pPr>
              <w:jc w:val="center"/>
              <w:rPr>
                <w:b/>
                <w:noProof/>
                <w:sz w:val="20"/>
              </w:rPr>
            </w:pPr>
            <w:r w:rsidRPr="001766B2">
              <w:rPr>
                <w:b/>
                <w:noProof/>
                <w:sz w:val="20"/>
              </w:rPr>
              <w:t>TOTALT</w:t>
            </w:r>
          </w:p>
        </w:tc>
      </w:tr>
      <w:tr w:rsidR="00C87E1E" w:rsidRPr="001766B2" w14:paraId="7300A83D" w14:textId="77777777" w:rsidTr="00C87E1E">
        <w:trPr>
          <w:gridAfter w:val="10"/>
          <w:wAfter w:w="9947" w:type="dxa"/>
        </w:trPr>
        <w:tc>
          <w:tcPr>
            <w:tcW w:w="3960" w:type="dxa"/>
            <w:vAlign w:val="center"/>
          </w:tcPr>
          <w:p w14:paraId="219883B0" w14:textId="77777777" w:rsidR="00C87E1E" w:rsidRPr="001766B2" w:rsidRDefault="00C87E1E" w:rsidP="00C87E1E">
            <w:pPr>
              <w:spacing w:before="60" w:after="60"/>
              <w:jc w:val="center"/>
              <w:rPr>
                <w:noProof/>
              </w:rPr>
            </w:pPr>
            <w:r w:rsidRPr="001766B2">
              <w:rPr>
                <w:noProof/>
                <w:sz w:val="22"/>
              </w:rPr>
              <w:t>GD: &lt;…….&gt;</w:t>
            </w:r>
          </w:p>
        </w:tc>
      </w:tr>
      <w:tr w:rsidR="00C87E1E" w:rsidRPr="001766B2" w14:paraId="11374BDC" w14:textId="77777777" w:rsidTr="00C87E1E">
        <w:trPr>
          <w:trHeight w:val="313"/>
        </w:trPr>
        <w:tc>
          <w:tcPr>
            <w:tcW w:w="6054" w:type="dxa"/>
            <w:gridSpan w:val="3"/>
            <w:vAlign w:val="center"/>
          </w:tcPr>
          <w:p w14:paraId="7B4319ED" w14:textId="77777777" w:rsidR="00C87E1E" w:rsidRPr="001766B2" w:rsidRDefault="00C87E1E" w:rsidP="00C87E1E">
            <w:pPr>
              <w:spacing w:before="20" w:after="20"/>
              <w:rPr>
                <w:noProof/>
              </w:rPr>
            </w:pPr>
            <w:r w:rsidRPr="001766B2">
              <w:rPr>
                <w:noProof/>
                <w:sz w:val="22"/>
              </w:rPr>
              <w:sym w:font="Wingdings" w:char="F09F"/>
            </w:r>
            <w:r w:rsidRPr="001766B2">
              <w:rPr>
                <w:noProof/>
                <w:sz w:val="22"/>
              </w:rPr>
              <w:t xml:space="preserve"> Personalresurser </w:t>
            </w:r>
          </w:p>
        </w:tc>
        <w:tc>
          <w:tcPr>
            <w:tcW w:w="868" w:type="dxa"/>
            <w:vAlign w:val="center"/>
          </w:tcPr>
          <w:p w14:paraId="58469D58" w14:textId="77777777" w:rsidR="00C87E1E" w:rsidRPr="001766B2" w:rsidRDefault="00C87E1E" w:rsidP="00C87E1E">
            <w:pPr>
              <w:spacing w:before="20" w:after="20"/>
              <w:jc w:val="right"/>
              <w:rPr>
                <w:noProof/>
                <w:sz w:val="20"/>
                <w:lang w:eastAsia="en-GB"/>
              </w:rPr>
            </w:pPr>
          </w:p>
        </w:tc>
        <w:tc>
          <w:tcPr>
            <w:tcW w:w="868" w:type="dxa"/>
            <w:vAlign w:val="center"/>
          </w:tcPr>
          <w:p w14:paraId="280F29BD" w14:textId="77777777" w:rsidR="00C87E1E" w:rsidRPr="001766B2" w:rsidRDefault="00C87E1E" w:rsidP="00C87E1E">
            <w:pPr>
              <w:spacing w:before="20" w:after="20"/>
              <w:jc w:val="right"/>
              <w:rPr>
                <w:noProof/>
                <w:sz w:val="20"/>
                <w:lang w:eastAsia="en-GB"/>
              </w:rPr>
            </w:pPr>
          </w:p>
        </w:tc>
        <w:tc>
          <w:tcPr>
            <w:tcW w:w="868" w:type="dxa"/>
            <w:vAlign w:val="center"/>
          </w:tcPr>
          <w:p w14:paraId="68C0F94C" w14:textId="77777777" w:rsidR="00C87E1E" w:rsidRPr="001766B2" w:rsidRDefault="00C87E1E" w:rsidP="00C87E1E">
            <w:pPr>
              <w:spacing w:before="20" w:after="20"/>
              <w:jc w:val="right"/>
              <w:rPr>
                <w:noProof/>
                <w:sz w:val="20"/>
                <w:lang w:eastAsia="en-GB"/>
              </w:rPr>
            </w:pPr>
          </w:p>
        </w:tc>
        <w:tc>
          <w:tcPr>
            <w:tcW w:w="868" w:type="dxa"/>
            <w:vAlign w:val="center"/>
          </w:tcPr>
          <w:p w14:paraId="4E28B6F2" w14:textId="77777777" w:rsidR="00C87E1E" w:rsidRPr="001766B2" w:rsidRDefault="00C87E1E" w:rsidP="00C87E1E">
            <w:pPr>
              <w:spacing w:before="20" w:after="20"/>
              <w:jc w:val="right"/>
              <w:rPr>
                <w:noProof/>
                <w:sz w:val="20"/>
                <w:lang w:eastAsia="en-GB"/>
              </w:rPr>
            </w:pPr>
          </w:p>
        </w:tc>
        <w:tc>
          <w:tcPr>
            <w:tcW w:w="868" w:type="dxa"/>
            <w:vAlign w:val="center"/>
          </w:tcPr>
          <w:p w14:paraId="0AFF2FB1" w14:textId="77777777" w:rsidR="00C87E1E" w:rsidRPr="001766B2" w:rsidRDefault="00C87E1E" w:rsidP="00C87E1E">
            <w:pPr>
              <w:spacing w:before="20" w:after="20"/>
              <w:jc w:val="right"/>
              <w:rPr>
                <w:noProof/>
                <w:sz w:val="20"/>
                <w:lang w:eastAsia="en-GB"/>
              </w:rPr>
            </w:pPr>
          </w:p>
        </w:tc>
        <w:tc>
          <w:tcPr>
            <w:tcW w:w="868" w:type="dxa"/>
            <w:vAlign w:val="center"/>
          </w:tcPr>
          <w:p w14:paraId="7AD5619A" w14:textId="77777777" w:rsidR="00C87E1E" w:rsidRPr="001766B2" w:rsidRDefault="00C87E1E" w:rsidP="00C87E1E">
            <w:pPr>
              <w:spacing w:before="20" w:after="20"/>
              <w:jc w:val="right"/>
              <w:rPr>
                <w:noProof/>
                <w:sz w:val="20"/>
                <w:lang w:eastAsia="en-GB"/>
              </w:rPr>
            </w:pPr>
          </w:p>
        </w:tc>
        <w:tc>
          <w:tcPr>
            <w:tcW w:w="868" w:type="dxa"/>
            <w:vAlign w:val="center"/>
          </w:tcPr>
          <w:p w14:paraId="670E5C03" w14:textId="77777777" w:rsidR="00C87E1E" w:rsidRPr="001766B2" w:rsidRDefault="00C87E1E" w:rsidP="00C87E1E">
            <w:pPr>
              <w:spacing w:before="20" w:after="20"/>
              <w:jc w:val="right"/>
              <w:rPr>
                <w:b/>
                <w:noProof/>
                <w:sz w:val="20"/>
                <w:lang w:eastAsia="en-GB"/>
              </w:rPr>
            </w:pPr>
          </w:p>
        </w:tc>
        <w:tc>
          <w:tcPr>
            <w:tcW w:w="1777" w:type="dxa"/>
            <w:vAlign w:val="center"/>
          </w:tcPr>
          <w:p w14:paraId="2CECBDBA" w14:textId="77777777" w:rsidR="00C87E1E" w:rsidRPr="001766B2" w:rsidRDefault="00C87E1E" w:rsidP="00C87E1E">
            <w:pPr>
              <w:spacing w:before="20" w:after="20"/>
              <w:jc w:val="right"/>
              <w:rPr>
                <w:b/>
                <w:noProof/>
                <w:sz w:val="20"/>
                <w:lang w:eastAsia="en-GB"/>
              </w:rPr>
            </w:pPr>
          </w:p>
        </w:tc>
      </w:tr>
      <w:tr w:rsidR="00C87E1E" w:rsidRPr="001766B2" w14:paraId="530315F2" w14:textId="77777777" w:rsidTr="00C87E1E">
        <w:trPr>
          <w:trHeight w:val="351"/>
        </w:trPr>
        <w:tc>
          <w:tcPr>
            <w:tcW w:w="6054" w:type="dxa"/>
            <w:gridSpan w:val="3"/>
            <w:vAlign w:val="center"/>
          </w:tcPr>
          <w:p w14:paraId="1165EEBF" w14:textId="77777777" w:rsidR="00C87E1E" w:rsidRPr="001766B2" w:rsidRDefault="00C87E1E" w:rsidP="00C87E1E">
            <w:pPr>
              <w:spacing w:before="20" w:after="20"/>
              <w:rPr>
                <w:noProof/>
              </w:rPr>
            </w:pPr>
            <w:r w:rsidRPr="001766B2">
              <w:rPr>
                <w:noProof/>
                <w:sz w:val="22"/>
              </w:rPr>
              <w:sym w:font="Wingdings" w:char="F09F"/>
            </w:r>
            <w:r w:rsidRPr="001766B2">
              <w:rPr>
                <w:noProof/>
                <w:sz w:val="22"/>
              </w:rPr>
              <w:t xml:space="preserve"> Övriga administrativa utgifter </w:t>
            </w:r>
          </w:p>
        </w:tc>
        <w:tc>
          <w:tcPr>
            <w:tcW w:w="868" w:type="dxa"/>
            <w:vAlign w:val="center"/>
          </w:tcPr>
          <w:p w14:paraId="0E84D53B" w14:textId="77777777" w:rsidR="00C87E1E" w:rsidRPr="001766B2" w:rsidRDefault="00C87E1E" w:rsidP="00C87E1E">
            <w:pPr>
              <w:spacing w:before="20" w:after="20"/>
              <w:jc w:val="right"/>
              <w:rPr>
                <w:b/>
                <w:noProof/>
                <w:sz w:val="20"/>
                <w:lang w:eastAsia="en-GB"/>
              </w:rPr>
            </w:pPr>
          </w:p>
        </w:tc>
        <w:tc>
          <w:tcPr>
            <w:tcW w:w="868" w:type="dxa"/>
            <w:vAlign w:val="center"/>
          </w:tcPr>
          <w:p w14:paraId="18F4E29F" w14:textId="77777777" w:rsidR="00C87E1E" w:rsidRPr="001766B2" w:rsidRDefault="00C87E1E" w:rsidP="00C87E1E">
            <w:pPr>
              <w:spacing w:before="20" w:after="20"/>
              <w:jc w:val="right"/>
              <w:rPr>
                <w:b/>
                <w:noProof/>
                <w:sz w:val="20"/>
                <w:lang w:eastAsia="en-GB"/>
              </w:rPr>
            </w:pPr>
          </w:p>
        </w:tc>
        <w:tc>
          <w:tcPr>
            <w:tcW w:w="868" w:type="dxa"/>
            <w:vAlign w:val="center"/>
          </w:tcPr>
          <w:p w14:paraId="05A6AB5B" w14:textId="77777777" w:rsidR="00C87E1E" w:rsidRPr="001766B2" w:rsidRDefault="00C87E1E" w:rsidP="00C87E1E">
            <w:pPr>
              <w:spacing w:before="20" w:after="20"/>
              <w:jc w:val="right"/>
              <w:rPr>
                <w:b/>
                <w:noProof/>
                <w:sz w:val="20"/>
                <w:lang w:eastAsia="en-GB"/>
              </w:rPr>
            </w:pPr>
          </w:p>
        </w:tc>
        <w:tc>
          <w:tcPr>
            <w:tcW w:w="868" w:type="dxa"/>
            <w:vAlign w:val="center"/>
          </w:tcPr>
          <w:p w14:paraId="6608815F" w14:textId="77777777" w:rsidR="00C87E1E" w:rsidRPr="001766B2" w:rsidRDefault="00C87E1E" w:rsidP="00C87E1E">
            <w:pPr>
              <w:spacing w:before="20" w:after="20"/>
              <w:jc w:val="right"/>
              <w:rPr>
                <w:b/>
                <w:noProof/>
                <w:sz w:val="20"/>
                <w:lang w:eastAsia="en-GB"/>
              </w:rPr>
            </w:pPr>
          </w:p>
        </w:tc>
        <w:tc>
          <w:tcPr>
            <w:tcW w:w="868" w:type="dxa"/>
            <w:vAlign w:val="center"/>
          </w:tcPr>
          <w:p w14:paraId="6F580601" w14:textId="77777777" w:rsidR="00C87E1E" w:rsidRPr="001766B2" w:rsidRDefault="00C87E1E" w:rsidP="00C87E1E">
            <w:pPr>
              <w:spacing w:before="20" w:after="20"/>
              <w:jc w:val="right"/>
              <w:rPr>
                <w:b/>
                <w:noProof/>
                <w:sz w:val="20"/>
                <w:lang w:eastAsia="en-GB"/>
              </w:rPr>
            </w:pPr>
          </w:p>
        </w:tc>
        <w:tc>
          <w:tcPr>
            <w:tcW w:w="868" w:type="dxa"/>
            <w:vAlign w:val="center"/>
          </w:tcPr>
          <w:p w14:paraId="1EEB552B" w14:textId="77777777" w:rsidR="00C87E1E" w:rsidRPr="001766B2" w:rsidRDefault="00C87E1E" w:rsidP="00C87E1E">
            <w:pPr>
              <w:spacing w:before="20" w:after="20"/>
              <w:jc w:val="right"/>
              <w:rPr>
                <w:b/>
                <w:noProof/>
                <w:sz w:val="20"/>
                <w:lang w:eastAsia="en-GB"/>
              </w:rPr>
            </w:pPr>
          </w:p>
        </w:tc>
        <w:tc>
          <w:tcPr>
            <w:tcW w:w="868" w:type="dxa"/>
            <w:vAlign w:val="center"/>
          </w:tcPr>
          <w:p w14:paraId="452F0F63" w14:textId="77777777" w:rsidR="00C87E1E" w:rsidRPr="001766B2" w:rsidRDefault="00C87E1E" w:rsidP="00C87E1E">
            <w:pPr>
              <w:spacing w:before="20" w:after="20"/>
              <w:jc w:val="right"/>
              <w:rPr>
                <w:b/>
                <w:noProof/>
                <w:sz w:val="20"/>
                <w:lang w:eastAsia="en-GB"/>
              </w:rPr>
            </w:pPr>
          </w:p>
        </w:tc>
        <w:tc>
          <w:tcPr>
            <w:tcW w:w="1777" w:type="dxa"/>
            <w:vAlign w:val="center"/>
          </w:tcPr>
          <w:p w14:paraId="396E2EB8" w14:textId="77777777" w:rsidR="00C87E1E" w:rsidRPr="001766B2" w:rsidRDefault="00C87E1E" w:rsidP="00C87E1E">
            <w:pPr>
              <w:spacing w:before="20" w:after="20"/>
              <w:jc w:val="right"/>
              <w:rPr>
                <w:b/>
                <w:noProof/>
                <w:sz w:val="20"/>
                <w:lang w:eastAsia="en-GB"/>
              </w:rPr>
            </w:pPr>
          </w:p>
        </w:tc>
      </w:tr>
      <w:tr w:rsidR="00C87E1E" w:rsidRPr="001766B2" w14:paraId="14C64EBA" w14:textId="77777777" w:rsidTr="00C87E1E">
        <w:tc>
          <w:tcPr>
            <w:tcW w:w="3960" w:type="dxa"/>
            <w:vAlign w:val="center"/>
          </w:tcPr>
          <w:p w14:paraId="386DBB3B" w14:textId="77777777" w:rsidR="00C87E1E" w:rsidRPr="001766B2" w:rsidRDefault="00C87E1E" w:rsidP="00C87E1E">
            <w:pPr>
              <w:jc w:val="center"/>
              <w:rPr>
                <w:b/>
                <w:noProof/>
              </w:rPr>
            </w:pPr>
            <w:r w:rsidRPr="001766B2">
              <w:rPr>
                <w:b/>
                <w:noProof/>
                <w:sz w:val="22"/>
              </w:rPr>
              <w:t xml:space="preserve">GD TOTALT </w:t>
            </w:r>
            <w:r w:rsidRPr="001766B2">
              <w:rPr>
                <w:noProof/>
                <w:sz w:val="22"/>
              </w:rPr>
              <w:t>&lt;…….&gt;</w:t>
            </w:r>
          </w:p>
        </w:tc>
        <w:tc>
          <w:tcPr>
            <w:tcW w:w="2094" w:type="dxa"/>
            <w:gridSpan w:val="2"/>
            <w:vAlign w:val="center"/>
          </w:tcPr>
          <w:p w14:paraId="64B4A9DD" w14:textId="77777777" w:rsidR="00C87E1E" w:rsidRPr="001766B2" w:rsidRDefault="00C87E1E" w:rsidP="00C87E1E">
            <w:pPr>
              <w:rPr>
                <w:noProof/>
                <w:sz w:val="14"/>
              </w:rPr>
            </w:pPr>
            <w:r w:rsidRPr="001766B2">
              <w:rPr>
                <w:noProof/>
                <w:sz w:val="18"/>
              </w:rPr>
              <w:t xml:space="preserve">Anslag </w:t>
            </w:r>
          </w:p>
        </w:tc>
        <w:tc>
          <w:tcPr>
            <w:tcW w:w="868" w:type="dxa"/>
            <w:vAlign w:val="center"/>
          </w:tcPr>
          <w:p w14:paraId="01E55E8D" w14:textId="77777777" w:rsidR="00C87E1E" w:rsidRPr="001766B2" w:rsidRDefault="00C87E1E" w:rsidP="00C87E1E">
            <w:pPr>
              <w:spacing w:before="60" w:after="60"/>
              <w:jc w:val="right"/>
              <w:rPr>
                <w:noProof/>
                <w:sz w:val="20"/>
                <w:lang w:eastAsia="en-GB"/>
              </w:rPr>
            </w:pPr>
          </w:p>
        </w:tc>
        <w:tc>
          <w:tcPr>
            <w:tcW w:w="868" w:type="dxa"/>
            <w:vAlign w:val="center"/>
          </w:tcPr>
          <w:p w14:paraId="576903D7" w14:textId="77777777" w:rsidR="00C87E1E" w:rsidRPr="001766B2" w:rsidRDefault="00C87E1E" w:rsidP="00C87E1E">
            <w:pPr>
              <w:spacing w:before="20" w:after="20"/>
              <w:jc w:val="right"/>
              <w:rPr>
                <w:noProof/>
                <w:sz w:val="20"/>
                <w:lang w:eastAsia="en-GB"/>
              </w:rPr>
            </w:pPr>
          </w:p>
        </w:tc>
        <w:tc>
          <w:tcPr>
            <w:tcW w:w="868" w:type="dxa"/>
            <w:vAlign w:val="center"/>
          </w:tcPr>
          <w:p w14:paraId="72C526EC" w14:textId="77777777" w:rsidR="00C87E1E" w:rsidRPr="001766B2" w:rsidRDefault="00C87E1E" w:rsidP="00C87E1E">
            <w:pPr>
              <w:spacing w:before="20" w:after="20"/>
              <w:jc w:val="right"/>
              <w:rPr>
                <w:noProof/>
                <w:sz w:val="20"/>
                <w:lang w:eastAsia="en-GB"/>
              </w:rPr>
            </w:pPr>
          </w:p>
        </w:tc>
        <w:tc>
          <w:tcPr>
            <w:tcW w:w="868" w:type="dxa"/>
            <w:vAlign w:val="center"/>
          </w:tcPr>
          <w:p w14:paraId="10731815" w14:textId="77777777" w:rsidR="00C87E1E" w:rsidRPr="001766B2" w:rsidRDefault="00C87E1E" w:rsidP="00C87E1E">
            <w:pPr>
              <w:spacing w:before="20" w:after="20"/>
              <w:jc w:val="right"/>
              <w:rPr>
                <w:noProof/>
                <w:sz w:val="20"/>
                <w:lang w:eastAsia="en-GB"/>
              </w:rPr>
            </w:pPr>
          </w:p>
        </w:tc>
        <w:tc>
          <w:tcPr>
            <w:tcW w:w="868" w:type="dxa"/>
            <w:vAlign w:val="center"/>
          </w:tcPr>
          <w:p w14:paraId="2A6FAA48" w14:textId="77777777" w:rsidR="00C87E1E" w:rsidRPr="001766B2" w:rsidRDefault="00C87E1E" w:rsidP="00C87E1E">
            <w:pPr>
              <w:spacing w:before="20" w:after="20"/>
              <w:jc w:val="right"/>
              <w:rPr>
                <w:noProof/>
                <w:sz w:val="20"/>
                <w:lang w:eastAsia="en-GB"/>
              </w:rPr>
            </w:pPr>
          </w:p>
        </w:tc>
        <w:tc>
          <w:tcPr>
            <w:tcW w:w="868" w:type="dxa"/>
            <w:vAlign w:val="center"/>
          </w:tcPr>
          <w:p w14:paraId="18E45F08" w14:textId="77777777" w:rsidR="00C87E1E" w:rsidRPr="001766B2" w:rsidRDefault="00C87E1E" w:rsidP="00C87E1E">
            <w:pPr>
              <w:spacing w:before="20" w:after="20"/>
              <w:jc w:val="right"/>
              <w:rPr>
                <w:noProof/>
                <w:sz w:val="20"/>
                <w:lang w:eastAsia="en-GB"/>
              </w:rPr>
            </w:pPr>
          </w:p>
        </w:tc>
        <w:tc>
          <w:tcPr>
            <w:tcW w:w="868" w:type="dxa"/>
            <w:vAlign w:val="center"/>
          </w:tcPr>
          <w:p w14:paraId="0C1E6557" w14:textId="77777777" w:rsidR="00C87E1E" w:rsidRPr="001766B2" w:rsidRDefault="00C87E1E" w:rsidP="00C87E1E">
            <w:pPr>
              <w:spacing w:before="20" w:after="20"/>
              <w:jc w:val="right"/>
              <w:rPr>
                <w:b/>
                <w:noProof/>
                <w:sz w:val="20"/>
                <w:lang w:eastAsia="en-GB"/>
              </w:rPr>
            </w:pPr>
          </w:p>
        </w:tc>
        <w:tc>
          <w:tcPr>
            <w:tcW w:w="1777" w:type="dxa"/>
            <w:vAlign w:val="center"/>
          </w:tcPr>
          <w:p w14:paraId="05226D43" w14:textId="77777777" w:rsidR="00C87E1E" w:rsidRPr="001766B2" w:rsidRDefault="00C87E1E" w:rsidP="00C87E1E">
            <w:pPr>
              <w:spacing w:before="20" w:after="20"/>
              <w:jc w:val="right"/>
              <w:rPr>
                <w:b/>
                <w:noProof/>
                <w:sz w:val="20"/>
                <w:lang w:eastAsia="en-GB"/>
              </w:rPr>
            </w:pPr>
          </w:p>
        </w:tc>
      </w:tr>
    </w:tbl>
    <w:p w14:paraId="16C6EF91" w14:textId="77777777" w:rsidR="00C87E1E" w:rsidRPr="001766B2" w:rsidRDefault="00C87E1E" w:rsidP="00C87E1E">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87E1E" w:rsidRPr="001766B2" w14:paraId="68564316" w14:textId="77777777" w:rsidTr="00C87E1E">
        <w:tc>
          <w:tcPr>
            <w:tcW w:w="3960" w:type="dxa"/>
            <w:shd w:val="thinDiagStripe" w:color="C0C0C0" w:fill="auto"/>
            <w:vAlign w:val="center"/>
          </w:tcPr>
          <w:p w14:paraId="68E157C7" w14:textId="77777777" w:rsidR="00C87E1E" w:rsidRPr="001766B2" w:rsidRDefault="00C87E1E" w:rsidP="00C87E1E">
            <w:pPr>
              <w:jc w:val="center"/>
              <w:rPr>
                <w:b/>
                <w:noProof/>
              </w:rPr>
            </w:pPr>
            <w:r w:rsidRPr="001766B2">
              <w:rPr>
                <w:b/>
                <w:noProof/>
                <w:sz w:val="22"/>
              </w:rPr>
              <w:t>TOTALA anslag</w:t>
            </w:r>
            <w:r w:rsidRPr="001766B2">
              <w:rPr>
                <w:noProof/>
              </w:rPr>
              <w:t xml:space="preserve"> </w:t>
            </w:r>
            <w:r w:rsidRPr="001766B2">
              <w:rPr>
                <w:noProof/>
              </w:rPr>
              <w:br/>
            </w:r>
            <w:r w:rsidRPr="001766B2">
              <w:rPr>
                <w:b/>
                <w:noProof/>
                <w:sz w:val="22"/>
              </w:rPr>
              <w:t>för RUBRIK 7</w:t>
            </w:r>
            <w:r w:rsidRPr="001766B2">
              <w:rPr>
                <w:noProof/>
              </w:rPr>
              <w:t xml:space="preserve"> </w:t>
            </w:r>
            <w:r w:rsidRPr="001766B2">
              <w:rPr>
                <w:noProof/>
              </w:rPr>
              <w:br/>
            </w:r>
            <w:r w:rsidRPr="001766B2">
              <w:rPr>
                <w:noProof/>
                <w:sz w:val="22"/>
              </w:rPr>
              <w:t>i den fleråriga budgetramen</w:t>
            </w:r>
            <w:r w:rsidRPr="001766B2">
              <w:rPr>
                <w:b/>
                <w:noProof/>
                <w:sz w:val="22"/>
              </w:rPr>
              <w:t xml:space="preserve"> </w:t>
            </w:r>
          </w:p>
        </w:tc>
        <w:tc>
          <w:tcPr>
            <w:tcW w:w="2094" w:type="dxa"/>
            <w:vAlign w:val="center"/>
          </w:tcPr>
          <w:p w14:paraId="27F15FC9" w14:textId="77777777" w:rsidR="00C87E1E" w:rsidRPr="001766B2" w:rsidRDefault="00C87E1E" w:rsidP="00C87E1E">
            <w:pPr>
              <w:spacing w:before="40" w:after="40"/>
              <w:rPr>
                <w:noProof/>
              </w:rPr>
            </w:pPr>
            <w:r w:rsidRPr="001766B2">
              <w:rPr>
                <w:noProof/>
                <w:sz w:val="18"/>
              </w:rPr>
              <w:t>(summa åtaganden = summa betalningar)</w:t>
            </w:r>
          </w:p>
        </w:tc>
        <w:tc>
          <w:tcPr>
            <w:tcW w:w="868" w:type="dxa"/>
            <w:vAlign w:val="center"/>
          </w:tcPr>
          <w:p w14:paraId="71F46A79" w14:textId="77777777" w:rsidR="00C87E1E" w:rsidRPr="001766B2" w:rsidRDefault="00C87E1E" w:rsidP="00C87E1E">
            <w:pPr>
              <w:spacing w:before="20" w:after="20"/>
              <w:jc w:val="right"/>
              <w:rPr>
                <w:noProof/>
                <w:sz w:val="20"/>
                <w:lang w:eastAsia="en-GB"/>
              </w:rPr>
            </w:pPr>
          </w:p>
        </w:tc>
        <w:tc>
          <w:tcPr>
            <w:tcW w:w="868" w:type="dxa"/>
            <w:vAlign w:val="center"/>
          </w:tcPr>
          <w:p w14:paraId="48A59699" w14:textId="77777777" w:rsidR="00C87E1E" w:rsidRPr="001766B2" w:rsidRDefault="00C87E1E" w:rsidP="00C87E1E">
            <w:pPr>
              <w:spacing w:before="20" w:after="20"/>
              <w:jc w:val="right"/>
              <w:rPr>
                <w:noProof/>
                <w:sz w:val="20"/>
                <w:lang w:eastAsia="en-GB"/>
              </w:rPr>
            </w:pPr>
          </w:p>
        </w:tc>
        <w:tc>
          <w:tcPr>
            <w:tcW w:w="868" w:type="dxa"/>
            <w:vAlign w:val="center"/>
          </w:tcPr>
          <w:p w14:paraId="138F4221" w14:textId="77777777" w:rsidR="00C87E1E" w:rsidRPr="001766B2" w:rsidRDefault="00C87E1E" w:rsidP="00C87E1E">
            <w:pPr>
              <w:spacing w:before="20" w:after="20"/>
              <w:jc w:val="right"/>
              <w:rPr>
                <w:noProof/>
                <w:sz w:val="20"/>
                <w:lang w:eastAsia="en-GB"/>
              </w:rPr>
            </w:pPr>
          </w:p>
        </w:tc>
        <w:tc>
          <w:tcPr>
            <w:tcW w:w="868" w:type="dxa"/>
            <w:vAlign w:val="center"/>
          </w:tcPr>
          <w:p w14:paraId="79E89798" w14:textId="77777777" w:rsidR="00C87E1E" w:rsidRPr="001766B2" w:rsidRDefault="00C87E1E" w:rsidP="00C87E1E">
            <w:pPr>
              <w:spacing w:before="20" w:after="20"/>
              <w:jc w:val="right"/>
              <w:rPr>
                <w:noProof/>
                <w:sz w:val="20"/>
                <w:lang w:eastAsia="en-GB"/>
              </w:rPr>
            </w:pPr>
          </w:p>
        </w:tc>
        <w:tc>
          <w:tcPr>
            <w:tcW w:w="868" w:type="dxa"/>
            <w:vAlign w:val="center"/>
          </w:tcPr>
          <w:p w14:paraId="6B0C977B" w14:textId="77777777" w:rsidR="00C87E1E" w:rsidRPr="001766B2" w:rsidRDefault="00C87E1E" w:rsidP="00C87E1E">
            <w:pPr>
              <w:spacing w:before="20" w:after="20"/>
              <w:jc w:val="right"/>
              <w:rPr>
                <w:noProof/>
                <w:sz w:val="20"/>
                <w:lang w:eastAsia="en-GB"/>
              </w:rPr>
            </w:pPr>
          </w:p>
        </w:tc>
        <w:tc>
          <w:tcPr>
            <w:tcW w:w="868" w:type="dxa"/>
            <w:vAlign w:val="center"/>
          </w:tcPr>
          <w:p w14:paraId="5D1C2DDC" w14:textId="77777777" w:rsidR="00C87E1E" w:rsidRPr="001766B2" w:rsidRDefault="00C87E1E" w:rsidP="00C87E1E">
            <w:pPr>
              <w:spacing w:before="20" w:after="20"/>
              <w:jc w:val="right"/>
              <w:rPr>
                <w:noProof/>
                <w:sz w:val="20"/>
                <w:lang w:eastAsia="en-GB"/>
              </w:rPr>
            </w:pPr>
          </w:p>
        </w:tc>
        <w:tc>
          <w:tcPr>
            <w:tcW w:w="868" w:type="dxa"/>
            <w:vAlign w:val="center"/>
          </w:tcPr>
          <w:p w14:paraId="1D184B95" w14:textId="77777777" w:rsidR="00C87E1E" w:rsidRPr="001766B2" w:rsidRDefault="00C87E1E" w:rsidP="00C87E1E">
            <w:pPr>
              <w:spacing w:before="20" w:after="20"/>
              <w:jc w:val="right"/>
              <w:rPr>
                <w:b/>
                <w:noProof/>
                <w:sz w:val="20"/>
                <w:lang w:eastAsia="en-GB"/>
              </w:rPr>
            </w:pPr>
          </w:p>
        </w:tc>
        <w:tc>
          <w:tcPr>
            <w:tcW w:w="1777" w:type="dxa"/>
            <w:vAlign w:val="center"/>
          </w:tcPr>
          <w:p w14:paraId="481853DE" w14:textId="77777777" w:rsidR="00C87E1E" w:rsidRPr="001766B2" w:rsidRDefault="00C87E1E" w:rsidP="00C87E1E">
            <w:pPr>
              <w:spacing w:before="20" w:after="20"/>
              <w:jc w:val="right"/>
              <w:rPr>
                <w:b/>
                <w:noProof/>
                <w:sz w:val="20"/>
                <w:lang w:eastAsia="en-GB"/>
              </w:rPr>
            </w:pPr>
          </w:p>
        </w:tc>
      </w:tr>
    </w:tbl>
    <w:p w14:paraId="5058A238" w14:textId="77777777" w:rsidR="00C87E1E" w:rsidRPr="001766B2" w:rsidRDefault="00C87E1E" w:rsidP="00C87E1E">
      <w:pPr>
        <w:jc w:val="right"/>
        <w:rPr>
          <w:noProof/>
          <w:sz w:val="20"/>
        </w:rPr>
      </w:pPr>
      <w:r w:rsidRPr="001766B2">
        <w:rPr>
          <w:noProof/>
          <w:sz w:val="20"/>
        </w:rPr>
        <w:t>Miljoner euro (avrundat till tre decimaler)</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38"/>
        <w:gridCol w:w="698"/>
        <w:gridCol w:w="1134"/>
        <w:gridCol w:w="1134"/>
        <w:gridCol w:w="992"/>
        <w:gridCol w:w="850"/>
        <w:gridCol w:w="1134"/>
        <w:gridCol w:w="1276"/>
        <w:gridCol w:w="1134"/>
      </w:tblGrid>
      <w:tr w:rsidR="00841AC1" w:rsidRPr="001766B2" w14:paraId="5EA3841B" w14:textId="77777777" w:rsidTr="00A27D48">
        <w:tc>
          <w:tcPr>
            <w:tcW w:w="3960" w:type="dxa"/>
            <w:tcBorders>
              <w:top w:val="nil"/>
              <w:left w:val="nil"/>
              <w:right w:val="nil"/>
            </w:tcBorders>
            <w:vAlign w:val="center"/>
          </w:tcPr>
          <w:p w14:paraId="73542884" w14:textId="77777777" w:rsidR="00841AC1" w:rsidRPr="001766B2" w:rsidRDefault="00841AC1" w:rsidP="00841AC1">
            <w:pPr>
              <w:jc w:val="center"/>
              <w:rPr>
                <w:noProof/>
                <w:lang w:eastAsia="en-GB"/>
              </w:rPr>
            </w:pPr>
          </w:p>
        </w:tc>
        <w:tc>
          <w:tcPr>
            <w:tcW w:w="1560" w:type="dxa"/>
            <w:tcBorders>
              <w:top w:val="nil"/>
              <w:left w:val="nil"/>
              <w:right w:val="nil"/>
            </w:tcBorders>
          </w:tcPr>
          <w:p w14:paraId="7EA3388D" w14:textId="77777777" w:rsidR="00841AC1" w:rsidRPr="001766B2" w:rsidRDefault="00841AC1" w:rsidP="00841AC1">
            <w:pPr>
              <w:rPr>
                <w:noProof/>
                <w:sz w:val="20"/>
                <w:lang w:eastAsia="en-GB"/>
              </w:rPr>
            </w:pPr>
          </w:p>
        </w:tc>
        <w:tc>
          <w:tcPr>
            <w:tcW w:w="238" w:type="dxa"/>
            <w:tcBorders>
              <w:top w:val="nil"/>
              <w:left w:val="nil"/>
            </w:tcBorders>
          </w:tcPr>
          <w:p w14:paraId="56BD68F1" w14:textId="77777777" w:rsidR="00841AC1" w:rsidRPr="001766B2" w:rsidRDefault="00841AC1" w:rsidP="00841AC1">
            <w:pPr>
              <w:jc w:val="center"/>
              <w:rPr>
                <w:noProof/>
                <w:sz w:val="20"/>
                <w:lang w:eastAsia="en-GB"/>
              </w:rPr>
            </w:pPr>
          </w:p>
        </w:tc>
        <w:tc>
          <w:tcPr>
            <w:tcW w:w="698" w:type="dxa"/>
            <w:vAlign w:val="center"/>
          </w:tcPr>
          <w:p w14:paraId="3B6FB8CC" w14:textId="77777777" w:rsidR="00841AC1" w:rsidRPr="001766B2" w:rsidRDefault="00841AC1" w:rsidP="00841AC1">
            <w:pPr>
              <w:jc w:val="center"/>
              <w:rPr>
                <w:noProof/>
                <w:sz w:val="20"/>
              </w:rPr>
            </w:pPr>
            <w:r w:rsidRPr="001766B2">
              <w:rPr>
                <w:b/>
                <w:noProof/>
                <w:sz w:val="20"/>
              </w:rPr>
              <w:t>2021</w:t>
            </w:r>
          </w:p>
        </w:tc>
        <w:tc>
          <w:tcPr>
            <w:tcW w:w="1134" w:type="dxa"/>
            <w:vAlign w:val="center"/>
          </w:tcPr>
          <w:p w14:paraId="48113C61" w14:textId="77777777" w:rsidR="00841AC1" w:rsidRPr="001766B2" w:rsidRDefault="00841AC1" w:rsidP="00841AC1">
            <w:pPr>
              <w:jc w:val="center"/>
              <w:rPr>
                <w:noProof/>
                <w:sz w:val="20"/>
              </w:rPr>
            </w:pPr>
            <w:r w:rsidRPr="001766B2">
              <w:rPr>
                <w:b/>
                <w:noProof/>
                <w:sz w:val="20"/>
              </w:rPr>
              <w:t>2022</w:t>
            </w:r>
          </w:p>
        </w:tc>
        <w:tc>
          <w:tcPr>
            <w:tcW w:w="1134" w:type="dxa"/>
            <w:vAlign w:val="center"/>
          </w:tcPr>
          <w:p w14:paraId="58464003" w14:textId="77777777" w:rsidR="00841AC1" w:rsidRPr="001766B2" w:rsidRDefault="00841AC1" w:rsidP="00841AC1">
            <w:pPr>
              <w:jc w:val="center"/>
              <w:rPr>
                <w:noProof/>
                <w:sz w:val="20"/>
              </w:rPr>
            </w:pPr>
            <w:r w:rsidRPr="001766B2">
              <w:rPr>
                <w:b/>
                <w:noProof/>
                <w:sz w:val="20"/>
              </w:rPr>
              <w:t>2023</w:t>
            </w:r>
          </w:p>
        </w:tc>
        <w:tc>
          <w:tcPr>
            <w:tcW w:w="992" w:type="dxa"/>
            <w:vAlign w:val="center"/>
          </w:tcPr>
          <w:p w14:paraId="1A1286B6" w14:textId="77777777" w:rsidR="00841AC1" w:rsidRPr="001766B2" w:rsidRDefault="00841AC1" w:rsidP="00841AC1">
            <w:pPr>
              <w:jc w:val="center"/>
              <w:rPr>
                <w:noProof/>
                <w:sz w:val="20"/>
              </w:rPr>
            </w:pPr>
            <w:r w:rsidRPr="001766B2">
              <w:rPr>
                <w:b/>
                <w:noProof/>
                <w:sz w:val="20"/>
              </w:rPr>
              <w:t>2024</w:t>
            </w:r>
          </w:p>
        </w:tc>
        <w:tc>
          <w:tcPr>
            <w:tcW w:w="850" w:type="dxa"/>
          </w:tcPr>
          <w:p w14:paraId="53C6C2DE" w14:textId="77777777" w:rsidR="00841AC1" w:rsidRPr="001766B2" w:rsidRDefault="00841AC1" w:rsidP="00841AC1">
            <w:pPr>
              <w:jc w:val="center"/>
              <w:rPr>
                <w:b/>
                <w:noProof/>
                <w:sz w:val="20"/>
                <w:szCs w:val="20"/>
              </w:rPr>
            </w:pPr>
            <w:r w:rsidRPr="001766B2">
              <w:rPr>
                <w:b/>
                <w:noProof/>
                <w:sz w:val="20"/>
              </w:rPr>
              <w:t>2025</w:t>
            </w:r>
          </w:p>
        </w:tc>
        <w:tc>
          <w:tcPr>
            <w:tcW w:w="1134" w:type="dxa"/>
          </w:tcPr>
          <w:p w14:paraId="0B2E94D2" w14:textId="77777777" w:rsidR="00841AC1" w:rsidRPr="001766B2" w:rsidRDefault="00841AC1" w:rsidP="00841AC1">
            <w:pPr>
              <w:jc w:val="center"/>
              <w:rPr>
                <w:b/>
                <w:noProof/>
                <w:sz w:val="20"/>
              </w:rPr>
            </w:pPr>
            <w:r w:rsidRPr="001766B2">
              <w:rPr>
                <w:b/>
                <w:noProof/>
                <w:sz w:val="20"/>
              </w:rPr>
              <w:t>2026</w:t>
            </w:r>
          </w:p>
        </w:tc>
        <w:tc>
          <w:tcPr>
            <w:tcW w:w="1276" w:type="dxa"/>
          </w:tcPr>
          <w:p w14:paraId="150FEB6C" w14:textId="77777777" w:rsidR="00841AC1" w:rsidRPr="001766B2" w:rsidRDefault="00841AC1" w:rsidP="00841AC1">
            <w:pPr>
              <w:jc w:val="center"/>
              <w:rPr>
                <w:b/>
                <w:noProof/>
                <w:sz w:val="20"/>
              </w:rPr>
            </w:pPr>
            <w:r w:rsidRPr="001766B2">
              <w:rPr>
                <w:b/>
                <w:noProof/>
                <w:sz w:val="20"/>
              </w:rPr>
              <w:t>2027</w:t>
            </w:r>
          </w:p>
        </w:tc>
        <w:tc>
          <w:tcPr>
            <w:tcW w:w="1134" w:type="dxa"/>
            <w:vAlign w:val="center"/>
          </w:tcPr>
          <w:p w14:paraId="1EC74B61" w14:textId="77777777" w:rsidR="00841AC1" w:rsidRPr="001766B2" w:rsidRDefault="00841AC1" w:rsidP="00841AC1">
            <w:pPr>
              <w:jc w:val="center"/>
              <w:rPr>
                <w:b/>
                <w:noProof/>
                <w:sz w:val="20"/>
              </w:rPr>
            </w:pPr>
            <w:r w:rsidRPr="001766B2">
              <w:rPr>
                <w:b/>
                <w:noProof/>
                <w:sz w:val="20"/>
              </w:rPr>
              <w:t>TOTALT</w:t>
            </w:r>
          </w:p>
        </w:tc>
      </w:tr>
      <w:tr w:rsidR="00841AC1" w:rsidRPr="001766B2" w14:paraId="27BC6D69" w14:textId="77777777" w:rsidTr="00A27D48">
        <w:tc>
          <w:tcPr>
            <w:tcW w:w="3960" w:type="dxa"/>
            <w:vMerge w:val="restart"/>
            <w:shd w:val="clear" w:color="auto" w:fill="C0C0C0"/>
            <w:vAlign w:val="center"/>
          </w:tcPr>
          <w:p w14:paraId="420FDEAB" w14:textId="77777777" w:rsidR="00841AC1" w:rsidRPr="001766B2" w:rsidRDefault="00841AC1" w:rsidP="00841AC1">
            <w:pPr>
              <w:jc w:val="center"/>
              <w:rPr>
                <w:b/>
                <w:noProof/>
              </w:rPr>
            </w:pPr>
            <w:r w:rsidRPr="001766B2">
              <w:rPr>
                <w:b/>
                <w:noProof/>
              </w:rPr>
              <w:t>TOTALA anslag för RUBRIKERNA 1–7</w:t>
            </w:r>
            <w:r w:rsidRPr="001766B2">
              <w:rPr>
                <w:noProof/>
              </w:rPr>
              <w:t xml:space="preserve"> </w:t>
            </w:r>
            <w:r w:rsidRPr="001766B2">
              <w:rPr>
                <w:noProof/>
              </w:rPr>
              <w:br/>
            </w:r>
            <w:r w:rsidRPr="001766B2">
              <w:rPr>
                <w:noProof/>
                <w:sz w:val="22"/>
              </w:rPr>
              <w:t>i den fleråriga budgetramen</w:t>
            </w:r>
            <w:r w:rsidRPr="001766B2">
              <w:rPr>
                <w:b/>
                <w:noProof/>
                <w:sz w:val="22"/>
              </w:rPr>
              <w:t xml:space="preserve"> </w:t>
            </w:r>
          </w:p>
        </w:tc>
        <w:tc>
          <w:tcPr>
            <w:tcW w:w="1798" w:type="dxa"/>
            <w:gridSpan w:val="2"/>
            <w:vAlign w:val="center"/>
          </w:tcPr>
          <w:p w14:paraId="75DE1E4F" w14:textId="77777777" w:rsidR="00841AC1" w:rsidRPr="001766B2" w:rsidRDefault="00841AC1" w:rsidP="00841AC1">
            <w:pPr>
              <w:rPr>
                <w:noProof/>
                <w:sz w:val="14"/>
              </w:rPr>
            </w:pPr>
            <w:r w:rsidRPr="001766B2">
              <w:rPr>
                <w:noProof/>
                <w:sz w:val="18"/>
              </w:rPr>
              <w:t>Åtaganden</w:t>
            </w:r>
          </w:p>
        </w:tc>
        <w:tc>
          <w:tcPr>
            <w:tcW w:w="698" w:type="dxa"/>
            <w:vAlign w:val="center"/>
          </w:tcPr>
          <w:p w14:paraId="653DB4E2" w14:textId="77777777" w:rsidR="00841AC1" w:rsidRPr="001766B2" w:rsidRDefault="00841AC1" w:rsidP="00841AC1">
            <w:pPr>
              <w:spacing w:before="60" w:after="60"/>
              <w:jc w:val="right"/>
              <w:rPr>
                <w:noProof/>
                <w:sz w:val="22"/>
                <w:lang w:eastAsia="en-GB"/>
              </w:rPr>
            </w:pPr>
          </w:p>
        </w:tc>
        <w:tc>
          <w:tcPr>
            <w:tcW w:w="1134" w:type="dxa"/>
            <w:vAlign w:val="center"/>
          </w:tcPr>
          <w:p w14:paraId="0B51296E" w14:textId="77777777" w:rsidR="00841AC1" w:rsidRPr="001766B2" w:rsidRDefault="00841AC1" w:rsidP="00841AC1">
            <w:pPr>
              <w:spacing w:before="60" w:after="60"/>
              <w:jc w:val="right"/>
              <w:rPr>
                <w:noProof/>
                <w:sz w:val="22"/>
                <w:lang w:eastAsia="en-GB"/>
              </w:rPr>
            </w:pPr>
          </w:p>
        </w:tc>
        <w:tc>
          <w:tcPr>
            <w:tcW w:w="1134" w:type="dxa"/>
            <w:vAlign w:val="center"/>
          </w:tcPr>
          <w:p w14:paraId="43AF26F2" w14:textId="77777777" w:rsidR="00841AC1" w:rsidRPr="001766B2" w:rsidRDefault="00841AC1" w:rsidP="00841AC1">
            <w:pPr>
              <w:spacing w:before="60" w:after="60"/>
              <w:jc w:val="right"/>
              <w:rPr>
                <w:noProof/>
                <w:sz w:val="22"/>
                <w:lang w:eastAsia="en-GB"/>
              </w:rPr>
            </w:pPr>
          </w:p>
        </w:tc>
        <w:tc>
          <w:tcPr>
            <w:tcW w:w="992" w:type="dxa"/>
            <w:vAlign w:val="center"/>
          </w:tcPr>
          <w:p w14:paraId="3175DE6B" w14:textId="77777777" w:rsidR="00841AC1" w:rsidRPr="001766B2" w:rsidRDefault="00841AC1" w:rsidP="00841AC1">
            <w:pPr>
              <w:spacing w:before="60" w:after="60"/>
              <w:jc w:val="right"/>
              <w:rPr>
                <w:noProof/>
                <w:sz w:val="22"/>
                <w:lang w:eastAsia="en-GB"/>
              </w:rPr>
            </w:pPr>
          </w:p>
        </w:tc>
        <w:tc>
          <w:tcPr>
            <w:tcW w:w="850" w:type="dxa"/>
            <w:vAlign w:val="center"/>
          </w:tcPr>
          <w:p w14:paraId="11E273CF" w14:textId="77777777" w:rsidR="00841AC1" w:rsidRPr="001766B2" w:rsidRDefault="00841AC1" w:rsidP="00841AC1">
            <w:pPr>
              <w:spacing w:before="60" w:after="60"/>
              <w:jc w:val="right"/>
              <w:rPr>
                <w:noProof/>
                <w:sz w:val="22"/>
                <w:lang w:eastAsia="en-GB"/>
              </w:rPr>
            </w:pPr>
          </w:p>
        </w:tc>
        <w:tc>
          <w:tcPr>
            <w:tcW w:w="1134" w:type="dxa"/>
            <w:vAlign w:val="center"/>
          </w:tcPr>
          <w:p w14:paraId="378183DF" w14:textId="77777777" w:rsidR="00841AC1" w:rsidRPr="001766B2" w:rsidRDefault="00841AC1" w:rsidP="00841AC1">
            <w:pPr>
              <w:spacing w:before="60" w:after="60"/>
              <w:jc w:val="center"/>
              <w:rPr>
                <w:b/>
                <w:noProof/>
                <w:sz w:val="22"/>
                <w:lang w:eastAsia="en-GB"/>
              </w:rPr>
            </w:pPr>
          </w:p>
        </w:tc>
        <w:tc>
          <w:tcPr>
            <w:tcW w:w="1276" w:type="dxa"/>
            <w:vAlign w:val="center"/>
          </w:tcPr>
          <w:p w14:paraId="7EACDA46" w14:textId="77777777" w:rsidR="00841AC1" w:rsidRPr="001766B2" w:rsidRDefault="00841AC1" w:rsidP="00841AC1">
            <w:pPr>
              <w:spacing w:before="60" w:after="60"/>
              <w:jc w:val="center"/>
              <w:rPr>
                <w:b/>
                <w:noProof/>
                <w:sz w:val="22"/>
                <w:lang w:eastAsia="en-GB"/>
              </w:rPr>
            </w:pPr>
          </w:p>
        </w:tc>
        <w:tc>
          <w:tcPr>
            <w:tcW w:w="1134" w:type="dxa"/>
            <w:vAlign w:val="center"/>
          </w:tcPr>
          <w:p w14:paraId="483EAE95" w14:textId="77777777" w:rsidR="00841AC1" w:rsidRPr="001766B2" w:rsidRDefault="00841AC1" w:rsidP="00841AC1">
            <w:pPr>
              <w:spacing w:before="60" w:after="60"/>
              <w:jc w:val="center"/>
              <w:rPr>
                <w:noProof/>
                <w:sz w:val="22"/>
              </w:rPr>
            </w:pPr>
            <w:r w:rsidRPr="001766B2">
              <w:rPr>
                <w:b/>
                <w:noProof/>
                <w:sz w:val="22"/>
              </w:rPr>
              <w:t>0,000</w:t>
            </w:r>
          </w:p>
        </w:tc>
      </w:tr>
      <w:tr w:rsidR="00841AC1" w:rsidRPr="001766B2" w14:paraId="66405CD5" w14:textId="77777777" w:rsidTr="00841AC1">
        <w:tc>
          <w:tcPr>
            <w:tcW w:w="3960" w:type="dxa"/>
            <w:vMerge/>
            <w:shd w:val="clear" w:color="auto" w:fill="C0C0C0"/>
          </w:tcPr>
          <w:p w14:paraId="02BE2279" w14:textId="77777777" w:rsidR="00841AC1" w:rsidRPr="001766B2" w:rsidRDefault="00841AC1" w:rsidP="00841AC1">
            <w:pPr>
              <w:rPr>
                <w:noProof/>
                <w:sz w:val="20"/>
                <w:lang w:eastAsia="en-GB"/>
              </w:rPr>
            </w:pPr>
          </w:p>
        </w:tc>
        <w:tc>
          <w:tcPr>
            <w:tcW w:w="1798" w:type="dxa"/>
            <w:gridSpan w:val="2"/>
            <w:vAlign w:val="center"/>
          </w:tcPr>
          <w:p w14:paraId="533D40D1" w14:textId="77777777" w:rsidR="00841AC1" w:rsidRPr="001766B2" w:rsidRDefault="00841AC1" w:rsidP="00841AC1">
            <w:pPr>
              <w:rPr>
                <w:noProof/>
                <w:sz w:val="14"/>
              </w:rPr>
            </w:pPr>
            <w:r w:rsidRPr="001766B2">
              <w:rPr>
                <w:noProof/>
                <w:sz w:val="18"/>
              </w:rPr>
              <w:t>Betalningar</w:t>
            </w:r>
          </w:p>
        </w:tc>
        <w:tc>
          <w:tcPr>
            <w:tcW w:w="698" w:type="dxa"/>
            <w:vAlign w:val="center"/>
          </w:tcPr>
          <w:p w14:paraId="6FEC68FE" w14:textId="77777777" w:rsidR="00841AC1" w:rsidRPr="001766B2" w:rsidRDefault="00841AC1" w:rsidP="00841AC1">
            <w:pPr>
              <w:spacing w:before="60" w:after="60"/>
              <w:jc w:val="right"/>
              <w:rPr>
                <w:noProof/>
                <w:sz w:val="22"/>
                <w:lang w:eastAsia="en-GB"/>
              </w:rPr>
            </w:pPr>
          </w:p>
        </w:tc>
        <w:tc>
          <w:tcPr>
            <w:tcW w:w="1134" w:type="dxa"/>
            <w:vAlign w:val="center"/>
          </w:tcPr>
          <w:p w14:paraId="5B84CBA9" w14:textId="77777777" w:rsidR="00841AC1" w:rsidRPr="001766B2" w:rsidRDefault="00841AC1" w:rsidP="00841AC1">
            <w:pPr>
              <w:spacing w:before="60" w:after="60"/>
              <w:jc w:val="right"/>
              <w:rPr>
                <w:noProof/>
                <w:sz w:val="22"/>
              </w:rPr>
            </w:pPr>
            <w:r w:rsidRPr="001766B2">
              <w:rPr>
                <w:noProof/>
                <w:sz w:val="22"/>
              </w:rPr>
              <w:t>1 743,000</w:t>
            </w:r>
          </w:p>
        </w:tc>
        <w:tc>
          <w:tcPr>
            <w:tcW w:w="1134" w:type="dxa"/>
            <w:vAlign w:val="center"/>
          </w:tcPr>
          <w:p w14:paraId="1086081C" w14:textId="77777777" w:rsidR="00841AC1" w:rsidRPr="001766B2" w:rsidRDefault="00841AC1" w:rsidP="00841AC1">
            <w:pPr>
              <w:spacing w:before="60" w:after="60"/>
              <w:jc w:val="right"/>
              <w:rPr>
                <w:noProof/>
                <w:sz w:val="22"/>
              </w:rPr>
            </w:pPr>
            <w:r w:rsidRPr="001766B2">
              <w:rPr>
                <w:noProof/>
                <w:sz w:val="22"/>
              </w:rPr>
              <w:t>1 743,000</w:t>
            </w:r>
          </w:p>
        </w:tc>
        <w:tc>
          <w:tcPr>
            <w:tcW w:w="992" w:type="dxa"/>
            <w:vAlign w:val="center"/>
          </w:tcPr>
          <w:p w14:paraId="00F1DB5D" w14:textId="77777777" w:rsidR="00841AC1" w:rsidRPr="001766B2" w:rsidRDefault="00841AC1" w:rsidP="00841AC1">
            <w:pPr>
              <w:spacing w:before="60" w:after="60"/>
              <w:jc w:val="right"/>
              <w:rPr>
                <w:noProof/>
                <w:sz w:val="22"/>
                <w:lang w:eastAsia="en-GB"/>
              </w:rPr>
            </w:pPr>
          </w:p>
        </w:tc>
        <w:tc>
          <w:tcPr>
            <w:tcW w:w="850" w:type="dxa"/>
            <w:vAlign w:val="center"/>
          </w:tcPr>
          <w:p w14:paraId="5979334F" w14:textId="77777777" w:rsidR="00841AC1" w:rsidRPr="001766B2" w:rsidRDefault="00841AC1" w:rsidP="00841AC1">
            <w:pPr>
              <w:spacing w:before="60" w:after="60"/>
              <w:jc w:val="right"/>
              <w:rPr>
                <w:noProof/>
                <w:sz w:val="22"/>
              </w:rPr>
            </w:pPr>
          </w:p>
        </w:tc>
        <w:tc>
          <w:tcPr>
            <w:tcW w:w="1134" w:type="dxa"/>
            <w:vAlign w:val="center"/>
          </w:tcPr>
          <w:p w14:paraId="19B24434" w14:textId="77777777" w:rsidR="00841AC1" w:rsidRPr="001766B2" w:rsidRDefault="00841AC1" w:rsidP="00841AC1">
            <w:pPr>
              <w:spacing w:before="60" w:after="60"/>
              <w:jc w:val="center"/>
              <w:rPr>
                <w:b/>
                <w:noProof/>
                <w:sz w:val="22"/>
                <w:lang w:eastAsia="en-GB"/>
              </w:rPr>
            </w:pPr>
          </w:p>
        </w:tc>
        <w:tc>
          <w:tcPr>
            <w:tcW w:w="1276" w:type="dxa"/>
            <w:vAlign w:val="center"/>
          </w:tcPr>
          <w:p w14:paraId="66EF5069" w14:textId="77777777" w:rsidR="00841AC1" w:rsidRPr="001766B2" w:rsidRDefault="00841AC1" w:rsidP="00841AC1">
            <w:pPr>
              <w:spacing w:before="60" w:after="60"/>
              <w:jc w:val="center"/>
              <w:rPr>
                <w:noProof/>
                <w:sz w:val="22"/>
              </w:rPr>
            </w:pPr>
            <w:r w:rsidRPr="001766B2">
              <w:rPr>
                <w:noProof/>
                <w:sz w:val="22"/>
              </w:rPr>
              <w:t>-3 486,000</w:t>
            </w:r>
          </w:p>
        </w:tc>
        <w:tc>
          <w:tcPr>
            <w:tcW w:w="1134" w:type="dxa"/>
            <w:vAlign w:val="center"/>
          </w:tcPr>
          <w:p w14:paraId="05ECBDF7" w14:textId="77777777" w:rsidR="00841AC1" w:rsidRPr="001766B2" w:rsidRDefault="00841AC1" w:rsidP="00841AC1">
            <w:pPr>
              <w:spacing w:before="60" w:after="60"/>
              <w:jc w:val="center"/>
              <w:rPr>
                <w:b/>
                <w:noProof/>
                <w:sz w:val="22"/>
              </w:rPr>
            </w:pPr>
            <w:r w:rsidRPr="001766B2">
              <w:rPr>
                <w:b/>
                <w:noProof/>
                <w:sz w:val="22"/>
              </w:rPr>
              <w:t>0,000</w:t>
            </w:r>
          </w:p>
        </w:tc>
      </w:tr>
    </w:tbl>
    <w:p w14:paraId="4E3648BF" w14:textId="77777777" w:rsidR="00C87E1E" w:rsidRPr="001766B2" w:rsidRDefault="00C87E1E" w:rsidP="00C87E1E">
      <w:pPr>
        <w:rPr>
          <w:noProof/>
          <w:lang w:eastAsia="en-GB"/>
        </w:rPr>
      </w:pPr>
    </w:p>
    <w:p w14:paraId="13919A69" w14:textId="77777777" w:rsidR="00C87E1E" w:rsidRPr="001766B2" w:rsidRDefault="00C87E1E" w:rsidP="00FB18F4">
      <w:pPr>
        <w:keepNext/>
        <w:outlineLvl w:val="2"/>
        <w:rPr>
          <w:rFonts w:eastAsiaTheme="majorEastAsia"/>
          <w:bCs/>
          <w:i/>
          <w:noProof/>
        </w:rPr>
      </w:pPr>
      <w:bookmarkStart w:id="57" w:name="_Toc514938054"/>
      <w:bookmarkStart w:id="58" w:name="_Toc520485053"/>
      <w:r w:rsidRPr="001766B2">
        <w:rPr>
          <w:i/>
          <w:noProof/>
        </w:rPr>
        <w:t>Beräknad output som finansieras med driftsanslag</w:t>
      </w:r>
      <w:bookmarkEnd w:id="57"/>
      <w:bookmarkEnd w:id="58"/>
      <w:r w:rsidRPr="001766B2">
        <w:rPr>
          <w:i/>
          <w:noProof/>
        </w:rPr>
        <w:t xml:space="preserve"> </w:t>
      </w:r>
    </w:p>
    <w:p w14:paraId="53DD6B83" w14:textId="77777777" w:rsidR="00C87E1E" w:rsidRPr="001766B2" w:rsidRDefault="00C87E1E" w:rsidP="00C87E1E">
      <w:pPr>
        <w:tabs>
          <w:tab w:val="num" w:pos="1134"/>
        </w:tabs>
        <w:ind w:left="1134" w:hanging="283"/>
        <w:rPr>
          <w:noProof/>
        </w:rPr>
      </w:pPr>
      <w:r w:rsidRPr="001766B2">
        <w:rPr>
          <w:noProof/>
        </w:rPr>
        <w:t>Förslaget/initiativet kräver att befintliga driftsanslag tas i anspråk (inga förändringar):</w:t>
      </w:r>
    </w:p>
    <w:p w14:paraId="7072515C" w14:textId="77777777" w:rsidR="00C87E1E" w:rsidRPr="001766B2" w:rsidRDefault="00C87E1E" w:rsidP="00FB18F4">
      <w:pPr>
        <w:rPr>
          <w:bCs/>
          <w:noProof/>
          <w:lang w:eastAsia="en-GB"/>
        </w:rPr>
      </w:pPr>
    </w:p>
    <w:p w14:paraId="6CA82F47" w14:textId="77777777" w:rsidR="00C87E1E" w:rsidRPr="001766B2" w:rsidRDefault="00C87E1E" w:rsidP="00C87E1E">
      <w:pPr>
        <w:jc w:val="right"/>
        <w:rPr>
          <w:noProof/>
          <w:sz w:val="20"/>
        </w:rPr>
      </w:pPr>
      <w:r w:rsidRPr="001766B2">
        <w:rPr>
          <w:noProof/>
          <w:sz w:val="20"/>
        </w:rPr>
        <w:t>Åtagandebemyndiganden i miljoner euro (avrundat till tre decimaler)</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87E1E" w:rsidRPr="001766B2" w14:paraId="71A88C1B" w14:textId="77777777" w:rsidTr="00C87E1E">
        <w:trPr>
          <w:jc w:val="center"/>
        </w:trPr>
        <w:tc>
          <w:tcPr>
            <w:tcW w:w="1423" w:type="dxa"/>
            <w:vMerge w:val="restart"/>
            <w:vAlign w:val="center"/>
          </w:tcPr>
          <w:p w14:paraId="0B2AB68D" w14:textId="77777777" w:rsidR="00C87E1E" w:rsidRPr="001766B2" w:rsidRDefault="00C87E1E" w:rsidP="00C87E1E">
            <w:pPr>
              <w:ind w:right="-29"/>
              <w:jc w:val="center"/>
              <w:rPr>
                <w:b/>
                <w:noProof/>
                <w:sz w:val="18"/>
                <w:szCs w:val="18"/>
              </w:rPr>
            </w:pPr>
            <w:r w:rsidRPr="001766B2">
              <w:rPr>
                <w:b/>
                <w:noProof/>
                <w:sz w:val="18"/>
              </w:rPr>
              <w:t xml:space="preserve">Ange mål och output </w:t>
            </w:r>
          </w:p>
          <w:p w14:paraId="00A9E72A" w14:textId="77777777" w:rsidR="00C87E1E" w:rsidRPr="001766B2" w:rsidRDefault="00C87E1E" w:rsidP="00C87E1E">
            <w:pPr>
              <w:ind w:right="-29"/>
              <w:jc w:val="center"/>
              <w:rPr>
                <w:b/>
                <w:noProof/>
                <w:sz w:val="18"/>
                <w:szCs w:val="18"/>
                <w:lang w:eastAsia="en-GB"/>
              </w:rPr>
            </w:pPr>
          </w:p>
          <w:p w14:paraId="1115E29E" w14:textId="77777777" w:rsidR="00C87E1E" w:rsidRPr="001766B2" w:rsidRDefault="00C87E1E" w:rsidP="00C87E1E">
            <w:pPr>
              <w:ind w:right="-29"/>
              <w:jc w:val="center"/>
              <w:rPr>
                <w:noProof/>
                <w:sz w:val="18"/>
                <w:szCs w:val="18"/>
              </w:rPr>
            </w:pPr>
            <w:r w:rsidRPr="001766B2">
              <w:rPr>
                <w:noProof/>
                <w:sz w:val="18"/>
              </w:rPr>
              <w:sym w:font="Wingdings" w:char="F0F2"/>
            </w:r>
          </w:p>
        </w:tc>
        <w:tc>
          <w:tcPr>
            <w:tcW w:w="720" w:type="dxa"/>
            <w:vAlign w:val="center"/>
          </w:tcPr>
          <w:p w14:paraId="0FA38F42" w14:textId="77777777" w:rsidR="00C87E1E" w:rsidRPr="001766B2" w:rsidRDefault="00C87E1E" w:rsidP="00C87E1E">
            <w:pPr>
              <w:ind w:right="-29"/>
              <w:jc w:val="center"/>
              <w:rPr>
                <w:noProof/>
                <w:sz w:val="18"/>
                <w:szCs w:val="18"/>
                <w:lang w:eastAsia="en-GB"/>
              </w:rPr>
            </w:pPr>
          </w:p>
        </w:tc>
        <w:tc>
          <w:tcPr>
            <w:tcW w:w="701" w:type="dxa"/>
            <w:vAlign w:val="center"/>
          </w:tcPr>
          <w:p w14:paraId="10BB9D60" w14:textId="77777777" w:rsidR="00C87E1E" w:rsidRPr="001766B2" w:rsidRDefault="00C87E1E" w:rsidP="00C87E1E">
            <w:pPr>
              <w:ind w:right="-29"/>
              <w:jc w:val="center"/>
              <w:rPr>
                <w:noProof/>
                <w:sz w:val="18"/>
                <w:szCs w:val="18"/>
                <w:lang w:eastAsia="en-GB"/>
              </w:rPr>
            </w:pPr>
          </w:p>
        </w:tc>
        <w:tc>
          <w:tcPr>
            <w:tcW w:w="1224" w:type="dxa"/>
            <w:gridSpan w:val="2"/>
            <w:tcBorders>
              <w:left w:val="nil"/>
            </w:tcBorders>
            <w:vAlign w:val="center"/>
          </w:tcPr>
          <w:p w14:paraId="08912529" w14:textId="77777777" w:rsidR="00C87E1E" w:rsidRPr="001766B2" w:rsidRDefault="00C87E1E" w:rsidP="00C87E1E">
            <w:pPr>
              <w:ind w:right="-29"/>
              <w:jc w:val="center"/>
              <w:rPr>
                <w:noProof/>
                <w:sz w:val="18"/>
                <w:szCs w:val="18"/>
              </w:rPr>
            </w:pPr>
            <w:r w:rsidRPr="001766B2">
              <w:rPr>
                <w:noProof/>
                <w:sz w:val="18"/>
              </w:rPr>
              <w:t>År</w:t>
            </w:r>
            <w:r w:rsidRPr="001766B2">
              <w:rPr>
                <w:noProof/>
              </w:rPr>
              <w:t xml:space="preserve"> </w:t>
            </w:r>
            <w:r w:rsidRPr="001766B2">
              <w:rPr>
                <w:noProof/>
              </w:rPr>
              <w:br/>
            </w:r>
            <w:r w:rsidRPr="001766B2">
              <w:rPr>
                <w:b/>
                <w:noProof/>
                <w:sz w:val="18"/>
              </w:rPr>
              <w:t>N</w:t>
            </w:r>
          </w:p>
        </w:tc>
        <w:tc>
          <w:tcPr>
            <w:tcW w:w="1260" w:type="dxa"/>
            <w:gridSpan w:val="2"/>
            <w:vAlign w:val="center"/>
          </w:tcPr>
          <w:p w14:paraId="434B5758" w14:textId="77777777" w:rsidR="00C87E1E" w:rsidRPr="001766B2" w:rsidRDefault="00C87E1E" w:rsidP="00C87E1E">
            <w:pPr>
              <w:ind w:right="-29"/>
              <w:jc w:val="center"/>
              <w:rPr>
                <w:noProof/>
                <w:sz w:val="18"/>
                <w:szCs w:val="18"/>
              </w:rPr>
            </w:pPr>
            <w:r w:rsidRPr="001766B2">
              <w:rPr>
                <w:noProof/>
                <w:sz w:val="18"/>
              </w:rPr>
              <w:t>År</w:t>
            </w:r>
            <w:r w:rsidRPr="001766B2">
              <w:rPr>
                <w:noProof/>
              </w:rPr>
              <w:t xml:space="preserve"> </w:t>
            </w:r>
            <w:r w:rsidRPr="001766B2">
              <w:rPr>
                <w:noProof/>
              </w:rPr>
              <w:br/>
            </w:r>
            <w:r w:rsidRPr="001766B2">
              <w:rPr>
                <w:b/>
                <w:noProof/>
                <w:sz w:val="18"/>
              </w:rPr>
              <w:t>N+1</w:t>
            </w:r>
          </w:p>
        </w:tc>
        <w:tc>
          <w:tcPr>
            <w:tcW w:w="1440" w:type="dxa"/>
            <w:gridSpan w:val="2"/>
            <w:vAlign w:val="center"/>
          </w:tcPr>
          <w:p w14:paraId="3C62AB11" w14:textId="77777777" w:rsidR="00C87E1E" w:rsidRPr="001766B2" w:rsidRDefault="00C87E1E" w:rsidP="00C87E1E">
            <w:pPr>
              <w:ind w:right="-29"/>
              <w:jc w:val="center"/>
              <w:rPr>
                <w:noProof/>
                <w:sz w:val="18"/>
                <w:szCs w:val="18"/>
              </w:rPr>
            </w:pPr>
            <w:r w:rsidRPr="001766B2">
              <w:rPr>
                <w:noProof/>
                <w:sz w:val="18"/>
              </w:rPr>
              <w:t>År</w:t>
            </w:r>
            <w:r w:rsidRPr="001766B2">
              <w:rPr>
                <w:noProof/>
              </w:rPr>
              <w:t xml:space="preserve"> </w:t>
            </w:r>
            <w:r w:rsidRPr="001766B2">
              <w:rPr>
                <w:noProof/>
              </w:rPr>
              <w:br/>
            </w:r>
            <w:r w:rsidRPr="001766B2">
              <w:rPr>
                <w:b/>
                <w:noProof/>
                <w:sz w:val="18"/>
              </w:rPr>
              <w:t>N+2</w:t>
            </w:r>
          </w:p>
        </w:tc>
        <w:tc>
          <w:tcPr>
            <w:tcW w:w="1620" w:type="dxa"/>
            <w:gridSpan w:val="3"/>
            <w:vAlign w:val="center"/>
          </w:tcPr>
          <w:p w14:paraId="3049701C" w14:textId="77777777" w:rsidR="00C87E1E" w:rsidRPr="001766B2" w:rsidRDefault="00C87E1E" w:rsidP="00C87E1E">
            <w:pPr>
              <w:ind w:right="-29"/>
              <w:jc w:val="center"/>
              <w:rPr>
                <w:noProof/>
                <w:sz w:val="18"/>
                <w:szCs w:val="18"/>
              </w:rPr>
            </w:pPr>
            <w:r w:rsidRPr="001766B2">
              <w:rPr>
                <w:noProof/>
                <w:sz w:val="18"/>
              </w:rPr>
              <w:t>År</w:t>
            </w:r>
            <w:r w:rsidRPr="001766B2">
              <w:rPr>
                <w:noProof/>
              </w:rPr>
              <w:t xml:space="preserve"> </w:t>
            </w:r>
            <w:r w:rsidRPr="001766B2">
              <w:rPr>
                <w:noProof/>
              </w:rPr>
              <w:br/>
            </w:r>
            <w:r w:rsidRPr="001766B2">
              <w:rPr>
                <w:b/>
                <w:noProof/>
                <w:sz w:val="18"/>
              </w:rPr>
              <w:t>N+3</w:t>
            </w:r>
          </w:p>
        </w:tc>
        <w:tc>
          <w:tcPr>
            <w:tcW w:w="3600" w:type="dxa"/>
            <w:gridSpan w:val="6"/>
            <w:vAlign w:val="center"/>
          </w:tcPr>
          <w:p w14:paraId="0C5EC036" w14:textId="77777777" w:rsidR="00C87E1E" w:rsidRPr="001766B2" w:rsidRDefault="00C87E1E" w:rsidP="00C87E1E">
            <w:pPr>
              <w:jc w:val="center"/>
              <w:rPr>
                <w:noProof/>
                <w:sz w:val="18"/>
                <w:szCs w:val="18"/>
              </w:rPr>
            </w:pPr>
            <w:r w:rsidRPr="001766B2">
              <w:rPr>
                <w:noProof/>
                <w:sz w:val="18"/>
              </w:rPr>
              <w:t>För in så många år som behövs för att redovisa varaktigheten för inverkan på resursanvändningen (jfr punkt 1.6)</w:t>
            </w:r>
          </w:p>
        </w:tc>
        <w:tc>
          <w:tcPr>
            <w:tcW w:w="1620" w:type="dxa"/>
            <w:gridSpan w:val="2"/>
            <w:tcBorders>
              <w:left w:val="nil"/>
              <w:bottom w:val="nil"/>
            </w:tcBorders>
            <w:vAlign w:val="center"/>
          </w:tcPr>
          <w:p w14:paraId="2A008985" w14:textId="77777777" w:rsidR="00C87E1E" w:rsidRPr="001766B2" w:rsidRDefault="00C87E1E" w:rsidP="00C87E1E">
            <w:pPr>
              <w:ind w:right="-29"/>
              <w:jc w:val="center"/>
              <w:rPr>
                <w:noProof/>
                <w:sz w:val="18"/>
                <w:szCs w:val="18"/>
              </w:rPr>
            </w:pPr>
            <w:r w:rsidRPr="001766B2">
              <w:rPr>
                <w:b/>
                <w:noProof/>
                <w:sz w:val="18"/>
              </w:rPr>
              <w:t>TOTALT</w:t>
            </w:r>
          </w:p>
        </w:tc>
      </w:tr>
      <w:tr w:rsidR="00C87E1E" w:rsidRPr="001766B2" w14:paraId="468ADA8B" w14:textId="77777777" w:rsidTr="00C87E1E">
        <w:trPr>
          <w:jc w:val="center"/>
        </w:trPr>
        <w:tc>
          <w:tcPr>
            <w:tcW w:w="1423" w:type="dxa"/>
            <w:vMerge/>
            <w:vAlign w:val="center"/>
          </w:tcPr>
          <w:p w14:paraId="6A13CB03" w14:textId="77777777" w:rsidR="00C87E1E" w:rsidRPr="001766B2" w:rsidRDefault="00C87E1E" w:rsidP="00C87E1E">
            <w:pPr>
              <w:ind w:right="-29"/>
              <w:jc w:val="center"/>
              <w:rPr>
                <w:noProof/>
                <w:sz w:val="18"/>
                <w:szCs w:val="18"/>
                <w:lang w:eastAsia="en-GB"/>
              </w:rPr>
            </w:pPr>
          </w:p>
        </w:tc>
        <w:tc>
          <w:tcPr>
            <w:tcW w:w="12185" w:type="dxa"/>
            <w:gridSpan w:val="19"/>
            <w:vAlign w:val="center"/>
          </w:tcPr>
          <w:p w14:paraId="14601ED0" w14:textId="77777777" w:rsidR="00C87E1E" w:rsidRPr="001766B2" w:rsidRDefault="00C87E1E" w:rsidP="00C87E1E">
            <w:pPr>
              <w:spacing w:before="60" w:after="60"/>
              <w:ind w:right="-29"/>
              <w:jc w:val="center"/>
              <w:rPr>
                <w:noProof/>
                <w:sz w:val="18"/>
                <w:szCs w:val="18"/>
              </w:rPr>
            </w:pPr>
            <w:r w:rsidRPr="001766B2">
              <w:rPr>
                <w:b/>
                <w:noProof/>
                <w:sz w:val="18"/>
              </w:rPr>
              <w:t>OUTPUT</w:t>
            </w:r>
          </w:p>
        </w:tc>
      </w:tr>
      <w:tr w:rsidR="00C87E1E" w:rsidRPr="001766B2" w14:paraId="20BD9DED" w14:textId="77777777" w:rsidTr="00C87E1E">
        <w:trPr>
          <w:cantSplit/>
          <w:trHeight w:val="1134"/>
          <w:jc w:val="center"/>
        </w:trPr>
        <w:tc>
          <w:tcPr>
            <w:tcW w:w="1423" w:type="dxa"/>
            <w:vMerge/>
            <w:vAlign w:val="center"/>
          </w:tcPr>
          <w:p w14:paraId="57EEDD30" w14:textId="77777777" w:rsidR="00C87E1E" w:rsidRPr="001766B2" w:rsidRDefault="00C87E1E" w:rsidP="00C87E1E">
            <w:pPr>
              <w:rPr>
                <w:noProof/>
                <w:sz w:val="18"/>
                <w:szCs w:val="18"/>
                <w:lang w:eastAsia="en-GB"/>
              </w:rPr>
            </w:pPr>
          </w:p>
        </w:tc>
        <w:tc>
          <w:tcPr>
            <w:tcW w:w="720" w:type="dxa"/>
            <w:vAlign w:val="center"/>
          </w:tcPr>
          <w:p w14:paraId="01A85A5A" w14:textId="77777777" w:rsidR="00C87E1E" w:rsidRPr="001766B2" w:rsidRDefault="00C87E1E" w:rsidP="00C87E1E">
            <w:pPr>
              <w:jc w:val="center"/>
              <w:rPr>
                <w:noProof/>
                <w:sz w:val="18"/>
                <w:szCs w:val="18"/>
              </w:rPr>
            </w:pPr>
            <w:r w:rsidRPr="001766B2">
              <w:rPr>
                <w:noProof/>
                <w:sz w:val="18"/>
              </w:rPr>
              <w:t>Typ</w:t>
            </w:r>
            <w:r w:rsidRPr="001766B2">
              <w:rPr>
                <w:rStyle w:val="FootnoteReference"/>
                <w:noProof/>
              </w:rPr>
              <w:footnoteReference w:id="26"/>
            </w:r>
          </w:p>
          <w:p w14:paraId="329ECEFE" w14:textId="77777777" w:rsidR="00C87E1E" w:rsidRPr="001766B2" w:rsidRDefault="00C87E1E" w:rsidP="00C87E1E">
            <w:pPr>
              <w:spacing w:before="0" w:after="0"/>
              <w:jc w:val="center"/>
              <w:rPr>
                <w:noProof/>
                <w:sz w:val="18"/>
                <w:szCs w:val="18"/>
                <w:lang w:eastAsia="en-GB"/>
              </w:rPr>
            </w:pPr>
          </w:p>
        </w:tc>
        <w:tc>
          <w:tcPr>
            <w:tcW w:w="701" w:type="dxa"/>
            <w:vAlign w:val="center"/>
          </w:tcPr>
          <w:p w14:paraId="1177A4C5" w14:textId="77777777" w:rsidR="00C87E1E" w:rsidRPr="001766B2" w:rsidRDefault="00C87E1E" w:rsidP="00C87E1E">
            <w:pPr>
              <w:jc w:val="center"/>
              <w:rPr>
                <w:noProof/>
                <w:sz w:val="18"/>
                <w:szCs w:val="18"/>
              </w:rPr>
            </w:pPr>
            <w:r w:rsidRPr="001766B2">
              <w:rPr>
                <w:noProof/>
                <w:sz w:val="18"/>
              </w:rPr>
              <w:t>Genomsnittliga kostnader</w:t>
            </w:r>
          </w:p>
        </w:tc>
        <w:tc>
          <w:tcPr>
            <w:tcW w:w="504" w:type="dxa"/>
            <w:tcBorders>
              <w:left w:val="nil"/>
              <w:right w:val="dashSmallGap" w:sz="4" w:space="0" w:color="auto"/>
            </w:tcBorders>
            <w:shd w:val="pct10" w:color="auto" w:fill="auto"/>
            <w:textDirection w:val="btLr"/>
            <w:vAlign w:val="center"/>
          </w:tcPr>
          <w:p w14:paraId="35F8C4EA" w14:textId="77777777" w:rsidR="00C87E1E" w:rsidRPr="001766B2" w:rsidRDefault="00C87E1E" w:rsidP="00C87E1E">
            <w:pPr>
              <w:ind w:left="113" w:right="113"/>
              <w:jc w:val="center"/>
              <w:rPr>
                <w:noProof/>
                <w:sz w:val="18"/>
                <w:szCs w:val="18"/>
              </w:rPr>
            </w:pPr>
            <w:r w:rsidRPr="001766B2">
              <w:rPr>
                <w:noProof/>
                <w:sz w:val="18"/>
              </w:rPr>
              <w:t>Antal</w:t>
            </w:r>
          </w:p>
        </w:tc>
        <w:tc>
          <w:tcPr>
            <w:tcW w:w="720" w:type="dxa"/>
            <w:tcBorders>
              <w:left w:val="dashSmallGap" w:sz="4" w:space="0" w:color="auto"/>
            </w:tcBorders>
            <w:shd w:val="pct10" w:color="auto" w:fill="auto"/>
            <w:vAlign w:val="center"/>
          </w:tcPr>
          <w:p w14:paraId="23A70EB4" w14:textId="77777777" w:rsidR="00C87E1E" w:rsidRPr="001766B2" w:rsidRDefault="00C87E1E" w:rsidP="00C87E1E">
            <w:pPr>
              <w:jc w:val="center"/>
              <w:rPr>
                <w:noProof/>
                <w:sz w:val="18"/>
                <w:szCs w:val="18"/>
              </w:rPr>
            </w:pPr>
            <w:r w:rsidRPr="001766B2">
              <w:rPr>
                <w:noProof/>
                <w:sz w:val="18"/>
              </w:rPr>
              <w:t>Kostn.</w:t>
            </w:r>
          </w:p>
        </w:tc>
        <w:tc>
          <w:tcPr>
            <w:tcW w:w="540" w:type="dxa"/>
            <w:tcBorders>
              <w:right w:val="dashSmallGap" w:sz="4" w:space="0" w:color="auto"/>
            </w:tcBorders>
            <w:shd w:val="pct10" w:color="auto" w:fill="auto"/>
            <w:textDirection w:val="btLr"/>
            <w:vAlign w:val="center"/>
          </w:tcPr>
          <w:p w14:paraId="5AEBC856" w14:textId="77777777" w:rsidR="00C87E1E" w:rsidRPr="001766B2" w:rsidRDefault="00C87E1E" w:rsidP="00C87E1E">
            <w:pPr>
              <w:ind w:left="113" w:right="113"/>
              <w:jc w:val="center"/>
              <w:rPr>
                <w:noProof/>
                <w:sz w:val="18"/>
                <w:szCs w:val="18"/>
              </w:rPr>
            </w:pPr>
            <w:r w:rsidRPr="001766B2">
              <w:rPr>
                <w:noProof/>
                <w:sz w:val="18"/>
              </w:rPr>
              <w:t>Antal</w:t>
            </w:r>
          </w:p>
        </w:tc>
        <w:tc>
          <w:tcPr>
            <w:tcW w:w="720" w:type="dxa"/>
            <w:tcBorders>
              <w:left w:val="dashSmallGap" w:sz="4" w:space="0" w:color="auto"/>
            </w:tcBorders>
            <w:shd w:val="pct10" w:color="auto" w:fill="auto"/>
            <w:vAlign w:val="center"/>
          </w:tcPr>
          <w:p w14:paraId="227166E2" w14:textId="77777777" w:rsidR="00C87E1E" w:rsidRPr="001766B2" w:rsidRDefault="00C87E1E" w:rsidP="00C87E1E">
            <w:pPr>
              <w:jc w:val="center"/>
              <w:rPr>
                <w:noProof/>
                <w:sz w:val="18"/>
                <w:szCs w:val="18"/>
              </w:rPr>
            </w:pPr>
            <w:r w:rsidRPr="001766B2">
              <w:rPr>
                <w:noProof/>
                <w:sz w:val="18"/>
              </w:rPr>
              <w:t>Kostn.</w:t>
            </w:r>
          </w:p>
        </w:tc>
        <w:tc>
          <w:tcPr>
            <w:tcW w:w="720" w:type="dxa"/>
            <w:tcBorders>
              <w:right w:val="dashSmallGap" w:sz="4" w:space="0" w:color="auto"/>
            </w:tcBorders>
            <w:shd w:val="pct10" w:color="auto" w:fill="auto"/>
            <w:textDirection w:val="btLr"/>
            <w:vAlign w:val="center"/>
          </w:tcPr>
          <w:p w14:paraId="7384A532" w14:textId="77777777" w:rsidR="00C87E1E" w:rsidRPr="001766B2" w:rsidRDefault="00C87E1E" w:rsidP="00C87E1E">
            <w:pPr>
              <w:ind w:left="113" w:right="113"/>
              <w:jc w:val="center"/>
              <w:rPr>
                <w:noProof/>
                <w:sz w:val="18"/>
                <w:szCs w:val="18"/>
              </w:rPr>
            </w:pPr>
            <w:r w:rsidRPr="001766B2">
              <w:rPr>
                <w:noProof/>
                <w:sz w:val="18"/>
              </w:rPr>
              <w:t>Antal</w:t>
            </w:r>
          </w:p>
        </w:tc>
        <w:tc>
          <w:tcPr>
            <w:tcW w:w="720" w:type="dxa"/>
            <w:tcBorders>
              <w:left w:val="dashSmallGap" w:sz="4" w:space="0" w:color="auto"/>
            </w:tcBorders>
            <w:shd w:val="pct10" w:color="auto" w:fill="auto"/>
            <w:vAlign w:val="center"/>
          </w:tcPr>
          <w:p w14:paraId="42C258BD" w14:textId="77777777" w:rsidR="00C87E1E" w:rsidRPr="001766B2" w:rsidRDefault="00C87E1E" w:rsidP="00C87E1E">
            <w:pPr>
              <w:jc w:val="center"/>
              <w:rPr>
                <w:noProof/>
                <w:sz w:val="18"/>
                <w:szCs w:val="18"/>
              </w:rPr>
            </w:pPr>
            <w:r w:rsidRPr="001766B2">
              <w:rPr>
                <w:noProof/>
                <w:sz w:val="18"/>
              </w:rPr>
              <w:t>Kostn.</w:t>
            </w:r>
          </w:p>
        </w:tc>
        <w:tc>
          <w:tcPr>
            <w:tcW w:w="900" w:type="dxa"/>
            <w:tcBorders>
              <w:right w:val="dashSmallGap" w:sz="4" w:space="0" w:color="auto"/>
            </w:tcBorders>
            <w:shd w:val="pct10" w:color="auto" w:fill="auto"/>
            <w:textDirection w:val="btLr"/>
            <w:vAlign w:val="center"/>
          </w:tcPr>
          <w:p w14:paraId="34D321F4" w14:textId="77777777" w:rsidR="00C87E1E" w:rsidRPr="001766B2" w:rsidRDefault="00C87E1E" w:rsidP="00C87E1E">
            <w:pPr>
              <w:ind w:left="113" w:right="113"/>
              <w:jc w:val="center"/>
              <w:rPr>
                <w:noProof/>
                <w:sz w:val="18"/>
                <w:szCs w:val="18"/>
              </w:rPr>
            </w:pPr>
            <w:r w:rsidRPr="001766B2">
              <w:rPr>
                <w:noProof/>
                <w:sz w:val="18"/>
              </w:rPr>
              <w:t>Antal</w:t>
            </w:r>
          </w:p>
        </w:tc>
        <w:tc>
          <w:tcPr>
            <w:tcW w:w="720" w:type="dxa"/>
            <w:gridSpan w:val="2"/>
            <w:tcBorders>
              <w:left w:val="dashSmallGap" w:sz="4" w:space="0" w:color="auto"/>
            </w:tcBorders>
            <w:shd w:val="pct10" w:color="auto" w:fill="auto"/>
            <w:vAlign w:val="center"/>
          </w:tcPr>
          <w:p w14:paraId="22CA5892" w14:textId="77777777" w:rsidR="00C87E1E" w:rsidRPr="001766B2" w:rsidRDefault="00C87E1E" w:rsidP="00C87E1E">
            <w:pPr>
              <w:jc w:val="center"/>
              <w:rPr>
                <w:noProof/>
                <w:sz w:val="18"/>
                <w:szCs w:val="18"/>
              </w:rPr>
            </w:pPr>
            <w:r w:rsidRPr="001766B2">
              <w:rPr>
                <w:noProof/>
                <w:sz w:val="18"/>
              </w:rPr>
              <w:t>Kostn.</w:t>
            </w:r>
          </w:p>
        </w:tc>
        <w:tc>
          <w:tcPr>
            <w:tcW w:w="540" w:type="dxa"/>
            <w:tcBorders>
              <w:right w:val="dashSmallGap" w:sz="4" w:space="0" w:color="auto"/>
            </w:tcBorders>
            <w:shd w:val="pct10" w:color="auto" w:fill="auto"/>
            <w:textDirection w:val="btLr"/>
            <w:vAlign w:val="center"/>
          </w:tcPr>
          <w:p w14:paraId="47B4A517" w14:textId="77777777" w:rsidR="00C87E1E" w:rsidRPr="001766B2" w:rsidRDefault="00C87E1E" w:rsidP="00C87E1E">
            <w:pPr>
              <w:ind w:left="113" w:right="113"/>
              <w:jc w:val="center"/>
              <w:rPr>
                <w:noProof/>
                <w:sz w:val="18"/>
                <w:szCs w:val="18"/>
              </w:rPr>
            </w:pPr>
            <w:r w:rsidRPr="001766B2">
              <w:rPr>
                <w:noProof/>
                <w:sz w:val="18"/>
              </w:rPr>
              <w:t>Antal</w:t>
            </w:r>
          </w:p>
        </w:tc>
        <w:tc>
          <w:tcPr>
            <w:tcW w:w="648" w:type="dxa"/>
            <w:tcBorders>
              <w:left w:val="dashSmallGap" w:sz="4" w:space="0" w:color="auto"/>
            </w:tcBorders>
            <w:shd w:val="pct10" w:color="auto" w:fill="auto"/>
            <w:vAlign w:val="center"/>
          </w:tcPr>
          <w:p w14:paraId="782E4B34" w14:textId="77777777" w:rsidR="00C87E1E" w:rsidRPr="001766B2" w:rsidRDefault="00C87E1E" w:rsidP="00C87E1E">
            <w:pPr>
              <w:jc w:val="center"/>
              <w:rPr>
                <w:noProof/>
                <w:sz w:val="18"/>
                <w:szCs w:val="18"/>
              </w:rPr>
            </w:pPr>
            <w:r w:rsidRPr="001766B2">
              <w:rPr>
                <w:noProof/>
                <w:sz w:val="18"/>
              </w:rPr>
              <w:t>Kostn.</w:t>
            </w:r>
          </w:p>
        </w:tc>
        <w:tc>
          <w:tcPr>
            <w:tcW w:w="432" w:type="dxa"/>
            <w:tcBorders>
              <w:right w:val="dashSmallGap" w:sz="4" w:space="0" w:color="auto"/>
            </w:tcBorders>
            <w:shd w:val="pct10" w:color="auto" w:fill="auto"/>
            <w:textDirection w:val="btLr"/>
            <w:vAlign w:val="center"/>
          </w:tcPr>
          <w:p w14:paraId="230800A7" w14:textId="77777777" w:rsidR="00C87E1E" w:rsidRPr="001766B2" w:rsidRDefault="00C87E1E" w:rsidP="00C87E1E">
            <w:pPr>
              <w:ind w:left="113" w:right="113"/>
              <w:jc w:val="center"/>
              <w:rPr>
                <w:noProof/>
                <w:sz w:val="18"/>
                <w:szCs w:val="18"/>
              </w:rPr>
            </w:pPr>
            <w:r w:rsidRPr="001766B2">
              <w:rPr>
                <w:noProof/>
                <w:sz w:val="18"/>
              </w:rPr>
              <w:t>Antal</w:t>
            </w:r>
          </w:p>
        </w:tc>
        <w:tc>
          <w:tcPr>
            <w:tcW w:w="720" w:type="dxa"/>
            <w:tcBorders>
              <w:left w:val="dashSmallGap" w:sz="4" w:space="0" w:color="auto"/>
            </w:tcBorders>
            <w:shd w:val="pct10" w:color="auto" w:fill="auto"/>
            <w:vAlign w:val="center"/>
          </w:tcPr>
          <w:p w14:paraId="050DDCC4" w14:textId="77777777" w:rsidR="00C87E1E" w:rsidRPr="001766B2" w:rsidRDefault="00C87E1E" w:rsidP="00C87E1E">
            <w:pPr>
              <w:jc w:val="center"/>
              <w:rPr>
                <w:noProof/>
                <w:sz w:val="18"/>
                <w:szCs w:val="18"/>
              </w:rPr>
            </w:pPr>
            <w:r w:rsidRPr="001766B2">
              <w:rPr>
                <w:noProof/>
                <w:sz w:val="18"/>
              </w:rPr>
              <w:t>Kostn.</w:t>
            </w:r>
          </w:p>
        </w:tc>
        <w:tc>
          <w:tcPr>
            <w:tcW w:w="540" w:type="dxa"/>
            <w:tcBorders>
              <w:right w:val="dashSmallGap" w:sz="4" w:space="0" w:color="auto"/>
            </w:tcBorders>
            <w:shd w:val="pct10" w:color="auto" w:fill="auto"/>
            <w:textDirection w:val="btLr"/>
            <w:vAlign w:val="center"/>
          </w:tcPr>
          <w:p w14:paraId="7FDAF35C" w14:textId="77777777" w:rsidR="00C87E1E" w:rsidRPr="001766B2" w:rsidRDefault="00C87E1E" w:rsidP="00C87E1E">
            <w:pPr>
              <w:ind w:left="113" w:right="113"/>
              <w:jc w:val="center"/>
              <w:rPr>
                <w:noProof/>
                <w:sz w:val="18"/>
                <w:szCs w:val="18"/>
              </w:rPr>
            </w:pPr>
            <w:r w:rsidRPr="001766B2">
              <w:rPr>
                <w:noProof/>
                <w:sz w:val="18"/>
              </w:rPr>
              <w:t>Antal</w:t>
            </w:r>
          </w:p>
        </w:tc>
        <w:tc>
          <w:tcPr>
            <w:tcW w:w="720" w:type="dxa"/>
            <w:tcBorders>
              <w:left w:val="dashSmallGap" w:sz="4" w:space="0" w:color="auto"/>
            </w:tcBorders>
            <w:shd w:val="pct10" w:color="auto" w:fill="auto"/>
            <w:vAlign w:val="center"/>
          </w:tcPr>
          <w:p w14:paraId="0DB71E6A" w14:textId="77777777" w:rsidR="00C87E1E" w:rsidRPr="001766B2" w:rsidRDefault="00C87E1E" w:rsidP="00C87E1E">
            <w:pPr>
              <w:jc w:val="center"/>
              <w:rPr>
                <w:noProof/>
                <w:sz w:val="18"/>
                <w:szCs w:val="18"/>
              </w:rPr>
            </w:pPr>
            <w:r w:rsidRPr="001766B2">
              <w:rPr>
                <w:noProof/>
                <w:sz w:val="18"/>
              </w:rPr>
              <w:t>Kostn.</w:t>
            </w:r>
          </w:p>
        </w:tc>
        <w:tc>
          <w:tcPr>
            <w:tcW w:w="720" w:type="dxa"/>
            <w:tcBorders>
              <w:right w:val="dashSmallGap" w:sz="4" w:space="0" w:color="auto"/>
            </w:tcBorders>
            <w:shd w:val="pct10" w:color="auto" w:fill="auto"/>
            <w:vAlign w:val="center"/>
          </w:tcPr>
          <w:p w14:paraId="45168413" w14:textId="77777777" w:rsidR="00C87E1E" w:rsidRPr="001766B2" w:rsidRDefault="00C87E1E" w:rsidP="00C87E1E">
            <w:pPr>
              <w:jc w:val="center"/>
              <w:rPr>
                <w:noProof/>
                <w:sz w:val="18"/>
                <w:szCs w:val="18"/>
              </w:rPr>
            </w:pPr>
            <w:r w:rsidRPr="001766B2">
              <w:rPr>
                <w:noProof/>
                <w:sz w:val="18"/>
              </w:rPr>
              <w:t>Totalt antal</w:t>
            </w:r>
          </w:p>
        </w:tc>
        <w:tc>
          <w:tcPr>
            <w:tcW w:w="900" w:type="dxa"/>
            <w:tcBorders>
              <w:left w:val="dashSmallGap" w:sz="4" w:space="0" w:color="auto"/>
            </w:tcBorders>
            <w:shd w:val="pct10" w:color="auto" w:fill="auto"/>
            <w:vAlign w:val="center"/>
          </w:tcPr>
          <w:p w14:paraId="0BD5B641" w14:textId="77777777" w:rsidR="00C87E1E" w:rsidRPr="001766B2" w:rsidRDefault="00C87E1E" w:rsidP="00C87E1E">
            <w:pPr>
              <w:jc w:val="center"/>
              <w:rPr>
                <w:noProof/>
                <w:sz w:val="18"/>
                <w:szCs w:val="18"/>
              </w:rPr>
            </w:pPr>
            <w:r w:rsidRPr="001766B2">
              <w:rPr>
                <w:noProof/>
                <w:sz w:val="18"/>
              </w:rPr>
              <w:t>Total kostnad</w:t>
            </w:r>
          </w:p>
        </w:tc>
      </w:tr>
      <w:tr w:rsidR="00C87E1E" w:rsidRPr="001766B2" w14:paraId="7FEFDAF9" w14:textId="77777777" w:rsidTr="00C87E1E">
        <w:trPr>
          <w:jc w:val="center"/>
        </w:trPr>
        <w:tc>
          <w:tcPr>
            <w:tcW w:w="2844" w:type="dxa"/>
            <w:gridSpan w:val="3"/>
            <w:vAlign w:val="center"/>
          </w:tcPr>
          <w:p w14:paraId="25605D6C" w14:textId="77777777" w:rsidR="00C87E1E" w:rsidRPr="001766B2" w:rsidRDefault="00C87E1E" w:rsidP="00C87E1E">
            <w:pPr>
              <w:spacing w:before="60" w:after="60"/>
              <w:ind w:right="-29"/>
              <w:jc w:val="center"/>
              <w:rPr>
                <w:noProof/>
                <w:sz w:val="18"/>
                <w:szCs w:val="18"/>
              </w:rPr>
            </w:pPr>
            <w:r w:rsidRPr="001766B2">
              <w:rPr>
                <w:noProof/>
                <w:sz w:val="18"/>
              </w:rPr>
              <w:t>SPECIFIKT MÅL nr 1</w:t>
            </w:r>
            <w:r w:rsidRPr="001766B2">
              <w:rPr>
                <w:rStyle w:val="FootnoteReference"/>
                <w:noProof/>
              </w:rPr>
              <w:footnoteReference w:id="27"/>
            </w:r>
            <w:r w:rsidRPr="001766B2">
              <w:rPr>
                <w:noProof/>
                <w:sz w:val="18"/>
              </w:rPr>
              <w:t>…</w:t>
            </w:r>
          </w:p>
        </w:tc>
        <w:tc>
          <w:tcPr>
            <w:tcW w:w="504" w:type="dxa"/>
            <w:tcBorders>
              <w:top w:val="nil"/>
              <w:left w:val="nil"/>
              <w:bottom w:val="nil"/>
              <w:right w:val="nil"/>
            </w:tcBorders>
          </w:tcPr>
          <w:p w14:paraId="7CECC748"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22A60733" w14:textId="77777777" w:rsidR="00C87E1E" w:rsidRPr="001766B2"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566EF4AF"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9ADD083"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C2523DC"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7DD628C" w14:textId="77777777" w:rsidR="00C87E1E" w:rsidRPr="001766B2"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31A7477" w14:textId="77777777" w:rsidR="00C87E1E" w:rsidRPr="001766B2"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08F2F0BF" w14:textId="77777777" w:rsidR="00C87E1E" w:rsidRPr="001766B2"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B0A77FF" w14:textId="77777777" w:rsidR="00C87E1E" w:rsidRPr="001766B2"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0BAA5CB6" w14:textId="77777777" w:rsidR="00C87E1E" w:rsidRPr="001766B2"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1B37B53"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D8EE462" w14:textId="77777777" w:rsidR="00C87E1E" w:rsidRPr="001766B2"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DDC7D82"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EC7D272"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2E140C0" w14:textId="77777777" w:rsidR="00C87E1E" w:rsidRPr="001766B2"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67DB75A" w14:textId="77777777" w:rsidR="00C87E1E" w:rsidRPr="001766B2" w:rsidRDefault="00C87E1E" w:rsidP="00C87E1E">
            <w:pPr>
              <w:spacing w:before="60" w:after="60"/>
              <w:ind w:right="-29"/>
              <w:jc w:val="center"/>
              <w:rPr>
                <w:noProof/>
                <w:sz w:val="18"/>
                <w:szCs w:val="18"/>
                <w:lang w:eastAsia="en-GB"/>
              </w:rPr>
            </w:pPr>
          </w:p>
        </w:tc>
      </w:tr>
      <w:tr w:rsidR="00C87E1E" w:rsidRPr="001766B2" w14:paraId="2012CE82" w14:textId="77777777" w:rsidTr="00C87E1E">
        <w:trPr>
          <w:trHeight w:hRule="exact" w:val="369"/>
          <w:jc w:val="center"/>
        </w:trPr>
        <w:tc>
          <w:tcPr>
            <w:tcW w:w="1423" w:type="dxa"/>
          </w:tcPr>
          <w:p w14:paraId="2FB07626" w14:textId="77777777" w:rsidR="00C87E1E" w:rsidRPr="001766B2" w:rsidRDefault="00C87E1E" w:rsidP="00C87E1E">
            <w:pPr>
              <w:ind w:right="-29"/>
              <w:jc w:val="center"/>
              <w:rPr>
                <w:noProof/>
                <w:sz w:val="18"/>
                <w:szCs w:val="18"/>
              </w:rPr>
            </w:pPr>
            <w:r w:rsidRPr="001766B2">
              <w:rPr>
                <w:noProof/>
                <w:sz w:val="18"/>
              </w:rPr>
              <w:t>- Output</w:t>
            </w:r>
          </w:p>
        </w:tc>
        <w:tc>
          <w:tcPr>
            <w:tcW w:w="720" w:type="dxa"/>
          </w:tcPr>
          <w:p w14:paraId="1FB154AB" w14:textId="77777777" w:rsidR="00C87E1E" w:rsidRPr="001766B2" w:rsidRDefault="00C87E1E" w:rsidP="00C87E1E">
            <w:pPr>
              <w:ind w:right="-29"/>
              <w:jc w:val="center"/>
              <w:rPr>
                <w:noProof/>
                <w:sz w:val="18"/>
                <w:szCs w:val="18"/>
                <w:lang w:eastAsia="en-GB"/>
              </w:rPr>
            </w:pPr>
          </w:p>
        </w:tc>
        <w:tc>
          <w:tcPr>
            <w:tcW w:w="701" w:type="dxa"/>
          </w:tcPr>
          <w:p w14:paraId="7109D4D2" w14:textId="77777777" w:rsidR="00C87E1E" w:rsidRPr="001766B2" w:rsidRDefault="00C87E1E" w:rsidP="00C87E1E">
            <w:pPr>
              <w:ind w:right="-29"/>
              <w:jc w:val="center"/>
              <w:rPr>
                <w:noProof/>
                <w:sz w:val="18"/>
                <w:szCs w:val="18"/>
                <w:lang w:eastAsia="en-GB"/>
              </w:rPr>
            </w:pPr>
          </w:p>
        </w:tc>
        <w:tc>
          <w:tcPr>
            <w:tcW w:w="504" w:type="dxa"/>
            <w:tcBorders>
              <w:right w:val="dashSmallGap" w:sz="4" w:space="0" w:color="auto"/>
            </w:tcBorders>
          </w:tcPr>
          <w:p w14:paraId="21367F0B"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42B47B20" w14:textId="77777777" w:rsidR="00C87E1E" w:rsidRPr="001766B2" w:rsidRDefault="00C87E1E" w:rsidP="00C87E1E">
            <w:pPr>
              <w:ind w:right="-29"/>
              <w:jc w:val="center"/>
              <w:rPr>
                <w:noProof/>
                <w:sz w:val="18"/>
                <w:szCs w:val="18"/>
                <w:lang w:eastAsia="en-GB"/>
              </w:rPr>
            </w:pPr>
          </w:p>
        </w:tc>
        <w:tc>
          <w:tcPr>
            <w:tcW w:w="540" w:type="dxa"/>
            <w:tcBorders>
              <w:right w:val="dashSmallGap" w:sz="4" w:space="0" w:color="auto"/>
            </w:tcBorders>
          </w:tcPr>
          <w:p w14:paraId="20E441F5"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6FC32AD8" w14:textId="77777777" w:rsidR="00C87E1E" w:rsidRPr="001766B2" w:rsidRDefault="00C87E1E" w:rsidP="00C87E1E">
            <w:pPr>
              <w:ind w:right="-29"/>
              <w:jc w:val="center"/>
              <w:rPr>
                <w:noProof/>
                <w:sz w:val="18"/>
                <w:szCs w:val="18"/>
                <w:lang w:eastAsia="en-GB"/>
              </w:rPr>
            </w:pPr>
          </w:p>
        </w:tc>
        <w:tc>
          <w:tcPr>
            <w:tcW w:w="720" w:type="dxa"/>
            <w:tcBorders>
              <w:right w:val="dashSmallGap" w:sz="4" w:space="0" w:color="auto"/>
            </w:tcBorders>
          </w:tcPr>
          <w:p w14:paraId="2D4F8E51"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601377FD" w14:textId="77777777" w:rsidR="00C87E1E" w:rsidRPr="001766B2" w:rsidRDefault="00C87E1E" w:rsidP="00C87E1E">
            <w:pPr>
              <w:ind w:right="-29"/>
              <w:jc w:val="center"/>
              <w:rPr>
                <w:noProof/>
                <w:sz w:val="18"/>
                <w:szCs w:val="18"/>
                <w:lang w:eastAsia="en-GB"/>
              </w:rPr>
            </w:pPr>
          </w:p>
        </w:tc>
        <w:tc>
          <w:tcPr>
            <w:tcW w:w="900" w:type="dxa"/>
            <w:tcBorders>
              <w:right w:val="dashSmallGap" w:sz="4" w:space="0" w:color="auto"/>
            </w:tcBorders>
          </w:tcPr>
          <w:p w14:paraId="65EF1873" w14:textId="77777777" w:rsidR="00C87E1E" w:rsidRPr="001766B2"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2089D111" w14:textId="77777777" w:rsidR="00C87E1E" w:rsidRPr="001766B2" w:rsidRDefault="00C87E1E" w:rsidP="00C87E1E">
            <w:pPr>
              <w:ind w:right="-29"/>
              <w:jc w:val="center"/>
              <w:rPr>
                <w:noProof/>
                <w:sz w:val="18"/>
                <w:szCs w:val="18"/>
                <w:lang w:eastAsia="en-GB"/>
              </w:rPr>
            </w:pPr>
          </w:p>
        </w:tc>
        <w:tc>
          <w:tcPr>
            <w:tcW w:w="540" w:type="dxa"/>
            <w:tcBorders>
              <w:right w:val="dashSmallGap" w:sz="4" w:space="0" w:color="auto"/>
            </w:tcBorders>
          </w:tcPr>
          <w:p w14:paraId="6226321F" w14:textId="77777777" w:rsidR="00C87E1E" w:rsidRPr="001766B2" w:rsidRDefault="00C87E1E" w:rsidP="00C87E1E">
            <w:pPr>
              <w:ind w:right="-29"/>
              <w:jc w:val="center"/>
              <w:rPr>
                <w:noProof/>
                <w:sz w:val="18"/>
                <w:szCs w:val="18"/>
                <w:lang w:eastAsia="en-GB"/>
              </w:rPr>
            </w:pPr>
          </w:p>
        </w:tc>
        <w:tc>
          <w:tcPr>
            <w:tcW w:w="648" w:type="dxa"/>
            <w:tcBorders>
              <w:left w:val="dashSmallGap" w:sz="4" w:space="0" w:color="auto"/>
            </w:tcBorders>
          </w:tcPr>
          <w:p w14:paraId="6E5DAAE6" w14:textId="77777777" w:rsidR="00C87E1E" w:rsidRPr="001766B2" w:rsidRDefault="00C87E1E" w:rsidP="00C87E1E">
            <w:pPr>
              <w:ind w:right="-29"/>
              <w:jc w:val="center"/>
              <w:rPr>
                <w:noProof/>
                <w:sz w:val="18"/>
                <w:szCs w:val="18"/>
                <w:lang w:eastAsia="en-GB"/>
              </w:rPr>
            </w:pPr>
          </w:p>
        </w:tc>
        <w:tc>
          <w:tcPr>
            <w:tcW w:w="432" w:type="dxa"/>
            <w:tcBorders>
              <w:right w:val="dashSmallGap" w:sz="4" w:space="0" w:color="auto"/>
            </w:tcBorders>
          </w:tcPr>
          <w:p w14:paraId="1A721904"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263671D1" w14:textId="77777777" w:rsidR="00C87E1E" w:rsidRPr="001766B2" w:rsidRDefault="00C87E1E" w:rsidP="00C87E1E">
            <w:pPr>
              <w:ind w:right="-29"/>
              <w:jc w:val="center"/>
              <w:rPr>
                <w:noProof/>
                <w:sz w:val="18"/>
                <w:szCs w:val="18"/>
                <w:lang w:eastAsia="en-GB"/>
              </w:rPr>
            </w:pPr>
          </w:p>
        </w:tc>
        <w:tc>
          <w:tcPr>
            <w:tcW w:w="540" w:type="dxa"/>
            <w:tcBorders>
              <w:right w:val="dashSmallGap" w:sz="4" w:space="0" w:color="auto"/>
            </w:tcBorders>
          </w:tcPr>
          <w:p w14:paraId="11B91DB8"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05B5D791" w14:textId="77777777" w:rsidR="00C87E1E" w:rsidRPr="001766B2" w:rsidRDefault="00C87E1E" w:rsidP="00C87E1E">
            <w:pPr>
              <w:ind w:right="-29"/>
              <w:jc w:val="center"/>
              <w:rPr>
                <w:noProof/>
                <w:sz w:val="18"/>
                <w:szCs w:val="18"/>
                <w:lang w:eastAsia="en-GB"/>
              </w:rPr>
            </w:pPr>
          </w:p>
        </w:tc>
        <w:tc>
          <w:tcPr>
            <w:tcW w:w="720" w:type="dxa"/>
          </w:tcPr>
          <w:p w14:paraId="2C1B803D" w14:textId="77777777" w:rsidR="00C87E1E" w:rsidRPr="001766B2" w:rsidRDefault="00C87E1E" w:rsidP="00C87E1E">
            <w:pPr>
              <w:ind w:right="-29"/>
              <w:jc w:val="center"/>
              <w:rPr>
                <w:noProof/>
                <w:sz w:val="18"/>
                <w:szCs w:val="18"/>
                <w:lang w:eastAsia="en-GB"/>
              </w:rPr>
            </w:pPr>
          </w:p>
        </w:tc>
        <w:tc>
          <w:tcPr>
            <w:tcW w:w="900" w:type="dxa"/>
          </w:tcPr>
          <w:p w14:paraId="36135E3B" w14:textId="77777777" w:rsidR="00C87E1E" w:rsidRPr="001766B2" w:rsidRDefault="00C87E1E" w:rsidP="00C87E1E">
            <w:pPr>
              <w:ind w:right="-29"/>
              <w:jc w:val="center"/>
              <w:rPr>
                <w:noProof/>
                <w:sz w:val="18"/>
                <w:szCs w:val="18"/>
                <w:lang w:eastAsia="en-GB"/>
              </w:rPr>
            </w:pPr>
          </w:p>
        </w:tc>
      </w:tr>
      <w:tr w:rsidR="00C87E1E" w:rsidRPr="001766B2" w14:paraId="0925942F" w14:textId="77777777" w:rsidTr="00C87E1E">
        <w:trPr>
          <w:trHeight w:hRule="exact" w:val="369"/>
          <w:jc w:val="center"/>
        </w:trPr>
        <w:tc>
          <w:tcPr>
            <w:tcW w:w="1423" w:type="dxa"/>
          </w:tcPr>
          <w:p w14:paraId="0C89193C" w14:textId="77777777" w:rsidR="00C87E1E" w:rsidRPr="001766B2" w:rsidRDefault="00C87E1E" w:rsidP="00C87E1E">
            <w:pPr>
              <w:ind w:right="-29"/>
              <w:jc w:val="center"/>
              <w:rPr>
                <w:noProof/>
                <w:sz w:val="18"/>
                <w:szCs w:val="18"/>
              </w:rPr>
            </w:pPr>
            <w:r w:rsidRPr="001766B2">
              <w:rPr>
                <w:noProof/>
                <w:sz w:val="18"/>
              </w:rPr>
              <w:t>- Output</w:t>
            </w:r>
          </w:p>
        </w:tc>
        <w:tc>
          <w:tcPr>
            <w:tcW w:w="720" w:type="dxa"/>
          </w:tcPr>
          <w:p w14:paraId="0299DBA2" w14:textId="77777777" w:rsidR="00C87E1E" w:rsidRPr="001766B2" w:rsidRDefault="00C87E1E" w:rsidP="00C87E1E">
            <w:pPr>
              <w:ind w:right="-29"/>
              <w:jc w:val="center"/>
              <w:rPr>
                <w:noProof/>
                <w:sz w:val="18"/>
                <w:szCs w:val="18"/>
                <w:lang w:eastAsia="en-GB"/>
              </w:rPr>
            </w:pPr>
          </w:p>
        </w:tc>
        <w:tc>
          <w:tcPr>
            <w:tcW w:w="701" w:type="dxa"/>
          </w:tcPr>
          <w:p w14:paraId="638B783E" w14:textId="77777777" w:rsidR="00C87E1E" w:rsidRPr="001766B2" w:rsidRDefault="00C87E1E" w:rsidP="00C87E1E">
            <w:pPr>
              <w:ind w:right="-29"/>
              <w:jc w:val="center"/>
              <w:rPr>
                <w:noProof/>
                <w:sz w:val="18"/>
                <w:szCs w:val="18"/>
                <w:lang w:eastAsia="en-GB"/>
              </w:rPr>
            </w:pPr>
          </w:p>
        </w:tc>
        <w:tc>
          <w:tcPr>
            <w:tcW w:w="504" w:type="dxa"/>
            <w:tcBorders>
              <w:right w:val="dashSmallGap" w:sz="4" w:space="0" w:color="auto"/>
            </w:tcBorders>
          </w:tcPr>
          <w:p w14:paraId="7890CAAC"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65BC2BC2" w14:textId="77777777" w:rsidR="00C87E1E" w:rsidRPr="001766B2" w:rsidRDefault="00C87E1E" w:rsidP="00C87E1E">
            <w:pPr>
              <w:ind w:right="-29"/>
              <w:jc w:val="center"/>
              <w:rPr>
                <w:noProof/>
                <w:sz w:val="18"/>
                <w:szCs w:val="18"/>
                <w:lang w:eastAsia="en-GB"/>
              </w:rPr>
            </w:pPr>
          </w:p>
        </w:tc>
        <w:tc>
          <w:tcPr>
            <w:tcW w:w="540" w:type="dxa"/>
            <w:tcBorders>
              <w:right w:val="dashSmallGap" w:sz="4" w:space="0" w:color="auto"/>
            </w:tcBorders>
          </w:tcPr>
          <w:p w14:paraId="7EE7944E"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15316495" w14:textId="77777777" w:rsidR="00C87E1E" w:rsidRPr="001766B2" w:rsidRDefault="00C87E1E" w:rsidP="00C87E1E">
            <w:pPr>
              <w:ind w:right="-29"/>
              <w:jc w:val="center"/>
              <w:rPr>
                <w:noProof/>
                <w:sz w:val="18"/>
                <w:szCs w:val="18"/>
                <w:lang w:eastAsia="en-GB"/>
              </w:rPr>
            </w:pPr>
          </w:p>
        </w:tc>
        <w:tc>
          <w:tcPr>
            <w:tcW w:w="720" w:type="dxa"/>
            <w:tcBorders>
              <w:right w:val="dashSmallGap" w:sz="4" w:space="0" w:color="auto"/>
            </w:tcBorders>
          </w:tcPr>
          <w:p w14:paraId="22EC5F81"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61189441" w14:textId="77777777" w:rsidR="00C87E1E" w:rsidRPr="001766B2" w:rsidRDefault="00C87E1E" w:rsidP="00C87E1E">
            <w:pPr>
              <w:ind w:right="-29"/>
              <w:jc w:val="center"/>
              <w:rPr>
                <w:noProof/>
                <w:sz w:val="18"/>
                <w:szCs w:val="18"/>
                <w:lang w:eastAsia="en-GB"/>
              </w:rPr>
            </w:pPr>
          </w:p>
        </w:tc>
        <w:tc>
          <w:tcPr>
            <w:tcW w:w="900" w:type="dxa"/>
            <w:tcBorders>
              <w:right w:val="dashSmallGap" w:sz="4" w:space="0" w:color="auto"/>
            </w:tcBorders>
          </w:tcPr>
          <w:p w14:paraId="06FC6AE4" w14:textId="77777777" w:rsidR="00C87E1E" w:rsidRPr="001766B2"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1C9D682C" w14:textId="77777777" w:rsidR="00C87E1E" w:rsidRPr="001766B2" w:rsidRDefault="00C87E1E" w:rsidP="00C87E1E">
            <w:pPr>
              <w:ind w:right="-29"/>
              <w:jc w:val="center"/>
              <w:rPr>
                <w:noProof/>
                <w:sz w:val="18"/>
                <w:szCs w:val="18"/>
                <w:lang w:eastAsia="en-GB"/>
              </w:rPr>
            </w:pPr>
          </w:p>
        </w:tc>
        <w:tc>
          <w:tcPr>
            <w:tcW w:w="540" w:type="dxa"/>
            <w:tcBorders>
              <w:right w:val="dashSmallGap" w:sz="4" w:space="0" w:color="auto"/>
            </w:tcBorders>
          </w:tcPr>
          <w:p w14:paraId="5DB2346D" w14:textId="77777777" w:rsidR="00C87E1E" w:rsidRPr="001766B2" w:rsidRDefault="00C87E1E" w:rsidP="00C87E1E">
            <w:pPr>
              <w:ind w:right="-29"/>
              <w:jc w:val="center"/>
              <w:rPr>
                <w:noProof/>
                <w:sz w:val="18"/>
                <w:szCs w:val="18"/>
                <w:lang w:eastAsia="en-GB"/>
              </w:rPr>
            </w:pPr>
          </w:p>
        </w:tc>
        <w:tc>
          <w:tcPr>
            <w:tcW w:w="648" w:type="dxa"/>
            <w:tcBorders>
              <w:left w:val="dashSmallGap" w:sz="4" w:space="0" w:color="auto"/>
            </w:tcBorders>
          </w:tcPr>
          <w:p w14:paraId="18922EA3" w14:textId="77777777" w:rsidR="00C87E1E" w:rsidRPr="001766B2" w:rsidRDefault="00C87E1E" w:rsidP="00C87E1E">
            <w:pPr>
              <w:ind w:right="-29"/>
              <w:jc w:val="center"/>
              <w:rPr>
                <w:noProof/>
                <w:sz w:val="18"/>
                <w:szCs w:val="18"/>
                <w:lang w:eastAsia="en-GB"/>
              </w:rPr>
            </w:pPr>
          </w:p>
        </w:tc>
        <w:tc>
          <w:tcPr>
            <w:tcW w:w="432" w:type="dxa"/>
            <w:tcBorders>
              <w:right w:val="dashSmallGap" w:sz="4" w:space="0" w:color="auto"/>
            </w:tcBorders>
          </w:tcPr>
          <w:p w14:paraId="3B13F26A"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0747A620" w14:textId="77777777" w:rsidR="00C87E1E" w:rsidRPr="001766B2" w:rsidRDefault="00C87E1E" w:rsidP="00C87E1E">
            <w:pPr>
              <w:ind w:right="-29"/>
              <w:jc w:val="center"/>
              <w:rPr>
                <w:noProof/>
                <w:sz w:val="18"/>
                <w:szCs w:val="18"/>
                <w:lang w:eastAsia="en-GB"/>
              </w:rPr>
            </w:pPr>
          </w:p>
        </w:tc>
        <w:tc>
          <w:tcPr>
            <w:tcW w:w="540" w:type="dxa"/>
            <w:tcBorders>
              <w:right w:val="dashSmallGap" w:sz="4" w:space="0" w:color="auto"/>
            </w:tcBorders>
          </w:tcPr>
          <w:p w14:paraId="62BCD664" w14:textId="77777777" w:rsidR="00C87E1E" w:rsidRPr="001766B2" w:rsidRDefault="00C87E1E" w:rsidP="00C87E1E">
            <w:pPr>
              <w:ind w:right="-29"/>
              <w:jc w:val="center"/>
              <w:rPr>
                <w:noProof/>
                <w:sz w:val="18"/>
                <w:szCs w:val="18"/>
                <w:lang w:eastAsia="en-GB"/>
              </w:rPr>
            </w:pPr>
          </w:p>
        </w:tc>
        <w:tc>
          <w:tcPr>
            <w:tcW w:w="720" w:type="dxa"/>
            <w:tcBorders>
              <w:left w:val="dashSmallGap" w:sz="4" w:space="0" w:color="auto"/>
            </w:tcBorders>
          </w:tcPr>
          <w:p w14:paraId="0179A016" w14:textId="77777777" w:rsidR="00C87E1E" w:rsidRPr="001766B2" w:rsidRDefault="00C87E1E" w:rsidP="00C87E1E">
            <w:pPr>
              <w:ind w:right="-29"/>
              <w:jc w:val="center"/>
              <w:rPr>
                <w:noProof/>
                <w:sz w:val="18"/>
                <w:szCs w:val="18"/>
                <w:lang w:eastAsia="en-GB"/>
              </w:rPr>
            </w:pPr>
          </w:p>
        </w:tc>
        <w:tc>
          <w:tcPr>
            <w:tcW w:w="720" w:type="dxa"/>
          </w:tcPr>
          <w:p w14:paraId="31FF12BB" w14:textId="77777777" w:rsidR="00C87E1E" w:rsidRPr="001766B2" w:rsidRDefault="00C87E1E" w:rsidP="00C87E1E">
            <w:pPr>
              <w:ind w:right="-29"/>
              <w:jc w:val="center"/>
              <w:rPr>
                <w:noProof/>
                <w:sz w:val="18"/>
                <w:szCs w:val="18"/>
                <w:lang w:eastAsia="en-GB"/>
              </w:rPr>
            </w:pPr>
          </w:p>
        </w:tc>
        <w:tc>
          <w:tcPr>
            <w:tcW w:w="900" w:type="dxa"/>
          </w:tcPr>
          <w:p w14:paraId="217E6641" w14:textId="77777777" w:rsidR="00C87E1E" w:rsidRPr="001766B2" w:rsidRDefault="00C87E1E" w:rsidP="00C87E1E">
            <w:pPr>
              <w:ind w:right="-29"/>
              <w:jc w:val="center"/>
              <w:rPr>
                <w:noProof/>
                <w:sz w:val="18"/>
                <w:szCs w:val="18"/>
                <w:lang w:eastAsia="en-GB"/>
              </w:rPr>
            </w:pPr>
          </w:p>
        </w:tc>
      </w:tr>
      <w:tr w:rsidR="00C87E1E" w:rsidRPr="001766B2" w14:paraId="53759D69" w14:textId="77777777" w:rsidTr="00C87E1E">
        <w:trPr>
          <w:trHeight w:hRule="exact" w:val="369"/>
          <w:jc w:val="center"/>
        </w:trPr>
        <w:tc>
          <w:tcPr>
            <w:tcW w:w="1423" w:type="dxa"/>
          </w:tcPr>
          <w:p w14:paraId="01B292A0" w14:textId="77777777" w:rsidR="00C87E1E" w:rsidRPr="001766B2" w:rsidRDefault="00C87E1E" w:rsidP="00C87E1E">
            <w:pPr>
              <w:ind w:right="-29"/>
              <w:jc w:val="center"/>
              <w:rPr>
                <w:noProof/>
                <w:sz w:val="18"/>
                <w:szCs w:val="18"/>
              </w:rPr>
            </w:pPr>
            <w:r w:rsidRPr="001766B2">
              <w:rPr>
                <w:noProof/>
                <w:sz w:val="18"/>
              </w:rPr>
              <w:t>- Output</w:t>
            </w:r>
          </w:p>
        </w:tc>
        <w:tc>
          <w:tcPr>
            <w:tcW w:w="720" w:type="dxa"/>
          </w:tcPr>
          <w:p w14:paraId="3AAFC128" w14:textId="77777777" w:rsidR="00C87E1E" w:rsidRPr="001766B2" w:rsidRDefault="00C87E1E" w:rsidP="00C87E1E">
            <w:pPr>
              <w:ind w:right="-29"/>
              <w:jc w:val="center"/>
              <w:rPr>
                <w:noProof/>
                <w:sz w:val="18"/>
                <w:szCs w:val="18"/>
                <w:lang w:eastAsia="en-GB"/>
              </w:rPr>
            </w:pPr>
          </w:p>
        </w:tc>
        <w:tc>
          <w:tcPr>
            <w:tcW w:w="701" w:type="dxa"/>
          </w:tcPr>
          <w:p w14:paraId="0391E022" w14:textId="77777777" w:rsidR="00C87E1E" w:rsidRPr="001766B2" w:rsidRDefault="00C87E1E" w:rsidP="00C87E1E">
            <w:pPr>
              <w:ind w:right="-29"/>
              <w:jc w:val="center"/>
              <w:rPr>
                <w:noProof/>
                <w:sz w:val="18"/>
                <w:szCs w:val="18"/>
                <w:lang w:eastAsia="en-GB"/>
              </w:rPr>
            </w:pPr>
          </w:p>
        </w:tc>
        <w:tc>
          <w:tcPr>
            <w:tcW w:w="504" w:type="dxa"/>
          </w:tcPr>
          <w:p w14:paraId="0E503AD1" w14:textId="77777777" w:rsidR="00C87E1E" w:rsidRPr="001766B2" w:rsidRDefault="00C87E1E" w:rsidP="00C87E1E">
            <w:pPr>
              <w:ind w:right="-29"/>
              <w:jc w:val="center"/>
              <w:rPr>
                <w:noProof/>
                <w:sz w:val="18"/>
                <w:szCs w:val="18"/>
                <w:lang w:eastAsia="en-GB"/>
              </w:rPr>
            </w:pPr>
          </w:p>
        </w:tc>
        <w:tc>
          <w:tcPr>
            <w:tcW w:w="720" w:type="dxa"/>
          </w:tcPr>
          <w:p w14:paraId="36ED1BD3" w14:textId="77777777" w:rsidR="00C87E1E" w:rsidRPr="001766B2" w:rsidRDefault="00C87E1E" w:rsidP="00C87E1E">
            <w:pPr>
              <w:ind w:right="-29"/>
              <w:jc w:val="center"/>
              <w:rPr>
                <w:noProof/>
                <w:sz w:val="18"/>
                <w:szCs w:val="18"/>
                <w:lang w:eastAsia="en-GB"/>
              </w:rPr>
            </w:pPr>
          </w:p>
        </w:tc>
        <w:tc>
          <w:tcPr>
            <w:tcW w:w="540" w:type="dxa"/>
          </w:tcPr>
          <w:p w14:paraId="41513476" w14:textId="77777777" w:rsidR="00C87E1E" w:rsidRPr="001766B2" w:rsidRDefault="00C87E1E" w:rsidP="00C87E1E">
            <w:pPr>
              <w:ind w:right="-29"/>
              <w:jc w:val="center"/>
              <w:rPr>
                <w:noProof/>
                <w:sz w:val="18"/>
                <w:szCs w:val="18"/>
                <w:lang w:eastAsia="en-GB"/>
              </w:rPr>
            </w:pPr>
          </w:p>
        </w:tc>
        <w:tc>
          <w:tcPr>
            <w:tcW w:w="720" w:type="dxa"/>
          </w:tcPr>
          <w:p w14:paraId="63565F4B" w14:textId="77777777" w:rsidR="00C87E1E" w:rsidRPr="001766B2" w:rsidRDefault="00C87E1E" w:rsidP="00C87E1E">
            <w:pPr>
              <w:ind w:right="-29"/>
              <w:jc w:val="center"/>
              <w:rPr>
                <w:noProof/>
                <w:sz w:val="18"/>
                <w:szCs w:val="18"/>
                <w:lang w:eastAsia="en-GB"/>
              </w:rPr>
            </w:pPr>
          </w:p>
        </w:tc>
        <w:tc>
          <w:tcPr>
            <w:tcW w:w="720" w:type="dxa"/>
          </w:tcPr>
          <w:p w14:paraId="0392A494" w14:textId="77777777" w:rsidR="00C87E1E" w:rsidRPr="001766B2" w:rsidRDefault="00C87E1E" w:rsidP="00C87E1E">
            <w:pPr>
              <w:ind w:right="-29"/>
              <w:jc w:val="center"/>
              <w:rPr>
                <w:noProof/>
                <w:sz w:val="18"/>
                <w:szCs w:val="18"/>
                <w:lang w:eastAsia="en-GB"/>
              </w:rPr>
            </w:pPr>
          </w:p>
        </w:tc>
        <w:tc>
          <w:tcPr>
            <w:tcW w:w="720" w:type="dxa"/>
          </w:tcPr>
          <w:p w14:paraId="2BC07D8F" w14:textId="77777777" w:rsidR="00C87E1E" w:rsidRPr="001766B2" w:rsidRDefault="00C87E1E" w:rsidP="00C87E1E">
            <w:pPr>
              <w:ind w:right="-29"/>
              <w:jc w:val="center"/>
              <w:rPr>
                <w:noProof/>
                <w:sz w:val="18"/>
                <w:szCs w:val="18"/>
                <w:lang w:eastAsia="en-GB"/>
              </w:rPr>
            </w:pPr>
          </w:p>
        </w:tc>
        <w:tc>
          <w:tcPr>
            <w:tcW w:w="900" w:type="dxa"/>
          </w:tcPr>
          <w:p w14:paraId="129DAED8" w14:textId="77777777" w:rsidR="00C87E1E" w:rsidRPr="001766B2" w:rsidRDefault="00C87E1E" w:rsidP="00C87E1E">
            <w:pPr>
              <w:ind w:right="-29"/>
              <w:jc w:val="center"/>
              <w:rPr>
                <w:noProof/>
                <w:sz w:val="18"/>
                <w:szCs w:val="18"/>
                <w:lang w:eastAsia="en-GB"/>
              </w:rPr>
            </w:pPr>
          </w:p>
        </w:tc>
        <w:tc>
          <w:tcPr>
            <w:tcW w:w="720" w:type="dxa"/>
            <w:gridSpan w:val="2"/>
          </w:tcPr>
          <w:p w14:paraId="46494A6B" w14:textId="77777777" w:rsidR="00C87E1E" w:rsidRPr="001766B2" w:rsidRDefault="00C87E1E" w:rsidP="00C87E1E">
            <w:pPr>
              <w:ind w:right="-29"/>
              <w:jc w:val="center"/>
              <w:rPr>
                <w:noProof/>
                <w:sz w:val="18"/>
                <w:szCs w:val="18"/>
                <w:lang w:eastAsia="en-GB"/>
              </w:rPr>
            </w:pPr>
          </w:p>
        </w:tc>
        <w:tc>
          <w:tcPr>
            <w:tcW w:w="540" w:type="dxa"/>
          </w:tcPr>
          <w:p w14:paraId="04B8BC52" w14:textId="77777777" w:rsidR="00C87E1E" w:rsidRPr="001766B2" w:rsidRDefault="00C87E1E" w:rsidP="00C87E1E">
            <w:pPr>
              <w:ind w:right="-29"/>
              <w:jc w:val="center"/>
              <w:rPr>
                <w:noProof/>
                <w:sz w:val="18"/>
                <w:szCs w:val="18"/>
                <w:lang w:eastAsia="en-GB"/>
              </w:rPr>
            </w:pPr>
          </w:p>
        </w:tc>
        <w:tc>
          <w:tcPr>
            <w:tcW w:w="648" w:type="dxa"/>
          </w:tcPr>
          <w:p w14:paraId="3E1D5A46" w14:textId="77777777" w:rsidR="00C87E1E" w:rsidRPr="001766B2" w:rsidRDefault="00C87E1E" w:rsidP="00C87E1E">
            <w:pPr>
              <w:ind w:right="-29"/>
              <w:jc w:val="center"/>
              <w:rPr>
                <w:noProof/>
                <w:sz w:val="18"/>
                <w:szCs w:val="18"/>
                <w:lang w:eastAsia="en-GB"/>
              </w:rPr>
            </w:pPr>
          </w:p>
        </w:tc>
        <w:tc>
          <w:tcPr>
            <w:tcW w:w="432" w:type="dxa"/>
          </w:tcPr>
          <w:p w14:paraId="071D0A06" w14:textId="77777777" w:rsidR="00C87E1E" w:rsidRPr="001766B2" w:rsidRDefault="00C87E1E" w:rsidP="00C87E1E">
            <w:pPr>
              <w:ind w:right="-29"/>
              <w:jc w:val="center"/>
              <w:rPr>
                <w:noProof/>
                <w:sz w:val="18"/>
                <w:szCs w:val="18"/>
                <w:lang w:eastAsia="en-GB"/>
              </w:rPr>
            </w:pPr>
          </w:p>
        </w:tc>
        <w:tc>
          <w:tcPr>
            <w:tcW w:w="720" w:type="dxa"/>
          </w:tcPr>
          <w:p w14:paraId="00162C73" w14:textId="77777777" w:rsidR="00C87E1E" w:rsidRPr="001766B2" w:rsidRDefault="00C87E1E" w:rsidP="00C87E1E">
            <w:pPr>
              <w:ind w:right="-29"/>
              <w:jc w:val="center"/>
              <w:rPr>
                <w:noProof/>
                <w:sz w:val="18"/>
                <w:szCs w:val="18"/>
                <w:lang w:eastAsia="en-GB"/>
              </w:rPr>
            </w:pPr>
          </w:p>
        </w:tc>
        <w:tc>
          <w:tcPr>
            <w:tcW w:w="540" w:type="dxa"/>
          </w:tcPr>
          <w:p w14:paraId="6DB3E7F4" w14:textId="77777777" w:rsidR="00C87E1E" w:rsidRPr="001766B2" w:rsidRDefault="00C87E1E" w:rsidP="00C87E1E">
            <w:pPr>
              <w:ind w:right="-29"/>
              <w:jc w:val="center"/>
              <w:rPr>
                <w:noProof/>
                <w:sz w:val="18"/>
                <w:szCs w:val="18"/>
                <w:lang w:eastAsia="en-GB"/>
              </w:rPr>
            </w:pPr>
          </w:p>
        </w:tc>
        <w:tc>
          <w:tcPr>
            <w:tcW w:w="720" w:type="dxa"/>
          </w:tcPr>
          <w:p w14:paraId="29D673FB" w14:textId="77777777" w:rsidR="00C87E1E" w:rsidRPr="001766B2" w:rsidRDefault="00C87E1E" w:rsidP="00C87E1E">
            <w:pPr>
              <w:ind w:right="-29"/>
              <w:jc w:val="center"/>
              <w:rPr>
                <w:noProof/>
                <w:sz w:val="18"/>
                <w:szCs w:val="18"/>
                <w:lang w:eastAsia="en-GB"/>
              </w:rPr>
            </w:pPr>
          </w:p>
        </w:tc>
        <w:tc>
          <w:tcPr>
            <w:tcW w:w="720" w:type="dxa"/>
          </w:tcPr>
          <w:p w14:paraId="232C1A82" w14:textId="77777777" w:rsidR="00C87E1E" w:rsidRPr="001766B2" w:rsidRDefault="00C87E1E" w:rsidP="00C87E1E">
            <w:pPr>
              <w:ind w:right="-29"/>
              <w:jc w:val="center"/>
              <w:rPr>
                <w:noProof/>
                <w:sz w:val="18"/>
                <w:szCs w:val="18"/>
                <w:lang w:eastAsia="en-GB"/>
              </w:rPr>
            </w:pPr>
          </w:p>
        </w:tc>
        <w:tc>
          <w:tcPr>
            <w:tcW w:w="900" w:type="dxa"/>
          </w:tcPr>
          <w:p w14:paraId="6E01BB26" w14:textId="77777777" w:rsidR="00C87E1E" w:rsidRPr="001766B2" w:rsidRDefault="00C87E1E" w:rsidP="00C87E1E">
            <w:pPr>
              <w:ind w:right="-29"/>
              <w:jc w:val="center"/>
              <w:rPr>
                <w:noProof/>
                <w:sz w:val="18"/>
                <w:szCs w:val="18"/>
                <w:lang w:eastAsia="en-GB"/>
              </w:rPr>
            </w:pPr>
          </w:p>
        </w:tc>
      </w:tr>
      <w:tr w:rsidR="00C87E1E" w:rsidRPr="001766B2" w14:paraId="4C1A5067" w14:textId="77777777" w:rsidTr="00C87E1E">
        <w:trPr>
          <w:trHeight w:val="77"/>
          <w:jc w:val="center"/>
        </w:trPr>
        <w:tc>
          <w:tcPr>
            <w:tcW w:w="2844" w:type="dxa"/>
            <w:gridSpan w:val="3"/>
            <w:tcBorders>
              <w:bottom w:val="single" w:sz="12" w:space="0" w:color="auto"/>
            </w:tcBorders>
            <w:vAlign w:val="center"/>
          </w:tcPr>
          <w:p w14:paraId="6224A1AE" w14:textId="77777777" w:rsidR="00C87E1E" w:rsidRPr="001766B2" w:rsidRDefault="00C87E1E" w:rsidP="00C87E1E">
            <w:pPr>
              <w:ind w:right="-29"/>
              <w:jc w:val="center"/>
              <w:rPr>
                <w:noProof/>
                <w:sz w:val="18"/>
                <w:szCs w:val="18"/>
              </w:rPr>
            </w:pPr>
            <w:r w:rsidRPr="001766B2">
              <w:rPr>
                <w:noProof/>
                <w:sz w:val="18"/>
              </w:rPr>
              <w:t>Delsumma för specifikt mål nr 1</w:t>
            </w:r>
          </w:p>
        </w:tc>
        <w:tc>
          <w:tcPr>
            <w:tcW w:w="504" w:type="dxa"/>
            <w:tcBorders>
              <w:bottom w:val="single" w:sz="12" w:space="0" w:color="auto"/>
            </w:tcBorders>
          </w:tcPr>
          <w:p w14:paraId="325B7690"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79E050CB" w14:textId="77777777" w:rsidR="00C87E1E" w:rsidRPr="001766B2" w:rsidRDefault="00C87E1E" w:rsidP="00C87E1E">
            <w:pPr>
              <w:ind w:right="-29"/>
              <w:jc w:val="center"/>
              <w:rPr>
                <w:noProof/>
                <w:sz w:val="18"/>
                <w:szCs w:val="18"/>
                <w:lang w:eastAsia="en-GB"/>
              </w:rPr>
            </w:pPr>
          </w:p>
        </w:tc>
        <w:tc>
          <w:tcPr>
            <w:tcW w:w="540" w:type="dxa"/>
            <w:tcBorders>
              <w:bottom w:val="single" w:sz="12" w:space="0" w:color="auto"/>
            </w:tcBorders>
          </w:tcPr>
          <w:p w14:paraId="2D887DD3"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684FC7B7"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57AD9CEF"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3A6A546B" w14:textId="77777777" w:rsidR="00C87E1E" w:rsidRPr="001766B2" w:rsidRDefault="00C87E1E" w:rsidP="00C87E1E">
            <w:pPr>
              <w:ind w:right="-29"/>
              <w:jc w:val="center"/>
              <w:rPr>
                <w:noProof/>
                <w:sz w:val="18"/>
                <w:szCs w:val="18"/>
                <w:lang w:eastAsia="en-GB"/>
              </w:rPr>
            </w:pPr>
          </w:p>
        </w:tc>
        <w:tc>
          <w:tcPr>
            <w:tcW w:w="900" w:type="dxa"/>
            <w:tcBorders>
              <w:bottom w:val="single" w:sz="12" w:space="0" w:color="auto"/>
            </w:tcBorders>
          </w:tcPr>
          <w:p w14:paraId="1C354D50" w14:textId="77777777" w:rsidR="00C87E1E" w:rsidRPr="001766B2" w:rsidRDefault="00C87E1E" w:rsidP="00C87E1E">
            <w:pPr>
              <w:ind w:right="-29"/>
              <w:jc w:val="center"/>
              <w:rPr>
                <w:noProof/>
                <w:sz w:val="18"/>
                <w:szCs w:val="18"/>
                <w:lang w:eastAsia="en-GB"/>
              </w:rPr>
            </w:pPr>
          </w:p>
        </w:tc>
        <w:tc>
          <w:tcPr>
            <w:tcW w:w="720" w:type="dxa"/>
            <w:gridSpan w:val="2"/>
            <w:tcBorders>
              <w:bottom w:val="single" w:sz="12" w:space="0" w:color="auto"/>
            </w:tcBorders>
          </w:tcPr>
          <w:p w14:paraId="43E3B1A1" w14:textId="77777777" w:rsidR="00C87E1E" w:rsidRPr="001766B2" w:rsidRDefault="00C87E1E" w:rsidP="00C87E1E">
            <w:pPr>
              <w:ind w:right="-29"/>
              <w:jc w:val="center"/>
              <w:rPr>
                <w:noProof/>
                <w:sz w:val="18"/>
                <w:szCs w:val="18"/>
                <w:lang w:eastAsia="en-GB"/>
              </w:rPr>
            </w:pPr>
          </w:p>
        </w:tc>
        <w:tc>
          <w:tcPr>
            <w:tcW w:w="540" w:type="dxa"/>
            <w:tcBorders>
              <w:bottom w:val="single" w:sz="12" w:space="0" w:color="auto"/>
            </w:tcBorders>
          </w:tcPr>
          <w:p w14:paraId="112256D7" w14:textId="77777777" w:rsidR="00C87E1E" w:rsidRPr="001766B2" w:rsidRDefault="00C87E1E" w:rsidP="00C87E1E">
            <w:pPr>
              <w:ind w:right="-29"/>
              <w:jc w:val="center"/>
              <w:rPr>
                <w:noProof/>
                <w:sz w:val="18"/>
                <w:szCs w:val="18"/>
                <w:lang w:eastAsia="en-GB"/>
              </w:rPr>
            </w:pPr>
          </w:p>
        </w:tc>
        <w:tc>
          <w:tcPr>
            <w:tcW w:w="648" w:type="dxa"/>
            <w:tcBorders>
              <w:bottom w:val="single" w:sz="12" w:space="0" w:color="auto"/>
            </w:tcBorders>
          </w:tcPr>
          <w:p w14:paraId="6D6A386A" w14:textId="77777777" w:rsidR="00C87E1E" w:rsidRPr="001766B2" w:rsidRDefault="00C87E1E" w:rsidP="00C87E1E">
            <w:pPr>
              <w:ind w:right="-29"/>
              <w:jc w:val="center"/>
              <w:rPr>
                <w:noProof/>
                <w:sz w:val="18"/>
                <w:szCs w:val="18"/>
                <w:lang w:eastAsia="en-GB"/>
              </w:rPr>
            </w:pPr>
          </w:p>
        </w:tc>
        <w:tc>
          <w:tcPr>
            <w:tcW w:w="432" w:type="dxa"/>
            <w:tcBorders>
              <w:bottom w:val="single" w:sz="12" w:space="0" w:color="auto"/>
            </w:tcBorders>
          </w:tcPr>
          <w:p w14:paraId="1F033132"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58831A36" w14:textId="77777777" w:rsidR="00C87E1E" w:rsidRPr="001766B2" w:rsidRDefault="00C87E1E" w:rsidP="00C87E1E">
            <w:pPr>
              <w:ind w:right="-29"/>
              <w:jc w:val="center"/>
              <w:rPr>
                <w:noProof/>
                <w:sz w:val="18"/>
                <w:szCs w:val="18"/>
                <w:lang w:eastAsia="en-GB"/>
              </w:rPr>
            </w:pPr>
          </w:p>
        </w:tc>
        <w:tc>
          <w:tcPr>
            <w:tcW w:w="540" w:type="dxa"/>
            <w:tcBorders>
              <w:bottom w:val="single" w:sz="12" w:space="0" w:color="auto"/>
            </w:tcBorders>
          </w:tcPr>
          <w:p w14:paraId="38917BA9"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4041C767"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368B9F6C" w14:textId="77777777" w:rsidR="00C87E1E" w:rsidRPr="001766B2" w:rsidRDefault="00C87E1E" w:rsidP="00C87E1E">
            <w:pPr>
              <w:ind w:right="-29"/>
              <w:jc w:val="center"/>
              <w:rPr>
                <w:noProof/>
                <w:sz w:val="18"/>
                <w:szCs w:val="18"/>
                <w:lang w:eastAsia="en-GB"/>
              </w:rPr>
            </w:pPr>
          </w:p>
        </w:tc>
        <w:tc>
          <w:tcPr>
            <w:tcW w:w="900" w:type="dxa"/>
            <w:tcBorders>
              <w:bottom w:val="single" w:sz="12" w:space="0" w:color="auto"/>
            </w:tcBorders>
          </w:tcPr>
          <w:p w14:paraId="256FC661" w14:textId="77777777" w:rsidR="00C87E1E" w:rsidRPr="001766B2" w:rsidRDefault="00C87E1E" w:rsidP="00C87E1E">
            <w:pPr>
              <w:ind w:right="-29"/>
              <w:jc w:val="center"/>
              <w:rPr>
                <w:noProof/>
                <w:sz w:val="18"/>
                <w:szCs w:val="18"/>
                <w:lang w:eastAsia="en-GB"/>
              </w:rPr>
            </w:pPr>
          </w:p>
        </w:tc>
      </w:tr>
      <w:tr w:rsidR="00C87E1E" w:rsidRPr="001766B2" w14:paraId="23AEC987" w14:textId="77777777" w:rsidTr="00C87E1E">
        <w:trPr>
          <w:jc w:val="center"/>
        </w:trPr>
        <w:tc>
          <w:tcPr>
            <w:tcW w:w="2844" w:type="dxa"/>
            <w:gridSpan w:val="3"/>
            <w:vAlign w:val="center"/>
          </w:tcPr>
          <w:p w14:paraId="288B5F1A" w14:textId="77777777" w:rsidR="00C87E1E" w:rsidRPr="001766B2" w:rsidRDefault="00C87E1E" w:rsidP="00C87E1E">
            <w:pPr>
              <w:spacing w:before="60" w:after="60"/>
              <w:ind w:right="-29"/>
              <w:jc w:val="center"/>
              <w:rPr>
                <w:noProof/>
                <w:sz w:val="18"/>
                <w:szCs w:val="18"/>
              </w:rPr>
            </w:pPr>
            <w:r w:rsidRPr="001766B2">
              <w:rPr>
                <w:noProof/>
                <w:sz w:val="18"/>
              </w:rPr>
              <w:t>SPECIFIKT MÅL nr 2…</w:t>
            </w:r>
          </w:p>
        </w:tc>
        <w:tc>
          <w:tcPr>
            <w:tcW w:w="504" w:type="dxa"/>
            <w:tcBorders>
              <w:top w:val="nil"/>
              <w:left w:val="nil"/>
              <w:bottom w:val="nil"/>
              <w:right w:val="nil"/>
            </w:tcBorders>
          </w:tcPr>
          <w:p w14:paraId="05CC4091"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7D59F2B" w14:textId="77777777" w:rsidR="00C87E1E" w:rsidRPr="001766B2"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2947F9B5"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49435A5D"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7EE71CF"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190EBBD" w14:textId="77777777" w:rsidR="00C87E1E" w:rsidRPr="001766B2"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3FB08DD3" w14:textId="77777777" w:rsidR="00C87E1E" w:rsidRPr="001766B2"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733D9B29" w14:textId="77777777" w:rsidR="00C87E1E" w:rsidRPr="001766B2"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1D7666FD" w14:textId="77777777" w:rsidR="00C87E1E" w:rsidRPr="001766B2"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6259AB62" w14:textId="77777777" w:rsidR="00C87E1E" w:rsidRPr="001766B2"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510C6A3"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FA1349C" w14:textId="77777777" w:rsidR="00C87E1E" w:rsidRPr="001766B2"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366BEC89"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55E0F85" w14:textId="77777777" w:rsidR="00C87E1E" w:rsidRPr="001766B2"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48653A8" w14:textId="77777777" w:rsidR="00C87E1E" w:rsidRPr="001766B2"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104434EB" w14:textId="77777777" w:rsidR="00C87E1E" w:rsidRPr="001766B2" w:rsidRDefault="00C87E1E" w:rsidP="00C87E1E">
            <w:pPr>
              <w:spacing w:before="60" w:after="60"/>
              <w:ind w:right="-29"/>
              <w:jc w:val="center"/>
              <w:rPr>
                <w:noProof/>
                <w:sz w:val="18"/>
                <w:szCs w:val="18"/>
                <w:lang w:eastAsia="en-GB"/>
              </w:rPr>
            </w:pPr>
          </w:p>
        </w:tc>
      </w:tr>
      <w:tr w:rsidR="00C87E1E" w:rsidRPr="001766B2" w14:paraId="2C76CD03" w14:textId="77777777" w:rsidTr="00C87E1E">
        <w:trPr>
          <w:trHeight w:hRule="exact" w:val="369"/>
          <w:jc w:val="center"/>
        </w:trPr>
        <w:tc>
          <w:tcPr>
            <w:tcW w:w="1423" w:type="dxa"/>
          </w:tcPr>
          <w:p w14:paraId="037615B1" w14:textId="77777777" w:rsidR="00C87E1E" w:rsidRPr="001766B2" w:rsidRDefault="00C87E1E" w:rsidP="00C87E1E">
            <w:pPr>
              <w:ind w:right="-29"/>
              <w:jc w:val="center"/>
              <w:rPr>
                <w:noProof/>
                <w:sz w:val="18"/>
                <w:szCs w:val="18"/>
              </w:rPr>
            </w:pPr>
            <w:r w:rsidRPr="001766B2">
              <w:rPr>
                <w:noProof/>
                <w:sz w:val="18"/>
              </w:rPr>
              <w:t>- Output</w:t>
            </w:r>
          </w:p>
        </w:tc>
        <w:tc>
          <w:tcPr>
            <w:tcW w:w="720" w:type="dxa"/>
          </w:tcPr>
          <w:p w14:paraId="642ACC04" w14:textId="77777777" w:rsidR="00C87E1E" w:rsidRPr="001766B2" w:rsidRDefault="00C87E1E" w:rsidP="00C87E1E">
            <w:pPr>
              <w:ind w:right="-29"/>
              <w:jc w:val="center"/>
              <w:rPr>
                <w:noProof/>
                <w:sz w:val="18"/>
                <w:szCs w:val="18"/>
                <w:lang w:eastAsia="en-GB"/>
              </w:rPr>
            </w:pPr>
          </w:p>
        </w:tc>
        <w:tc>
          <w:tcPr>
            <w:tcW w:w="701" w:type="dxa"/>
          </w:tcPr>
          <w:p w14:paraId="58E18F71" w14:textId="77777777" w:rsidR="00C87E1E" w:rsidRPr="001766B2" w:rsidRDefault="00C87E1E" w:rsidP="00C87E1E">
            <w:pPr>
              <w:ind w:right="-29"/>
              <w:jc w:val="center"/>
              <w:rPr>
                <w:noProof/>
                <w:sz w:val="18"/>
                <w:szCs w:val="18"/>
                <w:lang w:eastAsia="en-GB"/>
              </w:rPr>
            </w:pPr>
          </w:p>
        </w:tc>
        <w:tc>
          <w:tcPr>
            <w:tcW w:w="504" w:type="dxa"/>
          </w:tcPr>
          <w:p w14:paraId="6048C1A8" w14:textId="77777777" w:rsidR="00C87E1E" w:rsidRPr="001766B2" w:rsidRDefault="00C87E1E" w:rsidP="00C87E1E">
            <w:pPr>
              <w:ind w:right="-29"/>
              <w:jc w:val="center"/>
              <w:rPr>
                <w:noProof/>
                <w:sz w:val="18"/>
                <w:szCs w:val="18"/>
                <w:lang w:eastAsia="en-GB"/>
              </w:rPr>
            </w:pPr>
          </w:p>
        </w:tc>
        <w:tc>
          <w:tcPr>
            <w:tcW w:w="720" w:type="dxa"/>
          </w:tcPr>
          <w:p w14:paraId="623A418A" w14:textId="77777777" w:rsidR="00C87E1E" w:rsidRPr="001766B2" w:rsidRDefault="00C87E1E" w:rsidP="00C87E1E">
            <w:pPr>
              <w:ind w:right="-29"/>
              <w:jc w:val="center"/>
              <w:rPr>
                <w:noProof/>
                <w:sz w:val="18"/>
                <w:szCs w:val="18"/>
                <w:lang w:eastAsia="en-GB"/>
              </w:rPr>
            </w:pPr>
          </w:p>
        </w:tc>
        <w:tc>
          <w:tcPr>
            <w:tcW w:w="540" w:type="dxa"/>
          </w:tcPr>
          <w:p w14:paraId="6FF14078" w14:textId="77777777" w:rsidR="00C87E1E" w:rsidRPr="001766B2" w:rsidRDefault="00C87E1E" w:rsidP="00C87E1E">
            <w:pPr>
              <w:ind w:right="-29"/>
              <w:jc w:val="center"/>
              <w:rPr>
                <w:noProof/>
                <w:sz w:val="18"/>
                <w:szCs w:val="18"/>
                <w:lang w:eastAsia="en-GB"/>
              </w:rPr>
            </w:pPr>
          </w:p>
        </w:tc>
        <w:tc>
          <w:tcPr>
            <w:tcW w:w="720" w:type="dxa"/>
          </w:tcPr>
          <w:p w14:paraId="154326AB" w14:textId="77777777" w:rsidR="00C87E1E" w:rsidRPr="001766B2" w:rsidRDefault="00C87E1E" w:rsidP="00C87E1E">
            <w:pPr>
              <w:ind w:right="-29"/>
              <w:jc w:val="center"/>
              <w:rPr>
                <w:noProof/>
                <w:sz w:val="18"/>
                <w:szCs w:val="18"/>
                <w:lang w:eastAsia="en-GB"/>
              </w:rPr>
            </w:pPr>
          </w:p>
        </w:tc>
        <w:tc>
          <w:tcPr>
            <w:tcW w:w="720" w:type="dxa"/>
          </w:tcPr>
          <w:p w14:paraId="4C2F3753" w14:textId="77777777" w:rsidR="00C87E1E" w:rsidRPr="001766B2" w:rsidRDefault="00C87E1E" w:rsidP="00C87E1E">
            <w:pPr>
              <w:ind w:right="-29"/>
              <w:jc w:val="center"/>
              <w:rPr>
                <w:noProof/>
                <w:sz w:val="18"/>
                <w:szCs w:val="18"/>
                <w:lang w:eastAsia="en-GB"/>
              </w:rPr>
            </w:pPr>
          </w:p>
        </w:tc>
        <w:tc>
          <w:tcPr>
            <w:tcW w:w="720" w:type="dxa"/>
          </w:tcPr>
          <w:p w14:paraId="4A6A56C0" w14:textId="77777777" w:rsidR="00C87E1E" w:rsidRPr="001766B2" w:rsidRDefault="00C87E1E" w:rsidP="00C87E1E">
            <w:pPr>
              <w:ind w:right="-29"/>
              <w:jc w:val="center"/>
              <w:rPr>
                <w:noProof/>
                <w:sz w:val="18"/>
                <w:szCs w:val="18"/>
                <w:lang w:eastAsia="en-GB"/>
              </w:rPr>
            </w:pPr>
          </w:p>
        </w:tc>
        <w:tc>
          <w:tcPr>
            <w:tcW w:w="900" w:type="dxa"/>
          </w:tcPr>
          <w:p w14:paraId="6C8ED74B" w14:textId="77777777" w:rsidR="00C87E1E" w:rsidRPr="001766B2" w:rsidRDefault="00C87E1E" w:rsidP="00C87E1E">
            <w:pPr>
              <w:ind w:right="-29"/>
              <w:jc w:val="center"/>
              <w:rPr>
                <w:noProof/>
                <w:sz w:val="18"/>
                <w:szCs w:val="18"/>
                <w:lang w:eastAsia="en-GB"/>
              </w:rPr>
            </w:pPr>
          </w:p>
        </w:tc>
        <w:tc>
          <w:tcPr>
            <w:tcW w:w="720" w:type="dxa"/>
            <w:gridSpan w:val="2"/>
          </w:tcPr>
          <w:p w14:paraId="3EE64664" w14:textId="77777777" w:rsidR="00C87E1E" w:rsidRPr="001766B2" w:rsidRDefault="00C87E1E" w:rsidP="00C87E1E">
            <w:pPr>
              <w:ind w:right="-29"/>
              <w:jc w:val="center"/>
              <w:rPr>
                <w:noProof/>
                <w:sz w:val="18"/>
                <w:szCs w:val="18"/>
                <w:lang w:eastAsia="en-GB"/>
              </w:rPr>
            </w:pPr>
          </w:p>
        </w:tc>
        <w:tc>
          <w:tcPr>
            <w:tcW w:w="540" w:type="dxa"/>
          </w:tcPr>
          <w:p w14:paraId="232744C5" w14:textId="77777777" w:rsidR="00C87E1E" w:rsidRPr="001766B2" w:rsidRDefault="00C87E1E" w:rsidP="00C87E1E">
            <w:pPr>
              <w:ind w:right="-29"/>
              <w:jc w:val="center"/>
              <w:rPr>
                <w:noProof/>
                <w:sz w:val="18"/>
                <w:szCs w:val="18"/>
                <w:lang w:eastAsia="en-GB"/>
              </w:rPr>
            </w:pPr>
          </w:p>
        </w:tc>
        <w:tc>
          <w:tcPr>
            <w:tcW w:w="648" w:type="dxa"/>
          </w:tcPr>
          <w:p w14:paraId="3485F642" w14:textId="77777777" w:rsidR="00C87E1E" w:rsidRPr="001766B2" w:rsidRDefault="00C87E1E" w:rsidP="00C87E1E">
            <w:pPr>
              <w:ind w:right="-29"/>
              <w:jc w:val="center"/>
              <w:rPr>
                <w:noProof/>
                <w:sz w:val="18"/>
                <w:szCs w:val="18"/>
                <w:lang w:eastAsia="en-GB"/>
              </w:rPr>
            </w:pPr>
          </w:p>
        </w:tc>
        <w:tc>
          <w:tcPr>
            <w:tcW w:w="432" w:type="dxa"/>
          </w:tcPr>
          <w:p w14:paraId="124520C4" w14:textId="77777777" w:rsidR="00C87E1E" w:rsidRPr="001766B2" w:rsidRDefault="00C87E1E" w:rsidP="00C87E1E">
            <w:pPr>
              <w:ind w:right="-29"/>
              <w:jc w:val="center"/>
              <w:rPr>
                <w:noProof/>
                <w:sz w:val="18"/>
                <w:szCs w:val="18"/>
                <w:lang w:eastAsia="en-GB"/>
              </w:rPr>
            </w:pPr>
          </w:p>
        </w:tc>
        <w:tc>
          <w:tcPr>
            <w:tcW w:w="720" w:type="dxa"/>
          </w:tcPr>
          <w:p w14:paraId="0106AA11" w14:textId="77777777" w:rsidR="00C87E1E" w:rsidRPr="001766B2" w:rsidRDefault="00C87E1E" w:rsidP="00C87E1E">
            <w:pPr>
              <w:ind w:right="-29"/>
              <w:jc w:val="center"/>
              <w:rPr>
                <w:noProof/>
                <w:sz w:val="18"/>
                <w:szCs w:val="18"/>
                <w:lang w:eastAsia="en-GB"/>
              </w:rPr>
            </w:pPr>
          </w:p>
        </w:tc>
        <w:tc>
          <w:tcPr>
            <w:tcW w:w="540" w:type="dxa"/>
          </w:tcPr>
          <w:p w14:paraId="77B6FDC1" w14:textId="77777777" w:rsidR="00C87E1E" w:rsidRPr="001766B2" w:rsidRDefault="00C87E1E" w:rsidP="00C87E1E">
            <w:pPr>
              <w:ind w:right="-29"/>
              <w:jc w:val="center"/>
              <w:rPr>
                <w:noProof/>
                <w:sz w:val="18"/>
                <w:szCs w:val="18"/>
                <w:lang w:eastAsia="en-GB"/>
              </w:rPr>
            </w:pPr>
          </w:p>
        </w:tc>
        <w:tc>
          <w:tcPr>
            <w:tcW w:w="720" w:type="dxa"/>
          </w:tcPr>
          <w:p w14:paraId="4231BC11" w14:textId="77777777" w:rsidR="00C87E1E" w:rsidRPr="001766B2" w:rsidRDefault="00C87E1E" w:rsidP="00C87E1E">
            <w:pPr>
              <w:ind w:right="-29"/>
              <w:jc w:val="center"/>
              <w:rPr>
                <w:noProof/>
                <w:sz w:val="18"/>
                <w:szCs w:val="18"/>
                <w:lang w:eastAsia="en-GB"/>
              </w:rPr>
            </w:pPr>
          </w:p>
        </w:tc>
        <w:tc>
          <w:tcPr>
            <w:tcW w:w="720" w:type="dxa"/>
          </w:tcPr>
          <w:p w14:paraId="0908AD39" w14:textId="77777777" w:rsidR="00C87E1E" w:rsidRPr="001766B2" w:rsidRDefault="00C87E1E" w:rsidP="00C87E1E">
            <w:pPr>
              <w:ind w:right="-29"/>
              <w:jc w:val="center"/>
              <w:rPr>
                <w:noProof/>
                <w:sz w:val="18"/>
                <w:szCs w:val="18"/>
                <w:lang w:eastAsia="en-GB"/>
              </w:rPr>
            </w:pPr>
          </w:p>
        </w:tc>
        <w:tc>
          <w:tcPr>
            <w:tcW w:w="900" w:type="dxa"/>
          </w:tcPr>
          <w:p w14:paraId="2CEA1D67" w14:textId="77777777" w:rsidR="00C87E1E" w:rsidRPr="001766B2" w:rsidRDefault="00C87E1E" w:rsidP="00C87E1E">
            <w:pPr>
              <w:ind w:right="-29"/>
              <w:jc w:val="center"/>
              <w:rPr>
                <w:noProof/>
                <w:sz w:val="18"/>
                <w:szCs w:val="18"/>
                <w:lang w:eastAsia="en-GB"/>
              </w:rPr>
            </w:pPr>
          </w:p>
        </w:tc>
      </w:tr>
      <w:tr w:rsidR="00C87E1E" w:rsidRPr="001766B2" w14:paraId="758E9BD9" w14:textId="77777777" w:rsidTr="00C87E1E">
        <w:trPr>
          <w:jc w:val="center"/>
        </w:trPr>
        <w:tc>
          <w:tcPr>
            <w:tcW w:w="2844" w:type="dxa"/>
            <w:gridSpan w:val="3"/>
            <w:tcBorders>
              <w:bottom w:val="single" w:sz="12" w:space="0" w:color="auto"/>
            </w:tcBorders>
            <w:vAlign w:val="center"/>
          </w:tcPr>
          <w:p w14:paraId="64A3C8B3" w14:textId="77777777" w:rsidR="00C87E1E" w:rsidRPr="001766B2" w:rsidRDefault="00C87E1E" w:rsidP="00C87E1E">
            <w:pPr>
              <w:jc w:val="center"/>
              <w:rPr>
                <w:noProof/>
                <w:sz w:val="18"/>
                <w:szCs w:val="18"/>
              </w:rPr>
            </w:pPr>
            <w:r w:rsidRPr="001766B2">
              <w:rPr>
                <w:noProof/>
                <w:sz w:val="18"/>
              </w:rPr>
              <w:t>Delsumma specifikt mål nr 2</w:t>
            </w:r>
          </w:p>
        </w:tc>
        <w:tc>
          <w:tcPr>
            <w:tcW w:w="504" w:type="dxa"/>
            <w:tcBorders>
              <w:bottom w:val="single" w:sz="12" w:space="0" w:color="auto"/>
            </w:tcBorders>
          </w:tcPr>
          <w:p w14:paraId="7A576858"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064AF8B3" w14:textId="77777777" w:rsidR="00C87E1E" w:rsidRPr="001766B2" w:rsidRDefault="00C87E1E" w:rsidP="00C87E1E">
            <w:pPr>
              <w:ind w:right="-29"/>
              <w:jc w:val="center"/>
              <w:rPr>
                <w:noProof/>
                <w:sz w:val="18"/>
                <w:szCs w:val="18"/>
                <w:lang w:eastAsia="en-GB"/>
              </w:rPr>
            </w:pPr>
          </w:p>
        </w:tc>
        <w:tc>
          <w:tcPr>
            <w:tcW w:w="540" w:type="dxa"/>
            <w:tcBorders>
              <w:bottom w:val="single" w:sz="12" w:space="0" w:color="auto"/>
            </w:tcBorders>
          </w:tcPr>
          <w:p w14:paraId="0533A0E8"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28B08866"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176D79AA"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5DE1229B" w14:textId="77777777" w:rsidR="00C87E1E" w:rsidRPr="001766B2" w:rsidRDefault="00C87E1E" w:rsidP="00C87E1E">
            <w:pPr>
              <w:ind w:right="-29"/>
              <w:jc w:val="center"/>
              <w:rPr>
                <w:noProof/>
                <w:sz w:val="18"/>
                <w:szCs w:val="18"/>
                <w:lang w:eastAsia="en-GB"/>
              </w:rPr>
            </w:pPr>
          </w:p>
        </w:tc>
        <w:tc>
          <w:tcPr>
            <w:tcW w:w="951" w:type="dxa"/>
            <w:gridSpan w:val="2"/>
            <w:tcBorders>
              <w:bottom w:val="single" w:sz="12" w:space="0" w:color="auto"/>
            </w:tcBorders>
          </w:tcPr>
          <w:p w14:paraId="20F988D3" w14:textId="77777777" w:rsidR="00C87E1E" w:rsidRPr="001766B2" w:rsidRDefault="00C87E1E" w:rsidP="00C87E1E">
            <w:pPr>
              <w:ind w:right="-29"/>
              <w:jc w:val="center"/>
              <w:rPr>
                <w:noProof/>
                <w:sz w:val="18"/>
                <w:szCs w:val="18"/>
                <w:lang w:eastAsia="en-GB"/>
              </w:rPr>
            </w:pPr>
          </w:p>
        </w:tc>
        <w:tc>
          <w:tcPr>
            <w:tcW w:w="669" w:type="dxa"/>
            <w:tcBorders>
              <w:bottom w:val="single" w:sz="12" w:space="0" w:color="auto"/>
            </w:tcBorders>
          </w:tcPr>
          <w:p w14:paraId="2002CB70" w14:textId="77777777" w:rsidR="00C87E1E" w:rsidRPr="001766B2" w:rsidRDefault="00C87E1E" w:rsidP="00C87E1E">
            <w:pPr>
              <w:ind w:right="-29"/>
              <w:jc w:val="center"/>
              <w:rPr>
                <w:noProof/>
                <w:sz w:val="18"/>
                <w:szCs w:val="18"/>
                <w:lang w:eastAsia="en-GB"/>
              </w:rPr>
            </w:pPr>
          </w:p>
        </w:tc>
        <w:tc>
          <w:tcPr>
            <w:tcW w:w="540" w:type="dxa"/>
            <w:tcBorders>
              <w:bottom w:val="single" w:sz="12" w:space="0" w:color="auto"/>
            </w:tcBorders>
          </w:tcPr>
          <w:p w14:paraId="264357CA" w14:textId="77777777" w:rsidR="00C87E1E" w:rsidRPr="001766B2" w:rsidRDefault="00C87E1E" w:rsidP="00C87E1E">
            <w:pPr>
              <w:ind w:right="-29"/>
              <w:jc w:val="center"/>
              <w:rPr>
                <w:noProof/>
                <w:sz w:val="18"/>
                <w:szCs w:val="18"/>
                <w:lang w:eastAsia="en-GB"/>
              </w:rPr>
            </w:pPr>
          </w:p>
        </w:tc>
        <w:tc>
          <w:tcPr>
            <w:tcW w:w="648" w:type="dxa"/>
            <w:tcBorders>
              <w:bottom w:val="single" w:sz="12" w:space="0" w:color="auto"/>
            </w:tcBorders>
          </w:tcPr>
          <w:p w14:paraId="008B9A88" w14:textId="77777777" w:rsidR="00C87E1E" w:rsidRPr="001766B2" w:rsidRDefault="00C87E1E" w:rsidP="00C87E1E">
            <w:pPr>
              <w:ind w:right="-29"/>
              <w:jc w:val="center"/>
              <w:rPr>
                <w:noProof/>
                <w:sz w:val="18"/>
                <w:szCs w:val="18"/>
                <w:lang w:eastAsia="en-GB"/>
              </w:rPr>
            </w:pPr>
          </w:p>
        </w:tc>
        <w:tc>
          <w:tcPr>
            <w:tcW w:w="432" w:type="dxa"/>
            <w:tcBorders>
              <w:bottom w:val="single" w:sz="12" w:space="0" w:color="auto"/>
            </w:tcBorders>
          </w:tcPr>
          <w:p w14:paraId="06B40516"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4333E0E1" w14:textId="77777777" w:rsidR="00C87E1E" w:rsidRPr="001766B2" w:rsidRDefault="00C87E1E" w:rsidP="00C87E1E">
            <w:pPr>
              <w:ind w:right="-29"/>
              <w:jc w:val="center"/>
              <w:rPr>
                <w:noProof/>
                <w:sz w:val="18"/>
                <w:szCs w:val="18"/>
                <w:lang w:eastAsia="en-GB"/>
              </w:rPr>
            </w:pPr>
          </w:p>
        </w:tc>
        <w:tc>
          <w:tcPr>
            <w:tcW w:w="540" w:type="dxa"/>
            <w:tcBorders>
              <w:bottom w:val="single" w:sz="12" w:space="0" w:color="auto"/>
            </w:tcBorders>
          </w:tcPr>
          <w:p w14:paraId="3846EC72"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13E9A556" w14:textId="77777777" w:rsidR="00C87E1E" w:rsidRPr="001766B2" w:rsidRDefault="00C87E1E" w:rsidP="00C87E1E">
            <w:pPr>
              <w:ind w:right="-29"/>
              <w:jc w:val="center"/>
              <w:rPr>
                <w:noProof/>
                <w:sz w:val="18"/>
                <w:szCs w:val="18"/>
                <w:lang w:eastAsia="en-GB"/>
              </w:rPr>
            </w:pPr>
          </w:p>
        </w:tc>
        <w:tc>
          <w:tcPr>
            <w:tcW w:w="720" w:type="dxa"/>
            <w:tcBorders>
              <w:bottom w:val="single" w:sz="12" w:space="0" w:color="auto"/>
            </w:tcBorders>
          </w:tcPr>
          <w:p w14:paraId="05789881" w14:textId="77777777" w:rsidR="00C87E1E" w:rsidRPr="001766B2" w:rsidRDefault="00C87E1E" w:rsidP="00C87E1E">
            <w:pPr>
              <w:ind w:right="-29"/>
              <w:jc w:val="center"/>
              <w:rPr>
                <w:noProof/>
                <w:sz w:val="18"/>
                <w:szCs w:val="18"/>
                <w:lang w:eastAsia="en-GB"/>
              </w:rPr>
            </w:pPr>
          </w:p>
        </w:tc>
        <w:tc>
          <w:tcPr>
            <w:tcW w:w="900" w:type="dxa"/>
            <w:tcBorders>
              <w:bottom w:val="single" w:sz="12" w:space="0" w:color="auto"/>
            </w:tcBorders>
          </w:tcPr>
          <w:p w14:paraId="7E7F528B" w14:textId="77777777" w:rsidR="00C87E1E" w:rsidRPr="001766B2" w:rsidRDefault="00C87E1E" w:rsidP="00C87E1E">
            <w:pPr>
              <w:ind w:right="-29"/>
              <w:jc w:val="center"/>
              <w:rPr>
                <w:noProof/>
                <w:sz w:val="18"/>
                <w:szCs w:val="18"/>
                <w:lang w:eastAsia="en-GB"/>
              </w:rPr>
            </w:pPr>
          </w:p>
        </w:tc>
      </w:tr>
      <w:tr w:rsidR="00C87E1E" w:rsidRPr="001766B2" w14:paraId="7A92B444" w14:textId="77777777" w:rsidTr="00C87E1E">
        <w:trPr>
          <w:jc w:val="center"/>
        </w:trPr>
        <w:tc>
          <w:tcPr>
            <w:tcW w:w="2844" w:type="dxa"/>
            <w:gridSpan w:val="3"/>
            <w:tcBorders>
              <w:top w:val="single" w:sz="12" w:space="0" w:color="auto"/>
              <w:left w:val="single" w:sz="12" w:space="0" w:color="auto"/>
              <w:bottom w:val="single" w:sz="12" w:space="0" w:color="auto"/>
            </w:tcBorders>
            <w:vAlign w:val="center"/>
          </w:tcPr>
          <w:p w14:paraId="7AFDCFAF" w14:textId="77777777" w:rsidR="00C87E1E" w:rsidRPr="001766B2" w:rsidRDefault="00C87E1E" w:rsidP="00C87E1E">
            <w:pPr>
              <w:ind w:right="-29"/>
              <w:jc w:val="center"/>
              <w:rPr>
                <w:noProof/>
                <w:sz w:val="18"/>
                <w:szCs w:val="18"/>
              </w:rPr>
            </w:pPr>
            <w:r w:rsidRPr="001766B2">
              <w:rPr>
                <w:b/>
                <w:noProof/>
                <w:sz w:val="18"/>
              </w:rPr>
              <w:t>TOTALT</w:t>
            </w:r>
          </w:p>
        </w:tc>
        <w:tc>
          <w:tcPr>
            <w:tcW w:w="504" w:type="dxa"/>
            <w:tcBorders>
              <w:top w:val="single" w:sz="12" w:space="0" w:color="auto"/>
              <w:bottom w:val="single" w:sz="12" w:space="0" w:color="auto"/>
            </w:tcBorders>
          </w:tcPr>
          <w:p w14:paraId="76157684"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30708F3B" w14:textId="77777777" w:rsidR="00C87E1E" w:rsidRPr="001766B2"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693385D9"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78A2D79B"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1A36463A"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30EEB8" w14:textId="77777777" w:rsidR="00C87E1E" w:rsidRPr="001766B2"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0342E5E9" w14:textId="77777777" w:rsidR="00C87E1E" w:rsidRPr="001766B2" w:rsidRDefault="00C87E1E" w:rsidP="00C87E1E">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387ABFB0" w14:textId="77777777" w:rsidR="00C87E1E" w:rsidRPr="001766B2"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8188493" w14:textId="77777777" w:rsidR="00C87E1E" w:rsidRPr="001766B2" w:rsidRDefault="00C87E1E" w:rsidP="00C87E1E">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3FA2F0BE" w14:textId="77777777" w:rsidR="00C87E1E" w:rsidRPr="001766B2" w:rsidRDefault="00C87E1E" w:rsidP="00C87E1E">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68FA6DBB"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6A508E6D" w14:textId="77777777" w:rsidR="00C87E1E" w:rsidRPr="001766B2"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2F74D03A"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6518BD" w14:textId="77777777" w:rsidR="00C87E1E" w:rsidRPr="001766B2"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472D211" w14:textId="77777777" w:rsidR="00C87E1E" w:rsidRPr="001766B2"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53F1B3FC" w14:textId="77777777" w:rsidR="00C87E1E" w:rsidRPr="001766B2" w:rsidRDefault="00C87E1E" w:rsidP="00C87E1E">
            <w:pPr>
              <w:spacing w:before="180" w:after="180"/>
              <w:ind w:right="-29"/>
              <w:jc w:val="center"/>
              <w:rPr>
                <w:noProof/>
                <w:sz w:val="18"/>
                <w:szCs w:val="18"/>
                <w:lang w:eastAsia="en-GB"/>
              </w:rPr>
            </w:pPr>
          </w:p>
        </w:tc>
      </w:tr>
    </w:tbl>
    <w:p w14:paraId="691AA038" w14:textId="77777777" w:rsidR="00C87E1E" w:rsidRPr="001766B2" w:rsidRDefault="00C87E1E" w:rsidP="00C87E1E">
      <w:pPr>
        <w:rPr>
          <w:noProof/>
          <w:lang w:eastAsia="en-GB"/>
        </w:rPr>
        <w:sectPr w:rsidR="00C87E1E" w:rsidRPr="001766B2" w:rsidSect="00151ECD">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3D816693" w14:textId="77777777" w:rsidR="00C87E1E" w:rsidRPr="001766B2" w:rsidRDefault="00C87E1E" w:rsidP="00FB18F4">
      <w:pPr>
        <w:keepNext/>
        <w:outlineLvl w:val="2"/>
        <w:rPr>
          <w:rFonts w:eastAsiaTheme="majorEastAsia"/>
          <w:i/>
          <w:noProof/>
          <w:szCs w:val="24"/>
        </w:rPr>
      </w:pPr>
      <w:bookmarkStart w:id="59" w:name="_Toc514938055"/>
      <w:bookmarkStart w:id="60" w:name="_Toc520485054"/>
      <w:r w:rsidRPr="001766B2">
        <w:rPr>
          <w:i/>
          <w:noProof/>
        </w:rPr>
        <w:t>Sammanfattning av beräknad inverkan på de administrativa anslagen</w:t>
      </w:r>
      <w:bookmarkEnd w:id="59"/>
      <w:bookmarkEnd w:id="60"/>
      <w:r w:rsidRPr="001766B2">
        <w:rPr>
          <w:i/>
          <w:noProof/>
        </w:rPr>
        <w:t xml:space="preserve"> </w:t>
      </w:r>
    </w:p>
    <w:p w14:paraId="2848F443" w14:textId="77777777" w:rsidR="00C87E1E" w:rsidRPr="001766B2" w:rsidRDefault="00C87E1E" w:rsidP="00C87E1E">
      <w:pPr>
        <w:tabs>
          <w:tab w:val="num" w:pos="1134"/>
        </w:tabs>
        <w:ind w:left="1134" w:hanging="283"/>
        <w:rPr>
          <w:noProof/>
        </w:rPr>
      </w:pPr>
      <w:r w:rsidRPr="001766B2">
        <w:rPr>
          <w:b/>
          <w:noProof/>
        </w:rPr>
        <w:t>X</w:t>
      </w:r>
      <w:r w:rsidRPr="001766B2">
        <w:rPr>
          <w:noProof/>
        </w:rPr>
        <w:tab/>
        <w:t xml:space="preserve">Förslaget/initiativet kräver inte att anslag av administrativ natur tas i anspråk </w:t>
      </w:r>
    </w:p>
    <w:p w14:paraId="11CF8689" w14:textId="77777777" w:rsidR="00C87E1E" w:rsidRPr="001766B2" w:rsidRDefault="00C87E1E" w:rsidP="00C87E1E">
      <w:pPr>
        <w:tabs>
          <w:tab w:val="num" w:pos="1134"/>
        </w:tabs>
        <w:ind w:left="1134" w:hanging="283"/>
        <w:rPr>
          <w:noProof/>
        </w:rPr>
      </w:pPr>
      <w:r w:rsidRPr="001766B2">
        <w:rPr>
          <w:noProof/>
        </w:rPr>
        <w:sym w:font="Wingdings" w:char="F0A8"/>
      </w:r>
      <w:r w:rsidRPr="001766B2">
        <w:rPr>
          <w:noProof/>
        </w:rPr>
        <w:tab/>
        <w:t>Förslaget/initiativet kräver att anslag av administrativ natur tas i anspråk enligt följande:</w:t>
      </w:r>
    </w:p>
    <w:p w14:paraId="6168E13A" w14:textId="77777777" w:rsidR="00C87E1E" w:rsidRPr="001766B2" w:rsidRDefault="00C87E1E" w:rsidP="00C87E1E">
      <w:pPr>
        <w:jc w:val="right"/>
        <w:rPr>
          <w:noProof/>
          <w:sz w:val="20"/>
        </w:rPr>
      </w:pPr>
      <w:r w:rsidRPr="001766B2">
        <w:rPr>
          <w:noProof/>
          <w:sz w:val="20"/>
        </w:rPr>
        <w:t>Miljoner euro (avrundat till tre decimaler)</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87E1E" w:rsidRPr="001766B2" w14:paraId="4586680C" w14:textId="77777777" w:rsidTr="00C87E1E">
        <w:trPr>
          <w:trHeight w:val="585"/>
        </w:trPr>
        <w:tc>
          <w:tcPr>
            <w:tcW w:w="1980" w:type="dxa"/>
          </w:tcPr>
          <w:p w14:paraId="0F955566" w14:textId="77777777" w:rsidR="00C87E1E" w:rsidRPr="001766B2" w:rsidRDefault="00C87E1E" w:rsidP="00C87E1E">
            <w:pPr>
              <w:spacing w:before="60" w:after="60" w:line="200" w:lineRule="exact"/>
              <w:rPr>
                <w:noProof/>
                <w:sz w:val="16"/>
                <w:szCs w:val="16"/>
                <w:lang w:eastAsia="en-GB"/>
              </w:rPr>
            </w:pPr>
          </w:p>
        </w:tc>
        <w:tc>
          <w:tcPr>
            <w:tcW w:w="1080" w:type="dxa"/>
            <w:vAlign w:val="center"/>
          </w:tcPr>
          <w:p w14:paraId="6EF9F009" w14:textId="77777777" w:rsidR="00C87E1E" w:rsidRPr="001766B2" w:rsidRDefault="00C87E1E" w:rsidP="00C87E1E">
            <w:pPr>
              <w:spacing w:before="60" w:after="60" w:line="200" w:lineRule="exact"/>
              <w:jc w:val="center"/>
              <w:rPr>
                <w:noProof/>
                <w:sz w:val="16"/>
                <w:szCs w:val="16"/>
              </w:rPr>
            </w:pPr>
            <w:r w:rsidRPr="001766B2">
              <w:rPr>
                <w:noProof/>
                <w:sz w:val="16"/>
              </w:rPr>
              <w:t>År</w:t>
            </w:r>
            <w:r w:rsidRPr="001766B2">
              <w:rPr>
                <w:noProof/>
              </w:rPr>
              <w:t xml:space="preserve"> </w:t>
            </w:r>
            <w:r w:rsidRPr="001766B2">
              <w:rPr>
                <w:noProof/>
              </w:rPr>
              <w:br/>
            </w:r>
            <w:r w:rsidRPr="001766B2">
              <w:rPr>
                <w:b/>
                <w:noProof/>
                <w:sz w:val="16"/>
              </w:rPr>
              <w:t xml:space="preserve">N </w:t>
            </w:r>
            <w:r w:rsidRPr="001766B2">
              <w:rPr>
                <w:rStyle w:val="FootnoteReference"/>
                <w:noProof/>
              </w:rPr>
              <w:footnoteReference w:id="28"/>
            </w:r>
          </w:p>
        </w:tc>
        <w:tc>
          <w:tcPr>
            <w:tcW w:w="1080" w:type="dxa"/>
            <w:vAlign w:val="center"/>
          </w:tcPr>
          <w:p w14:paraId="057A7C23" w14:textId="77777777" w:rsidR="00C87E1E" w:rsidRPr="001766B2" w:rsidRDefault="00C87E1E" w:rsidP="00C87E1E">
            <w:pPr>
              <w:spacing w:before="60" w:after="60" w:line="200" w:lineRule="exact"/>
              <w:jc w:val="center"/>
              <w:rPr>
                <w:noProof/>
                <w:sz w:val="16"/>
                <w:szCs w:val="16"/>
              </w:rPr>
            </w:pPr>
            <w:r w:rsidRPr="001766B2">
              <w:rPr>
                <w:noProof/>
                <w:sz w:val="16"/>
              </w:rPr>
              <w:t>År</w:t>
            </w:r>
            <w:r w:rsidRPr="001766B2">
              <w:rPr>
                <w:noProof/>
              </w:rPr>
              <w:t xml:space="preserve"> </w:t>
            </w:r>
            <w:r w:rsidRPr="001766B2">
              <w:rPr>
                <w:noProof/>
              </w:rPr>
              <w:br/>
            </w:r>
            <w:r w:rsidRPr="001766B2">
              <w:rPr>
                <w:b/>
                <w:noProof/>
                <w:sz w:val="16"/>
              </w:rPr>
              <w:t>N+1</w:t>
            </w:r>
          </w:p>
        </w:tc>
        <w:tc>
          <w:tcPr>
            <w:tcW w:w="1080" w:type="dxa"/>
            <w:vAlign w:val="center"/>
          </w:tcPr>
          <w:p w14:paraId="46F90FB9" w14:textId="77777777" w:rsidR="00C87E1E" w:rsidRPr="001766B2" w:rsidRDefault="00C87E1E" w:rsidP="00C87E1E">
            <w:pPr>
              <w:spacing w:before="60" w:after="60" w:line="200" w:lineRule="exact"/>
              <w:jc w:val="center"/>
              <w:rPr>
                <w:noProof/>
                <w:sz w:val="16"/>
                <w:szCs w:val="16"/>
              </w:rPr>
            </w:pPr>
            <w:r w:rsidRPr="001766B2">
              <w:rPr>
                <w:noProof/>
                <w:sz w:val="16"/>
              </w:rPr>
              <w:t>År</w:t>
            </w:r>
            <w:r w:rsidRPr="001766B2">
              <w:rPr>
                <w:noProof/>
              </w:rPr>
              <w:t xml:space="preserve"> </w:t>
            </w:r>
            <w:r w:rsidRPr="001766B2">
              <w:rPr>
                <w:noProof/>
              </w:rPr>
              <w:br/>
            </w:r>
            <w:r w:rsidRPr="001766B2">
              <w:rPr>
                <w:b/>
                <w:noProof/>
                <w:sz w:val="16"/>
              </w:rPr>
              <w:t>N+2</w:t>
            </w:r>
          </w:p>
        </w:tc>
        <w:tc>
          <w:tcPr>
            <w:tcW w:w="1080" w:type="dxa"/>
            <w:vAlign w:val="center"/>
          </w:tcPr>
          <w:p w14:paraId="5BDD1136" w14:textId="77777777" w:rsidR="00C87E1E" w:rsidRPr="001766B2" w:rsidRDefault="00C87E1E" w:rsidP="00C87E1E">
            <w:pPr>
              <w:spacing w:before="60" w:after="60" w:line="200" w:lineRule="exact"/>
              <w:jc w:val="center"/>
              <w:rPr>
                <w:noProof/>
                <w:sz w:val="16"/>
                <w:szCs w:val="16"/>
              </w:rPr>
            </w:pPr>
            <w:r w:rsidRPr="001766B2">
              <w:rPr>
                <w:noProof/>
                <w:sz w:val="16"/>
              </w:rPr>
              <w:t>År</w:t>
            </w:r>
            <w:r w:rsidRPr="001766B2">
              <w:rPr>
                <w:noProof/>
              </w:rPr>
              <w:t xml:space="preserve"> </w:t>
            </w:r>
            <w:r w:rsidRPr="001766B2">
              <w:rPr>
                <w:noProof/>
              </w:rPr>
              <w:br/>
            </w:r>
            <w:r w:rsidRPr="001766B2">
              <w:rPr>
                <w:b/>
                <w:noProof/>
                <w:sz w:val="16"/>
              </w:rPr>
              <w:t>N+3</w:t>
            </w:r>
          </w:p>
        </w:tc>
        <w:tc>
          <w:tcPr>
            <w:tcW w:w="3240" w:type="dxa"/>
            <w:vAlign w:val="center"/>
          </w:tcPr>
          <w:p w14:paraId="4AEA18C3" w14:textId="77777777" w:rsidR="00C87E1E" w:rsidRPr="001766B2" w:rsidRDefault="00C87E1E" w:rsidP="00C87E1E">
            <w:pPr>
              <w:spacing w:line="200" w:lineRule="exact"/>
              <w:jc w:val="center"/>
              <w:rPr>
                <w:b/>
                <w:noProof/>
                <w:sz w:val="16"/>
                <w:szCs w:val="16"/>
              </w:rPr>
            </w:pPr>
            <w:r w:rsidRPr="001766B2">
              <w:rPr>
                <w:noProof/>
                <w:sz w:val="16"/>
              </w:rPr>
              <w:t>För in så många år som behövs för att redovisa varaktigheten för inverkan på resursanvändningen (jfr punkt 1.6)</w:t>
            </w:r>
          </w:p>
        </w:tc>
        <w:tc>
          <w:tcPr>
            <w:tcW w:w="1080" w:type="dxa"/>
            <w:vAlign w:val="center"/>
          </w:tcPr>
          <w:p w14:paraId="11C4CA02" w14:textId="77777777" w:rsidR="00C87E1E" w:rsidRPr="001766B2" w:rsidRDefault="00C87E1E" w:rsidP="00C87E1E">
            <w:pPr>
              <w:spacing w:before="60" w:after="60" w:line="200" w:lineRule="exact"/>
              <w:jc w:val="center"/>
              <w:rPr>
                <w:b/>
                <w:noProof/>
                <w:sz w:val="16"/>
                <w:szCs w:val="16"/>
              </w:rPr>
            </w:pPr>
            <w:r w:rsidRPr="001766B2">
              <w:rPr>
                <w:b/>
                <w:noProof/>
                <w:sz w:val="16"/>
              </w:rPr>
              <w:t>TOTALT</w:t>
            </w:r>
          </w:p>
        </w:tc>
      </w:tr>
    </w:tbl>
    <w:p w14:paraId="50526C79" w14:textId="77777777" w:rsidR="00C87E1E" w:rsidRPr="001766B2"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1766B2" w14:paraId="7158BEFB" w14:textId="77777777" w:rsidTr="00C87E1E">
        <w:trPr>
          <w:trHeight w:val="585"/>
        </w:trPr>
        <w:tc>
          <w:tcPr>
            <w:tcW w:w="1980" w:type="dxa"/>
            <w:shd w:val="clear" w:color="auto" w:fill="CCCCCC"/>
            <w:vAlign w:val="center"/>
          </w:tcPr>
          <w:p w14:paraId="05184F2D" w14:textId="77777777" w:rsidR="00C87E1E" w:rsidRPr="001766B2" w:rsidRDefault="00C87E1E" w:rsidP="00C87E1E">
            <w:pPr>
              <w:spacing w:before="60" w:after="60" w:line="200" w:lineRule="exact"/>
              <w:jc w:val="center"/>
              <w:rPr>
                <w:b/>
                <w:noProof/>
                <w:sz w:val="16"/>
                <w:szCs w:val="16"/>
              </w:rPr>
            </w:pPr>
            <w:r w:rsidRPr="001766B2">
              <w:rPr>
                <w:b/>
                <w:noProof/>
                <w:sz w:val="16"/>
              </w:rPr>
              <w:t>RUBRIK 7</w:t>
            </w:r>
            <w:r w:rsidRPr="001766B2">
              <w:rPr>
                <w:noProof/>
              </w:rPr>
              <w:t xml:space="preserve"> </w:t>
            </w:r>
            <w:r w:rsidRPr="001766B2">
              <w:rPr>
                <w:noProof/>
              </w:rPr>
              <w:br/>
            </w:r>
            <w:r w:rsidRPr="001766B2">
              <w:rPr>
                <w:b/>
                <w:noProof/>
                <w:sz w:val="16"/>
              </w:rPr>
              <w:t>i den fleråriga budgetramen</w:t>
            </w:r>
          </w:p>
        </w:tc>
        <w:tc>
          <w:tcPr>
            <w:tcW w:w="1080" w:type="dxa"/>
            <w:vAlign w:val="center"/>
          </w:tcPr>
          <w:p w14:paraId="10A2366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3A0F05E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D6371D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1B136B60"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530AF7B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6CF4B3A"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3985DF0A"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5FCA5CD8" w14:textId="77777777" w:rsidR="00C87E1E" w:rsidRPr="001766B2" w:rsidRDefault="00C87E1E" w:rsidP="00C87E1E">
            <w:pPr>
              <w:spacing w:before="60" w:after="60" w:line="200" w:lineRule="exact"/>
              <w:jc w:val="right"/>
              <w:rPr>
                <w:b/>
                <w:noProof/>
                <w:sz w:val="16"/>
                <w:szCs w:val="16"/>
                <w:lang w:eastAsia="en-GB"/>
              </w:rPr>
            </w:pPr>
          </w:p>
        </w:tc>
      </w:tr>
      <w:tr w:rsidR="00C87E1E" w:rsidRPr="001766B2" w14:paraId="7DAAD9F7" w14:textId="77777777" w:rsidTr="00C87E1E">
        <w:trPr>
          <w:trHeight w:val="585"/>
        </w:trPr>
        <w:tc>
          <w:tcPr>
            <w:tcW w:w="1980" w:type="dxa"/>
            <w:vAlign w:val="center"/>
          </w:tcPr>
          <w:p w14:paraId="74A38E54" w14:textId="77777777" w:rsidR="00C87E1E" w:rsidRPr="001766B2" w:rsidRDefault="00C87E1E" w:rsidP="00C87E1E">
            <w:pPr>
              <w:spacing w:before="60" w:after="60" w:line="200" w:lineRule="exact"/>
              <w:ind w:left="72"/>
              <w:jc w:val="left"/>
              <w:rPr>
                <w:noProof/>
                <w:sz w:val="16"/>
                <w:szCs w:val="16"/>
              </w:rPr>
            </w:pPr>
            <w:r w:rsidRPr="001766B2">
              <w:rPr>
                <w:noProof/>
                <w:sz w:val="16"/>
              </w:rPr>
              <w:t xml:space="preserve">Personalresurser </w:t>
            </w:r>
          </w:p>
        </w:tc>
        <w:tc>
          <w:tcPr>
            <w:tcW w:w="1080" w:type="dxa"/>
            <w:vAlign w:val="center"/>
          </w:tcPr>
          <w:p w14:paraId="41982321"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4887126"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1696F36"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4DC2B21"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D6F79E3"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8A3EA2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535AE190"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608C33C4" w14:textId="77777777" w:rsidR="00C87E1E" w:rsidRPr="001766B2" w:rsidRDefault="00C87E1E" w:rsidP="00C87E1E">
            <w:pPr>
              <w:spacing w:before="60" w:after="60" w:line="200" w:lineRule="exact"/>
              <w:jc w:val="right"/>
              <w:rPr>
                <w:b/>
                <w:noProof/>
                <w:sz w:val="16"/>
                <w:szCs w:val="16"/>
                <w:lang w:eastAsia="en-GB"/>
              </w:rPr>
            </w:pPr>
          </w:p>
        </w:tc>
      </w:tr>
      <w:tr w:rsidR="00C87E1E" w:rsidRPr="001766B2" w14:paraId="29EBE6C0" w14:textId="77777777" w:rsidTr="00C87E1E">
        <w:trPr>
          <w:trHeight w:val="585"/>
        </w:trPr>
        <w:tc>
          <w:tcPr>
            <w:tcW w:w="1980" w:type="dxa"/>
            <w:vAlign w:val="center"/>
          </w:tcPr>
          <w:p w14:paraId="1E78CAEC" w14:textId="77777777" w:rsidR="00C87E1E" w:rsidRPr="001766B2" w:rsidRDefault="00C87E1E" w:rsidP="00C87E1E">
            <w:pPr>
              <w:spacing w:before="60" w:after="60" w:line="200" w:lineRule="exact"/>
              <w:ind w:left="72"/>
              <w:jc w:val="left"/>
              <w:rPr>
                <w:noProof/>
                <w:sz w:val="16"/>
                <w:szCs w:val="16"/>
              </w:rPr>
            </w:pPr>
            <w:r w:rsidRPr="001766B2">
              <w:rPr>
                <w:noProof/>
                <w:sz w:val="16"/>
              </w:rPr>
              <w:t xml:space="preserve">Övriga administrativa utgifter </w:t>
            </w:r>
          </w:p>
        </w:tc>
        <w:tc>
          <w:tcPr>
            <w:tcW w:w="1080" w:type="dxa"/>
            <w:vAlign w:val="center"/>
          </w:tcPr>
          <w:p w14:paraId="1B0D92A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72C0F9F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70429A59"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62840E4"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114E4EB6"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42E547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06B237D"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293D261D" w14:textId="77777777" w:rsidR="00C87E1E" w:rsidRPr="001766B2" w:rsidRDefault="00C87E1E" w:rsidP="00C87E1E">
            <w:pPr>
              <w:spacing w:before="60" w:after="60" w:line="200" w:lineRule="exact"/>
              <w:jc w:val="right"/>
              <w:rPr>
                <w:b/>
                <w:noProof/>
                <w:sz w:val="16"/>
                <w:szCs w:val="16"/>
                <w:lang w:eastAsia="en-GB"/>
              </w:rPr>
            </w:pPr>
          </w:p>
        </w:tc>
      </w:tr>
      <w:tr w:rsidR="00C87E1E" w:rsidRPr="001766B2" w14:paraId="33049B8D" w14:textId="77777777" w:rsidTr="00C87E1E">
        <w:trPr>
          <w:trHeight w:val="585"/>
        </w:trPr>
        <w:tc>
          <w:tcPr>
            <w:tcW w:w="1980" w:type="dxa"/>
            <w:shd w:val="clear" w:color="auto" w:fill="CCCCCC"/>
            <w:vAlign w:val="center"/>
          </w:tcPr>
          <w:p w14:paraId="5A002C47" w14:textId="77777777" w:rsidR="00C87E1E" w:rsidRPr="001766B2" w:rsidRDefault="00C87E1E" w:rsidP="00C87E1E">
            <w:pPr>
              <w:spacing w:before="60" w:after="60" w:line="200" w:lineRule="exact"/>
              <w:jc w:val="center"/>
              <w:rPr>
                <w:b/>
                <w:noProof/>
                <w:sz w:val="16"/>
                <w:szCs w:val="16"/>
              </w:rPr>
            </w:pPr>
            <w:r w:rsidRPr="001766B2">
              <w:rPr>
                <w:b/>
                <w:noProof/>
                <w:sz w:val="16"/>
              </w:rPr>
              <w:t>Delsumma för RUBRIK 7</w:t>
            </w:r>
            <w:r w:rsidRPr="001766B2">
              <w:rPr>
                <w:noProof/>
              </w:rPr>
              <w:t xml:space="preserve"> </w:t>
            </w:r>
            <w:r w:rsidRPr="001766B2">
              <w:rPr>
                <w:noProof/>
              </w:rPr>
              <w:br/>
            </w:r>
            <w:r w:rsidRPr="001766B2">
              <w:rPr>
                <w:b/>
                <w:noProof/>
                <w:sz w:val="16"/>
              </w:rPr>
              <w:t xml:space="preserve">i den fleråriga budgetramen </w:t>
            </w:r>
          </w:p>
        </w:tc>
        <w:tc>
          <w:tcPr>
            <w:tcW w:w="1080" w:type="dxa"/>
            <w:vAlign w:val="center"/>
          </w:tcPr>
          <w:p w14:paraId="53AF7DCA"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E799663"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98B0BE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1655C3F7"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734BA309"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37BA74F9"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7265318"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644E8301" w14:textId="77777777" w:rsidR="00C87E1E" w:rsidRPr="001766B2" w:rsidRDefault="00C87E1E" w:rsidP="00C87E1E">
            <w:pPr>
              <w:spacing w:before="60" w:after="60" w:line="200" w:lineRule="exact"/>
              <w:jc w:val="right"/>
              <w:rPr>
                <w:b/>
                <w:noProof/>
                <w:sz w:val="16"/>
                <w:szCs w:val="16"/>
                <w:lang w:eastAsia="en-GB"/>
              </w:rPr>
            </w:pPr>
          </w:p>
        </w:tc>
      </w:tr>
    </w:tbl>
    <w:p w14:paraId="52D03010" w14:textId="77777777" w:rsidR="00C87E1E" w:rsidRPr="001766B2"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1766B2" w14:paraId="2C5DBB55" w14:textId="77777777" w:rsidTr="00C87E1E">
        <w:trPr>
          <w:trHeight w:val="585"/>
        </w:trPr>
        <w:tc>
          <w:tcPr>
            <w:tcW w:w="1980" w:type="dxa"/>
            <w:shd w:val="clear" w:color="auto" w:fill="CCCCCC"/>
            <w:vAlign w:val="center"/>
          </w:tcPr>
          <w:p w14:paraId="17D0A65D" w14:textId="77777777" w:rsidR="00C87E1E" w:rsidRPr="001766B2" w:rsidRDefault="00C87E1E" w:rsidP="00C87E1E">
            <w:pPr>
              <w:spacing w:before="60" w:after="60" w:line="200" w:lineRule="exact"/>
              <w:jc w:val="center"/>
              <w:rPr>
                <w:noProof/>
                <w:sz w:val="16"/>
                <w:szCs w:val="16"/>
              </w:rPr>
            </w:pPr>
            <w:r w:rsidRPr="001766B2">
              <w:rPr>
                <w:b/>
                <w:noProof/>
                <w:sz w:val="16"/>
              </w:rPr>
              <w:t>Utanför RUBRIK 7</w:t>
            </w:r>
            <w:r w:rsidRPr="001766B2">
              <w:rPr>
                <w:rStyle w:val="FootnoteReference"/>
                <w:noProof/>
              </w:rPr>
              <w:footnoteReference w:id="29"/>
            </w:r>
            <w:r w:rsidRPr="001766B2">
              <w:rPr>
                <w:noProof/>
              </w:rPr>
              <w:t xml:space="preserve"> </w:t>
            </w:r>
            <w:r w:rsidRPr="001766B2">
              <w:rPr>
                <w:noProof/>
              </w:rPr>
              <w:br/>
            </w:r>
            <w:r w:rsidRPr="001766B2">
              <w:rPr>
                <w:b/>
                <w:noProof/>
                <w:sz w:val="16"/>
              </w:rPr>
              <w:t xml:space="preserve">i den fleråriga budgetramen </w:t>
            </w:r>
          </w:p>
          <w:p w14:paraId="3A8AFB60" w14:textId="77777777" w:rsidR="00C87E1E" w:rsidRPr="001766B2" w:rsidRDefault="00C87E1E" w:rsidP="00C87E1E">
            <w:pPr>
              <w:spacing w:before="0" w:after="0" w:line="200" w:lineRule="exact"/>
              <w:jc w:val="center"/>
              <w:rPr>
                <w:b/>
                <w:noProof/>
                <w:sz w:val="16"/>
                <w:szCs w:val="16"/>
                <w:lang w:eastAsia="en-GB"/>
              </w:rPr>
            </w:pPr>
          </w:p>
        </w:tc>
        <w:tc>
          <w:tcPr>
            <w:tcW w:w="1080" w:type="dxa"/>
            <w:vAlign w:val="center"/>
          </w:tcPr>
          <w:p w14:paraId="00DA778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582948B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2D79549"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386D9AC"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759989D"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5340A5E9"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7229C48B"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4765EDB9" w14:textId="77777777" w:rsidR="00C87E1E" w:rsidRPr="001766B2" w:rsidRDefault="00C87E1E" w:rsidP="00C87E1E">
            <w:pPr>
              <w:spacing w:before="60" w:after="60" w:line="200" w:lineRule="exact"/>
              <w:jc w:val="right"/>
              <w:rPr>
                <w:b/>
                <w:noProof/>
                <w:sz w:val="16"/>
                <w:szCs w:val="16"/>
                <w:lang w:eastAsia="en-GB"/>
              </w:rPr>
            </w:pPr>
          </w:p>
        </w:tc>
      </w:tr>
      <w:tr w:rsidR="00C87E1E" w:rsidRPr="001766B2" w14:paraId="7EAADBBF" w14:textId="77777777" w:rsidTr="00C87E1E">
        <w:trPr>
          <w:trHeight w:val="585"/>
        </w:trPr>
        <w:tc>
          <w:tcPr>
            <w:tcW w:w="1980" w:type="dxa"/>
            <w:vAlign w:val="center"/>
          </w:tcPr>
          <w:p w14:paraId="22E87FA7" w14:textId="77777777" w:rsidR="00C87E1E" w:rsidRPr="001766B2" w:rsidRDefault="00C87E1E" w:rsidP="00C87E1E">
            <w:pPr>
              <w:spacing w:before="60" w:after="60" w:line="200" w:lineRule="exact"/>
              <w:ind w:left="72"/>
              <w:jc w:val="left"/>
              <w:rPr>
                <w:noProof/>
                <w:sz w:val="16"/>
                <w:szCs w:val="16"/>
              </w:rPr>
            </w:pPr>
            <w:r w:rsidRPr="001766B2">
              <w:rPr>
                <w:noProof/>
                <w:sz w:val="16"/>
              </w:rPr>
              <w:t xml:space="preserve">Personalresurser </w:t>
            </w:r>
          </w:p>
        </w:tc>
        <w:tc>
          <w:tcPr>
            <w:tcW w:w="1080" w:type="dxa"/>
            <w:vAlign w:val="center"/>
          </w:tcPr>
          <w:p w14:paraId="4C75DFFE"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11EE132"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78B237C4"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8125D07"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2387B514"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283A8A72"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8DE0A82"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294607ED" w14:textId="77777777" w:rsidR="00C87E1E" w:rsidRPr="001766B2" w:rsidRDefault="00C87E1E" w:rsidP="00C87E1E">
            <w:pPr>
              <w:spacing w:before="60" w:after="60" w:line="200" w:lineRule="exact"/>
              <w:jc w:val="right"/>
              <w:rPr>
                <w:b/>
                <w:noProof/>
                <w:sz w:val="16"/>
                <w:szCs w:val="16"/>
                <w:lang w:eastAsia="en-GB"/>
              </w:rPr>
            </w:pPr>
          </w:p>
        </w:tc>
      </w:tr>
      <w:tr w:rsidR="00C87E1E" w:rsidRPr="001766B2" w14:paraId="72D4ECB6" w14:textId="77777777" w:rsidTr="00C87E1E">
        <w:trPr>
          <w:trHeight w:val="585"/>
        </w:trPr>
        <w:tc>
          <w:tcPr>
            <w:tcW w:w="1980" w:type="dxa"/>
            <w:vAlign w:val="center"/>
          </w:tcPr>
          <w:p w14:paraId="7BBD279E" w14:textId="77777777" w:rsidR="00C87E1E" w:rsidRPr="001766B2" w:rsidRDefault="00C87E1E" w:rsidP="00C87E1E">
            <w:pPr>
              <w:spacing w:before="60" w:after="60" w:line="200" w:lineRule="exact"/>
              <w:ind w:left="72"/>
              <w:jc w:val="left"/>
              <w:rPr>
                <w:noProof/>
                <w:sz w:val="16"/>
                <w:szCs w:val="16"/>
              </w:rPr>
            </w:pPr>
            <w:r w:rsidRPr="001766B2">
              <w:rPr>
                <w:noProof/>
                <w:sz w:val="16"/>
              </w:rPr>
              <w:t xml:space="preserve">Andra utgifter </w:t>
            </w:r>
            <w:r w:rsidRPr="001766B2">
              <w:rPr>
                <w:noProof/>
              </w:rPr>
              <w:t xml:space="preserve"> </w:t>
            </w:r>
            <w:r w:rsidRPr="001766B2">
              <w:rPr>
                <w:noProof/>
              </w:rPr>
              <w:br/>
            </w:r>
            <w:r w:rsidRPr="001766B2">
              <w:rPr>
                <w:noProof/>
                <w:sz w:val="16"/>
              </w:rPr>
              <w:t>av administrativ karaktär</w:t>
            </w:r>
          </w:p>
        </w:tc>
        <w:tc>
          <w:tcPr>
            <w:tcW w:w="1080" w:type="dxa"/>
            <w:vAlign w:val="center"/>
          </w:tcPr>
          <w:p w14:paraId="22A5D4B5"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4EDDE46B"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3190AD5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1656E5F5"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1EC0AB71"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07DD3CF"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56338A29"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12481832" w14:textId="77777777" w:rsidR="00C87E1E" w:rsidRPr="001766B2" w:rsidRDefault="00C87E1E" w:rsidP="00C87E1E">
            <w:pPr>
              <w:spacing w:before="60" w:after="60" w:line="200" w:lineRule="exact"/>
              <w:jc w:val="right"/>
              <w:rPr>
                <w:b/>
                <w:noProof/>
                <w:sz w:val="16"/>
                <w:szCs w:val="16"/>
                <w:lang w:eastAsia="en-GB"/>
              </w:rPr>
            </w:pPr>
          </w:p>
        </w:tc>
      </w:tr>
      <w:tr w:rsidR="00C87E1E" w:rsidRPr="001766B2" w14:paraId="36647698" w14:textId="77777777" w:rsidTr="00C87E1E">
        <w:trPr>
          <w:trHeight w:val="585"/>
        </w:trPr>
        <w:tc>
          <w:tcPr>
            <w:tcW w:w="1980" w:type="dxa"/>
            <w:shd w:val="clear" w:color="auto" w:fill="CCCCCC"/>
            <w:vAlign w:val="center"/>
          </w:tcPr>
          <w:p w14:paraId="6D89E4F2" w14:textId="77777777" w:rsidR="00C87E1E" w:rsidRPr="001766B2" w:rsidRDefault="00C87E1E" w:rsidP="00C87E1E">
            <w:pPr>
              <w:spacing w:before="60" w:after="60" w:line="200" w:lineRule="exact"/>
              <w:jc w:val="center"/>
              <w:rPr>
                <w:b/>
                <w:noProof/>
                <w:sz w:val="16"/>
                <w:szCs w:val="16"/>
              </w:rPr>
            </w:pPr>
            <w:r w:rsidRPr="001766B2">
              <w:rPr>
                <w:b/>
                <w:noProof/>
                <w:sz w:val="16"/>
              </w:rPr>
              <w:t xml:space="preserve">Delsumma </w:t>
            </w:r>
            <w:r w:rsidRPr="001766B2">
              <w:rPr>
                <w:noProof/>
              </w:rPr>
              <w:t xml:space="preserve"> </w:t>
            </w:r>
            <w:r w:rsidRPr="001766B2">
              <w:rPr>
                <w:noProof/>
              </w:rPr>
              <w:br/>
            </w:r>
            <w:r w:rsidRPr="001766B2">
              <w:rPr>
                <w:b/>
                <w:noProof/>
                <w:sz w:val="16"/>
              </w:rPr>
              <w:t>utanför RUBRIK 7</w:t>
            </w:r>
            <w:r w:rsidRPr="001766B2">
              <w:rPr>
                <w:noProof/>
              </w:rPr>
              <w:t xml:space="preserve"> </w:t>
            </w:r>
            <w:r w:rsidRPr="001766B2">
              <w:rPr>
                <w:noProof/>
              </w:rPr>
              <w:br/>
            </w:r>
            <w:r w:rsidRPr="001766B2">
              <w:rPr>
                <w:b/>
                <w:noProof/>
                <w:sz w:val="16"/>
              </w:rPr>
              <w:t xml:space="preserve">i den fleråriga budgetramen </w:t>
            </w:r>
          </w:p>
        </w:tc>
        <w:tc>
          <w:tcPr>
            <w:tcW w:w="1080" w:type="dxa"/>
            <w:vAlign w:val="center"/>
          </w:tcPr>
          <w:p w14:paraId="5E21083B"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3445A410"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EB3D17A"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03782318"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32E7073E"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640D9FDA" w14:textId="77777777" w:rsidR="00C87E1E" w:rsidRPr="001766B2" w:rsidRDefault="00C87E1E" w:rsidP="00C87E1E">
            <w:pPr>
              <w:spacing w:before="60" w:after="60" w:line="200" w:lineRule="exact"/>
              <w:jc w:val="right"/>
              <w:rPr>
                <w:noProof/>
                <w:sz w:val="16"/>
                <w:szCs w:val="16"/>
                <w:lang w:eastAsia="en-GB"/>
              </w:rPr>
            </w:pPr>
          </w:p>
        </w:tc>
        <w:tc>
          <w:tcPr>
            <w:tcW w:w="1080" w:type="dxa"/>
            <w:vAlign w:val="center"/>
          </w:tcPr>
          <w:p w14:paraId="79BA4F39" w14:textId="77777777" w:rsidR="00C87E1E" w:rsidRPr="001766B2" w:rsidRDefault="00C87E1E" w:rsidP="00C87E1E">
            <w:pPr>
              <w:spacing w:before="60" w:after="60" w:line="200" w:lineRule="exact"/>
              <w:jc w:val="right"/>
              <w:rPr>
                <w:b/>
                <w:noProof/>
                <w:sz w:val="16"/>
                <w:szCs w:val="16"/>
                <w:lang w:eastAsia="en-GB"/>
              </w:rPr>
            </w:pPr>
          </w:p>
        </w:tc>
        <w:tc>
          <w:tcPr>
            <w:tcW w:w="1080" w:type="dxa"/>
            <w:vAlign w:val="center"/>
          </w:tcPr>
          <w:p w14:paraId="7B7E4686" w14:textId="77777777" w:rsidR="00C87E1E" w:rsidRPr="001766B2" w:rsidRDefault="00C87E1E" w:rsidP="00C87E1E">
            <w:pPr>
              <w:spacing w:before="60" w:after="60" w:line="200" w:lineRule="exact"/>
              <w:jc w:val="right"/>
              <w:rPr>
                <w:b/>
                <w:noProof/>
                <w:sz w:val="16"/>
                <w:szCs w:val="16"/>
                <w:lang w:eastAsia="en-GB"/>
              </w:rPr>
            </w:pPr>
          </w:p>
        </w:tc>
      </w:tr>
    </w:tbl>
    <w:p w14:paraId="47267F0F" w14:textId="77777777" w:rsidR="00C87E1E" w:rsidRPr="001766B2" w:rsidRDefault="00C87E1E" w:rsidP="00C87E1E">
      <w:pPr>
        <w:spacing w:line="200" w:lineRule="exact"/>
        <w:rPr>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1766B2" w14:paraId="3FF384DC" w14:textId="77777777" w:rsidTr="00C87E1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AE5341F" w14:textId="77777777" w:rsidR="00C87E1E" w:rsidRPr="001766B2" w:rsidRDefault="00C87E1E" w:rsidP="00C87E1E">
            <w:pPr>
              <w:spacing w:before="60" w:after="60" w:line="200" w:lineRule="exact"/>
              <w:jc w:val="center"/>
              <w:rPr>
                <w:noProof/>
                <w:sz w:val="16"/>
                <w:szCs w:val="16"/>
              </w:rPr>
            </w:pPr>
            <w:r w:rsidRPr="001766B2">
              <w:rPr>
                <w:b/>
                <w:noProof/>
                <w:sz w:val="16"/>
              </w:rPr>
              <w:t>TOTALT</w:t>
            </w:r>
          </w:p>
        </w:tc>
        <w:tc>
          <w:tcPr>
            <w:tcW w:w="1080" w:type="dxa"/>
            <w:tcBorders>
              <w:top w:val="single" w:sz="12" w:space="0" w:color="auto"/>
              <w:left w:val="single" w:sz="2" w:space="0" w:color="auto"/>
              <w:bottom w:val="single" w:sz="12" w:space="0" w:color="auto"/>
              <w:right w:val="single" w:sz="2" w:space="0" w:color="auto"/>
            </w:tcBorders>
            <w:vAlign w:val="center"/>
          </w:tcPr>
          <w:p w14:paraId="360D62A7"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3A8E6EE5"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054112F3"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C8099E5"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5C9CA0B6"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7FCE3AA2"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5AC54DC" w14:textId="77777777" w:rsidR="00C87E1E" w:rsidRPr="001766B2"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14:paraId="5F404713" w14:textId="77777777" w:rsidR="00C87E1E" w:rsidRPr="001766B2" w:rsidRDefault="00C87E1E" w:rsidP="00C87E1E">
            <w:pPr>
              <w:spacing w:before="60" w:after="60" w:line="200" w:lineRule="exact"/>
              <w:jc w:val="right"/>
              <w:rPr>
                <w:b/>
                <w:noProof/>
                <w:sz w:val="16"/>
                <w:szCs w:val="16"/>
                <w:lang w:eastAsia="en-GB"/>
              </w:rPr>
            </w:pPr>
          </w:p>
        </w:tc>
      </w:tr>
    </w:tbl>
    <w:p w14:paraId="7C3CC768" w14:textId="77777777" w:rsidR="00C87E1E" w:rsidRPr="001766B2" w:rsidRDefault="00C87E1E" w:rsidP="00C87E1E">
      <w:pPr>
        <w:rPr>
          <w:noProof/>
          <w:sz w:val="18"/>
        </w:rPr>
      </w:pPr>
      <w:r w:rsidRPr="001766B2">
        <w:rPr>
          <w:noProof/>
          <w:sz w:val="18"/>
        </w:rPr>
        <w:t>Personalbehov och andra administrativa kostnader ska täckas genom anslag inom generaldirektoratet vilka redan har avdelats för förvaltningen av åtgärden i fråga, eller genom en omfördelning av anslag inom generaldirektoratet, om så krävs kompletterad med ytterligare resurser som kan tilldelas det förvaltande generaldirektoratet som ett led i det årliga förfarandet för tilldelning av anslag och med hänsyn tagen till begränsningar i fråga om budgetmedel.</w:t>
      </w:r>
    </w:p>
    <w:p w14:paraId="42BAD8AB" w14:textId="77777777" w:rsidR="00C87E1E" w:rsidRPr="001766B2" w:rsidRDefault="00C87E1E" w:rsidP="00C87E1E">
      <w:pPr>
        <w:rPr>
          <w:noProof/>
          <w:sz w:val="18"/>
          <w:lang w:eastAsia="en-GB"/>
        </w:rPr>
        <w:sectPr w:rsidR="00C87E1E" w:rsidRPr="001766B2" w:rsidSect="00151ECD">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1516E394" w14:textId="77777777" w:rsidR="00C87E1E" w:rsidRPr="001766B2" w:rsidRDefault="00C87E1E" w:rsidP="00FB18F4">
      <w:pPr>
        <w:keepNext/>
        <w:outlineLvl w:val="3"/>
        <w:rPr>
          <w:rFonts w:eastAsiaTheme="majorEastAsia"/>
          <w:iCs/>
          <w:noProof/>
          <w:szCs w:val="24"/>
        </w:rPr>
      </w:pPr>
      <w:r w:rsidRPr="001766B2">
        <w:rPr>
          <w:noProof/>
        </w:rPr>
        <w:t xml:space="preserve">Beräknat personalbehov </w:t>
      </w:r>
    </w:p>
    <w:p w14:paraId="2A2554DF" w14:textId="77777777" w:rsidR="00C87E1E" w:rsidRPr="001766B2" w:rsidRDefault="00C87E1E" w:rsidP="00C87E1E">
      <w:pPr>
        <w:tabs>
          <w:tab w:val="num" w:pos="1134"/>
        </w:tabs>
        <w:ind w:left="1134" w:hanging="283"/>
        <w:rPr>
          <w:noProof/>
        </w:rPr>
      </w:pPr>
      <w:r w:rsidRPr="001766B2">
        <w:rPr>
          <w:b/>
          <w:noProof/>
        </w:rPr>
        <w:t>X</w:t>
      </w:r>
      <w:r w:rsidRPr="001766B2">
        <w:rPr>
          <w:noProof/>
        </w:rPr>
        <w:tab/>
        <w:t xml:space="preserve">Förslaget/initiativet kräver inte att personalresurser tas i anspråk </w:t>
      </w:r>
    </w:p>
    <w:p w14:paraId="7535BA03" w14:textId="77777777" w:rsidR="00C87E1E" w:rsidRPr="001766B2" w:rsidRDefault="00C87E1E" w:rsidP="00C87E1E">
      <w:pPr>
        <w:tabs>
          <w:tab w:val="num" w:pos="1134"/>
        </w:tabs>
        <w:ind w:left="1134" w:hanging="283"/>
        <w:rPr>
          <w:noProof/>
        </w:rPr>
      </w:pPr>
      <w:r w:rsidRPr="001766B2">
        <w:rPr>
          <w:noProof/>
        </w:rPr>
        <w:sym w:font="Wingdings" w:char="F0A8"/>
      </w:r>
      <w:r w:rsidRPr="001766B2">
        <w:rPr>
          <w:noProof/>
        </w:rPr>
        <w:tab/>
        <w:t>Förslaget/initiativet kräver att personalresurser tas i anspråk enligt följande:</w:t>
      </w:r>
    </w:p>
    <w:p w14:paraId="292DFE7A" w14:textId="77777777" w:rsidR="00C87E1E" w:rsidRPr="001766B2" w:rsidRDefault="00C87E1E" w:rsidP="00C87E1E">
      <w:pPr>
        <w:spacing w:after="60"/>
        <w:jc w:val="right"/>
        <w:rPr>
          <w:i/>
          <w:noProof/>
          <w:sz w:val="20"/>
        </w:rPr>
      </w:pPr>
      <w:r w:rsidRPr="001766B2">
        <w:rPr>
          <w:i/>
          <w:noProof/>
          <w:sz w:val="20"/>
        </w:rPr>
        <w:t>Beräkningarna ska anges i heltidsekvivalenter</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87E1E" w:rsidRPr="001766B2" w14:paraId="6846498E" w14:textId="77777777" w:rsidTr="00C87E1E">
        <w:trPr>
          <w:gridBefore w:val="1"/>
          <w:wBefore w:w="15" w:type="dxa"/>
          <w:trHeight w:val="289"/>
          <w:jc w:val="center"/>
        </w:trPr>
        <w:tc>
          <w:tcPr>
            <w:tcW w:w="4754" w:type="dxa"/>
            <w:gridSpan w:val="2"/>
            <w:shd w:val="clear" w:color="auto" w:fill="auto"/>
          </w:tcPr>
          <w:p w14:paraId="64884BAF" w14:textId="77777777" w:rsidR="00C87E1E" w:rsidRPr="001766B2" w:rsidRDefault="00C87E1E" w:rsidP="00362810">
            <w:pPr>
              <w:numPr>
                <w:ilvl w:val="0"/>
                <w:numId w:val="10"/>
              </w:numPr>
              <w:tabs>
                <w:tab w:val="clear" w:pos="1134"/>
                <w:tab w:val="num" w:pos="360"/>
              </w:tabs>
              <w:spacing w:before="40" w:after="40"/>
              <w:ind w:left="0" w:firstLine="0"/>
              <w:jc w:val="center"/>
              <w:rPr>
                <w:i/>
                <w:noProof/>
                <w:sz w:val="16"/>
                <w:szCs w:val="16"/>
                <w:lang w:eastAsia="en-GB"/>
              </w:rPr>
            </w:pPr>
          </w:p>
        </w:tc>
        <w:tc>
          <w:tcPr>
            <w:tcW w:w="731" w:type="dxa"/>
            <w:shd w:val="clear" w:color="auto" w:fill="auto"/>
            <w:vAlign w:val="center"/>
          </w:tcPr>
          <w:p w14:paraId="5BCC6FB5" w14:textId="77777777" w:rsidR="00C87E1E" w:rsidRPr="001766B2" w:rsidRDefault="00C87E1E" w:rsidP="00C87E1E">
            <w:pPr>
              <w:spacing w:before="20" w:after="20"/>
              <w:jc w:val="center"/>
              <w:rPr>
                <w:noProof/>
                <w:sz w:val="16"/>
                <w:szCs w:val="16"/>
              </w:rPr>
            </w:pPr>
            <w:r w:rsidRPr="001766B2">
              <w:rPr>
                <w:noProof/>
                <w:sz w:val="16"/>
              </w:rPr>
              <w:t>År</w:t>
            </w:r>
            <w:r w:rsidRPr="001766B2">
              <w:rPr>
                <w:noProof/>
              </w:rPr>
              <w:t xml:space="preserve"> </w:t>
            </w:r>
            <w:r w:rsidRPr="001766B2">
              <w:rPr>
                <w:noProof/>
              </w:rPr>
              <w:br/>
            </w:r>
            <w:r w:rsidRPr="001766B2">
              <w:rPr>
                <w:b/>
                <w:noProof/>
                <w:sz w:val="16"/>
              </w:rPr>
              <w:t>N</w:t>
            </w:r>
          </w:p>
        </w:tc>
        <w:tc>
          <w:tcPr>
            <w:tcW w:w="731" w:type="dxa"/>
            <w:shd w:val="clear" w:color="auto" w:fill="auto"/>
            <w:vAlign w:val="center"/>
          </w:tcPr>
          <w:p w14:paraId="4CE66B9D" w14:textId="77777777" w:rsidR="00C87E1E" w:rsidRPr="001766B2" w:rsidRDefault="00C87E1E" w:rsidP="00C87E1E">
            <w:pPr>
              <w:spacing w:before="20" w:after="20"/>
              <w:jc w:val="center"/>
              <w:rPr>
                <w:noProof/>
                <w:sz w:val="16"/>
                <w:szCs w:val="16"/>
              </w:rPr>
            </w:pPr>
            <w:r w:rsidRPr="001766B2">
              <w:rPr>
                <w:noProof/>
                <w:sz w:val="16"/>
              </w:rPr>
              <w:t>År</w:t>
            </w:r>
            <w:r w:rsidRPr="001766B2">
              <w:rPr>
                <w:noProof/>
              </w:rPr>
              <w:t xml:space="preserve"> </w:t>
            </w:r>
            <w:r w:rsidRPr="001766B2">
              <w:rPr>
                <w:noProof/>
              </w:rPr>
              <w:br/>
            </w:r>
            <w:r w:rsidRPr="001766B2">
              <w:rPr>
                <w:b/>
                <w:noProof/>
                <w:sz w:val="16"/>
              </w:rPr>
              <w:t>N+1</w:t>
            </w:r>
          </w:p>
        </w:tc>
        <w:tc>
          <w:tcPr>
            <w:tcW w:w="731" w:type="dxa"/>
            <w:shd w:val="clear" w:color="auto" w:fill="auto"/>
            <w:vAlign w:val="center"/>
          </w:tcPr>
          <w:p w14:paraId="3EBB3F5A" w14:textId="77777777" w:rsidR="00C87E1E" w:rsidRPr="001766B2" w:rsidRDefault="00C87E1E" w:rsidP="00C87E1E">
            <w:pPr>
              <w:spacing w:before="20" w:after="20"/>
              <w:jc w:val="center"/>
              <w:rPr>
                <w:noProof/>
                <w:sz w:val="16"/>
                <w:szCs w:val="16"/>
              </w:rPr>
            </w:pPr>
            <w:r w:rsidRPr="001766B2">
              <w:rPr>
                <w:noProof/>
                <w:sz w:val="16"/>
              </w:rPr>
              <w:t xml:space="preserve">År </w:t>
            </w:r>
            <w:r w:rsidRPr="001766B2">
              <w:rPr>
                <w:b/>
                <w:noProof/>
                <w:sz w:val="16"/>
              </w:rPr>
              <w:t>N+2</w:t>
            </w:r>
          </w:p>
        </w:tc>
        <w:tc>
          <w:tcPr>
            <w:tcW w:w="731" w:type="dxa"/>
            <w:shd w:val="clear" w:color="auto" w:fill="auto"/>
            <w:vAlign w:val="center"/>
          </w:tcPr>
          <w:p w14:paraId="307A26F4" w14:textId="77777777" w:rsidR="00C87E1E" w:rsidRPr="001766B2" w:rsidRDefault="00C87E1E" w:rsidP="00C87E1E">
            <w:pPr>
              <w:spacing w:before="20" w:after="20"/>
              <w:jc w:val="center"/>
              <w:rPr>
                <w:noProof/>
                <w:sz w:val="16"/>
                <w:szCs w:val="16"/>
              </w:rPr>
            </w:pPr>
            <w:r w:rsidRPr="001766B2">
              <w:rPr>
                <w:noProof/>
                <w:sz w:val="16"/>
              </w:rPr>
              <w:t xml:space="preserve">År </w:t>
            </w:r>
            <w:r w:rsidRPr="001766B2">
              <w:rPr>
                <w:b/>
                <w:noProof/>
                <w:sz w:val="16"/>
              </w:rPr>
              <w:t>N+3</w:t>
            </w:r>
          </w:p>
        </w:tc>
        <w:tc>
          <w:tcPr>
            <w:tcW w:w="2193" w:type="dxa"/>
            <w:gridSpan w:val="3"/>
            <w:shd w:val="clear" w:color="auto" w:fill="auto"/>
            <w:vAlign w:val="center"/>
          </w:tcPr>
          <w:p w14:paraId="59352E83" w14:textId="77777777" w:rsidR="00C87E1E" w:rsidRPr="001766B2" w:rsidRDefault="00C87E1E" w:rsidP="00C87E1E">
            <w:pPr>
              <w:jc w:val="center"/>
              <w:rPr>
                <w:b/>
                <w:noProof/>
                <w:sz w:val="16"/>
                <w:szCs w:val="16"/>
              </w:rPr>
            </w:pPr>
            <w:r w:rsidRPr="001766B2">
              <w:rPr>
                <w:noProof/>
                <w:sz w:val="16"/>
              </w:rPr>
              <w:t>För in så många år som behövs för att redovisa varaktigheten för inverkan på resursanvändningen (jfr punkt 1.6)</w:t>
            </w:r>
          </w:p>
        </w:tc>
      </w:tr>
      <w:tr w:rsidR="00C87E1E" w:rsidRPr="001766B2" w14:paraId="4312C309" w14:textId="77777777" w:rsidTr="00C87E1E">
        <w:trPr>
          <w:gridBefore w:val="1"/>
          <w:wBefore w:w="15" w:type="dxa"/>
          <w:trHeight w:val="289"/>
          <w:jc w:val="center"/>
        </w:trPr>
        <w:tc>
          <w:tcPr>
            <w:tcW w:w="9871" w:type="dxa"/>
            <w:gridSpan w:val="9"/>
            <w:shd w:val="clear" w:color="auto" w:fill="auto"/>
          </w:tcPr>
          <w:p w14:paraId="6B80B0FD" w14:textId="77777777" w:rsidR="00C87E1E" w:rsidRPr="001766B2" w:rsidRDefault="00C87E1E" w:rsidP="00C87E1E">
            <w:pPr>
              <w:jc w:val="left"/>
              <w:rPr>
                <w:noProof/>
                <w:sz w:val="16"/>
                <w:szCs w:val="16"/>
              </w:rPr>
            </w:pPr>
            <w:r w:rsidRPr="001766B2">
              <w:rPr>
                <w:b/>
                <w:noProof/>
                <w:sz w:val="16"/>
              </w:rPr>
              <w:sym w:font="Wingdings" w:char="F09F"/>
            </w:r>
            <w:r w:rsidRPr="001766B2">
              <w:rPr>
                <w:b/>
                <w:noProof/>
                <w:sz w:val="16"/>
              </w:rPr>
              <w:t xml:space="preserve"> Tjänster som tas upp i tjänsteförteckningen (tjänstemän och tillfälligt anställda)</w:t>
            </w:r>
          </w:p>
        </w:tc>
      </w:tr>
      <w:tr w:rsidR="00C87E1E" w:rsidRPr="001766B2" w14:paraId="7DBDF034" w14:textId="77777777" w:rsidTr="00C87E1E">
        <w:trPr>
          <w:gridBefore w:val="1"/>
          <w:wBefore w:w="15" w:type="dxa"/>
          <w:trHeight w:val="289"/>
          <w:jc w:val="center"/>
        </w:trPr>
        <w:tc>
          <w:tcPr>
            <w:tcW w:w="4754" w:type="dxa"/>
            <w:gridSpan w:val="2"/>
            <w:shd w:val="clear" w:color="auto" w:fill="auto"/>
            <w:vAlign w:val="center"/>
          </w:tcPr>
          <w:p w14:paraId="41D1041D" w14:textId="77777777" w:rsidR="00C87E1E" w:rsidRPr="001766B2" w:rsidRDefault="00C87E1E" w:rsidP="00362810">
            <w:pPr>
              <w:numPr>
                <w:ilvl w:val="0"/>
                <w:numId w:val="10"/>
              </w:numPr>
              <w:tabs>
                <w:tab w:val="clear" w:pos="1134"/>
                <w:tab w:val="num" w:pos="360"/>
              </w:tabs>
              <w:spacing w:beforeLines="20" w:before="48" w:afterLines="20" w:after="48"/>
              <w:ind w:left="134" w:firstLine="0"/>
              <w:jc w:val="left"/>
              <w:rPr>
                <w:b/>
                <w:noProof/>
                <w:sz w:val="16"/>
                <w:szCs w:val="16"/>
              </w:rPr>
            </w:pPr>
            <w:r w:rsidRPr="001766B2">
              <w:rPr>
                <w:noProof/>
                <w:sz w:val="16"/>
              </w:rPr>
              <w:t>20 01 02 01 (vid huvudkontoret eller vid kommissionens kontor i medlemsstaterna)</w:t>
            </w:r>
          </w:p>
        </w:tc>
        <w:tc>
          <w:tcPr>
            <w:tcW w:w="731" w:type="dxa"/>
            <w:shd w:val="clear" w:color="auto" w:fill="auto"/>
            <w:vAlign w:val="center"/>
          </w:tcPr>
          <w:p w14:paraId="0A97B032"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4F119A"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C633DEE"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64B860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61F86A"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83B8A0"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74E9BDA"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29DFA1D4" w14:textId="77777777" w:rsidTr="00C87E1E">
        <w:trPr>
          <w:gridBefore w:val="1"/>
          <w:wBefore w:w="15" w:type="dxa"/>
          <w:trHeight w:val="289"/>
          <w:jc w:val="center"/>
        </w:trPr>
        <w:tc>
          <w:tcPr>
            <w:tcW w:w="4754" w:type="dxa"/>
            <w:gridSpan w:val="2"/>
            <w:shd w:val="clear" w:color="auto" w:fill="auto"/>
            <w:vAlign w:val="center"/>
          </w:tcPr>
          <w:p w14:paraId="7AB4FE50" w14:textId="77777777" w:rsidR="00C87E1E" w:rsidRPr="001766B2"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1766B2">
              <w:rPr>
                <w:noProof/>
                <w:sz w:val="16"/>
              </w:rPr>
              <w:t>20 01 02 03 (vid delegationer)</w:t>
            </w:r>
          </w:p>
        </w:tc>
        <w:tc>
          <w:tcPr>
            <w:tcW w:w="731" w:type="dxa"/>
            <w:shd w:val="clear" w:color="auto" w:fill="auto"/>
            <w:vAlign w:val="center"/>
          </w:tcPr>
          <w:p w14:paraId="0C8D33F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00FF3D6"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F0A0F71"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F2C7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B59462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AE4B16B"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76FD4A"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2697A6EA" w14:textId="77777777" w:rsidTr="00C87E1E">
        <w:trPr>
          <w:gridBefore w:val="1"/>
          <w:wBefore w:w="15" w:type="dxa"/>
          <w:trHeight w:val="289"/>
          <w:jc w:val="center"/>
        </w:trPr>
        <w:tc>
          <w:tcPr>
            <w:tcW w:w="4754" w:type="dxa"/>
            <w:gridSpan w:val="2"/>
            <w:shd w:val="clear" w:color="auto" w:fill="auto"/>
            <w:vAlign w:val="center"/>
          </w:tcPr>
          <w:p w14:paraId="0350005D" w14:textId="77777777" w:rsidR="00C87E1E" w:rsidRPr="001766B2"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1766B2">
              <w:rPr>
                <w:noProof/>
                <w:sz w:val="16"/>
              </w:rPr>
              <w:t>01 01 01 01 (indirekta forskningsåtgärder)</w:t>
            </w:r>
          </w:p>
        </w:tc>
        <w:tc>
          <w:tcPr>
            <w:tcW w:w="731" w:type="dxa"/>
            <w:shd w:val="clear" w:color="auto" w:fill="auto"/>
            <w:vAlign w:val="center"/>
          </w:tcPr>
          <w:p w14:paraId="2F2A98B3"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030C541"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A0BF7E6"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320F9D"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38DEACE"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75A28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9E9BA2A"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21E8E491" w14:textId="77777777" w:rsidTr="00C87E1E">
        <w:trPr>
          <w:gridBefore w:val="1"/>
          <w:wBefore w:w="15" w:type="dxa"/>
          <w:trHeight w:val="289"/>
          <w:jc w:val="center"/>
        </w:trPr>
        <w:tc>
          <w:tcPr>
            <w:tcW w:w="4754" w:type="dxa"/>
            <w:gridSpan w:val="2"/>
            <w:shd w:val="clear" w:color="auto" w:fill="auto"/>
            <w:vAlign w:val="center"/>
          </w:tcPr>
          <w:p w14:paraId="22EB27B1" w14:textId="77777777" w:rsidR="00C87E1E" w:rsidRPr="001766B2"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1766B2">
              <w:rPr>
                <w:noProof/>
                <w:sz w:val="16"/>
              </w:rPr>
              <w:t xml:space="preserve"> 01 01 01 11 (direkta forskningsåtgärder)</w:t>
            </w:r>
          </w:p>
        </w:tc>
        <w:tc>
          <w:tcPr>
            <w:tcW w:w="731" w:type="dxa"/>
            <w:shd w:val="clear" w:color="auto" w:fill="auto"/>
            <w:vAlign w:val="center"/>
          </w:tcPr>
          <w:p w14:paraId="325E6C1F"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B66AB4A"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CC62167"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7FC5F6F"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E5F831"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C6F6BF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8D6F04"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69744DC4" w14:textId="77777777" w:rsidTr="00C87E1E">
        <w:trPr>
          <w:gridBefore w:val="1"/>
          <w:wBefore w:w="15" w:type="dxa"/>
          <w:trHeight w:val="289"/>
          <w:jc w:val="center"/>
        </w:trPr>
        <w:tc>
          <w:tcPr>
            <w:tcW w:w="4754" w:type="dxa"/>
            <w:gridSpan w:val="2"/>
            <w:shd w:val="clear" w:color="auto" w:fill="auto"/>
            <w:vAlign w:val="center"/>
          </w:tcPr>
          <w:p w14:paraId="7E9548AB" w14:textId="77777777" w:rsidR="00C87E1E" w:rsidRPr="001766B2"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1766B2">
              <w:rPr>
                <w:noProof/>
                <w:sz w:val="16"/>
              </w:rPr>
              <w:t>Annan budgetrubrik (ange vilken)</w:t>
            </w:r>
          </w:p>
        </w:tc>
        <w:tc>
          <w:tcPr>
            <w:tcW w:w="731" w:type="dxa"/>
            <w:shd w:val="clear" w:color="auto" w:fill="auto"/>
            <w:vAlign w:val="center"/>
          </w:tcPr>
          <w:p w14:paraId="4011B897"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E34510"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3DD1FDF"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51C9C8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ADFB2E"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E89CB2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743A742"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60FC767B" w14:textId="77777777" w:rsidTr="00C87E1E">
        <w:trPr>
          <w:trHeight w:val="248"/>
          <w:jc w:val="center"/>
        </w:trPr>
        <w:tc>
          <w:tcPr>
            <w:tcW w:w="9886" w:type="dxa"/>
            <w:gridSpan w:val="10"/>
            <w:shd w:val="clear" w:color="auto" w:fill="auto"/>
            <w:vAlign w:val="center"/>
          </w:tcPr>
          <w:p w14:paraId="2DD83A49" w14:textId="77777777" w:rsidR="00C87E1E" w:rsidRPr="001766B2" w:rsidRDefault="00C87E1E" w:rsidP="00362810">
            <w:pPr>
              <w:numPr>
                <w:ilvl w:val="0"/>
                <w:numId w:val="10"/>
              </w:numPr>
              <w:tabs>
                <w:tab w:val="clear" w:pos="1134"/>
                <w:tab w:val="num" w:pos="360"/>
              </w:tabs>
              <w:spacing w:before="60" w:after="60"/>
              <w:ind w:left="0" w:firstLine="0"/>
              <w:jc w:val="left"/>
              <w:rPr>
                <w:b/>
                <w:noProof/>
                <w:sz w:val="16"/>
                <w:szCs w:val="16"/>
              </w:rPr>
            </w:pPr>
            <w:r w:rsidRPr="001766B2">
              <w:rPr>
                <w:b/>
                <w:noProof/>
                <w:sz w:val="16"/>
              </w:rPr>
              <w:sym w:font="Wingdings" w:char="F09F"/>
            </w:r>
            <w:r w:rsidRPr="001766B2">
              <w:rPr>
                <w:b/>
                <w:noProof/>
                <w:sz w:val="16"/>
              </w:rPr>
              <w:t xml:space="preserve"> Extern personal (i heltidsekvivalenter)</w:t>
            </w:r>
            <w:r w:rsidRPr="001766B2">
              <w:rPr>
                <w:rStyle w:val="FootnoteReference"/>
                <w:noProof/>
              </w:rPr>
              <w:footnoteReference w:id="30"/>
            </w:r>
          </w:p>
          <w:p w14:paraId="5B40D371" w14:textId="77777777" w:rsidR="00C87E1E" w:rsidRPr="001766B2" w:rsidRDefault="00C87E1E" w:rsidP="00362810">
            <w:pPr>
              <w:numPr>
                <w:ilvl w:val="0"/>
                <w:numId w:val="10"/>
              </w:numPr>
              <w:tabs>
                <w:tab w:val="clear" w:pos="1134"/>
                <w:tab w:val="num" w:pos="360"/>
              </w:tabs>
              <w:spacing w:before="0" w:after="0"/>
              <w:ind w:left="0" w:firstLine="0"/>
              <w:jc w:val="left"/>
              <w:rPr>
                <w:noProof/>
                <w:sz w:val="16"/>
                <w:szCs w:val="16"/>
                <w:lang w:eastAsia="en-GB"/>
              </w:rPr>
            </w:pPr>
          </w:p>
        </w:tc>
      </w:tr>
      <w:tr w:rsidR="00C87E1E" w:rsidRPr="001766B2" w14:paraId="4717C869" w14:textId="77777777" w:rsidTr="00C87E1E">
        <w:trPr>
          <w:gridBefore w:val="1"/>
          <w:wBefore w:w="15" w:type="dxa"/>
          <w:trHeight w:val="289"/>
          <w:jc w:val="center"/>
        </w:trPr>
        <w:tc>
          <w:tcPr>
            <w:tcW w:w="4754" w:type="dxa"/>
            <w:gridSpan w:val="2"/>
            <w:shd w:val="clear" w:color="auto" w:fill="auto"/>
            <w:vAlign w:val="center"/>
          </w:tcPr>
          <w:p w14:paraId="505A441E"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766B2">
              <w:rPr>
                <w:noProof/>
                <w:sz w:val="16"/>
              </w:rPr>
              <w:t>20 02 01 (kontraktsanställda, nationella experter och vikarier finansierade genom ramanslaget)</w:t>
            </w:r>
          </w:p>
        </w:tc>
        <w:tc>
          <w:tcPr>
            <w:tcW w:w="731" w:type="dxa"/>
            <w:shd w:val="clear" w:color="auto" w:fill="auto"/>
            <w:vAlign w:val="center"/>
          </w:tcPr>
          <w:p w14:paraId="31F42145"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DAD1CE5"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53A6C4F"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D59FAE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C230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D9721A"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EFB3B1E"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3415C48D" w14:textId="77777777" w:rsidTr="00C87E1E">
        <w:trPr>
          <w:gridBefore w:val="1"/>
          <w:wBefore w:w="15" w:type="dxa"/>
          <w:trHeight w:val="289"/>
          <w:jc w:val="center"/>
        </w:trPr>
        <w:tc>
          <w:tcPr>
            <w:tcW w:w="4754" w:type="dxa"/>
            <w:gridSpan w:val="2"/>
            <w:shd w:val="clear" w:color="auto" w:fill="auto"/>
            <w:vAlign w:val="center"/>
          </w:tcPr>
          <w:p w14:paraId="76704E2A"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1766B2">
              <w:rPr>
                <w:noProof/>
                <w:sz w:val="16"/>
              </w:rPr>
              <w:t>20 02 03 (kontraktsanställda, lokalanställda, nationella experter, vikarier och unga experter som tjänstgör vid delegationerna)</w:t>
            </w:r>
          </w:p>
        </w:tc>
        <w:tc>
          <w:tcPr>
            <w:tcW w:w="731" w:type="dxa"/>
            <w:shd w:val="clear" w:color="auto" w:fill="auto"/>
            <w:vAlign w:val="center"/>
          </w:tcPr>
          <w:p w14:paraId="4D73A24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8259C4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5E8BD11"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CA9D8EB"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F37B80"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D5A5F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44C7447"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074AC136" w14:textId="77777777" w:rsidTr="00C87E1E">
        <w:trPr>
          <w:gridBefore w:val="1"/>
          <w:wBefore w:w="15" w:type="dxa"/>
          <w:trHeight w:val="289"/>
          <w:jc w:val="center"/>
        </w:trPr>
        <w:tc>
          <w:tcPr>
            <w:tcW w:w="2376" w:type="dxa"/>
            <w:vMerge w:val="restart"/>
            <w:shd w:val="clear" w:color="auto" w:fill="auto"/>
            <w:vAlign w:val="center"/>
          </w:tcPr>
          <w:p w14:paraId="42221955"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766B2">
              <w:rPr>
                <w:b/>
                <w:noProof/>
                <w:sz w:val="16"/>
              </w:rPr>
              <w:t>XX</w:t>
            </w:r>
            <w:r w:rsidRPr="001766B2">
              <w:rPr>
                <w:noProof/>
                <w:sz w:val="16"/>
              </w:rPr>
              <w:t xml:space="preserve"> 01  xx </w:t>
            </w:r>
            <w:r w:rsidRPr="001766B2">
              <w:rPr>
                <w:b/>
                <w:noProof/>
                <w:sz w:val="16"/>
              </w:rPr>
              <w:t xml:space="preserve">yy zz </w:t>
            </w:r>
            <w:r w:rsidRPr="001766B2">
              <w:rPr>
                <w:b/>
                <w:i/>
                <w:noProof/>
                <w:sz w:val="16"/>
              </w:rPr>
              <w:t xml:space="preserve"> </w:t>
            </w:r>
            <w:r w:rsidRPr="001766B2">
              <w:rPr>
                <w:rStyle w:val="FootnoteReference"/>
                <w:noProof/>
              </w:rPr>
              <w:footnoteReference w:id="31"/>
            </w:r>
          </w:p>
          <w:p w14:paraId="3132AFFD"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00965C26"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766B2">
              <w:rPr>
                <w:noProof/>
                <w:sz w:val="16"/>
              </w:rPr>
              <w:t>- vid huvudkontoret</w:t>
            </w:r>
          </w:p>
          <w:p w14:paraId="2359CC1D"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731" w:type="dxa"/>
            <w:shd w:val="clear" w:color="auto" w:fill="auto"/>
            <w:vAlign w:val="center"/>
          </w:tcPr>
          <w:p w14:paraId="46F831C1" w14:textId="77777777" w:rsidR="00C87E1E" w:rsidRPr="001766B2"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3A99877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EEE3021"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B9244E"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3B26E4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F3E28A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EAABE13"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5B9AB785" w14:textId="77777777" w:rsidTr="00C87E1E">
        <w:trPr>
          <w:gridBefore w:val="1"/>
          <w:wBefore w:w="15" w:type="dxa"/>
          <w:trHeight w:val="289"/>
          <w:jc w:val="center"/>
        </w:trPr>
        <w:tc>
          <w:tcPr>
            <w:tcW w:w="2376" w:type="dxa"/>
            <w:vMerge/>
            <w:shd w:val="clear" w:color="auto" w:fill="auto"/>
            <w:vAlign w:val="center"/>
          </w:tcPr>
          <w:p w14:paraId="59E2F415"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72BA9DB2"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766B2">
              <w:rPr>
                <w:noProof/>
                <w:sz w:val="16"/>
              </w:rPr>
              <w:t xml:space="preserve">- vid delegationer </w:t>
            </w:r>
          </w:p>
        </w:tc>
        <w:tc>
          <w:tcPr>
            <w:tcW w:w="731" w:type="dxa"/>
            <w:shd w:val="clear" w:color="auto" w:fill="auto"/>
            <w:vAlign w:val="center"/>
          </w:tcPr>
          <w:p w14:paraId="7C40AE38" w14:textId="77777777" w:rsidR="00C87E1E" w:rsidRPr="001766B2"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5868A496"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17EED47"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D618E0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2920565"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6E5DAA5"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01B573"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15D842BF" w14:textId="77777777" w:rsidTr="00C87E1E">
        <w:trPr>
          <w:gridBefore w:val="1"/>
          <w:wBefore w:w="15" w:type="dxa"/>
          <w:trHeight w:val="289"/>
          <w:jc w:val="center"/>
        </w:trPr>
        <w:tc>
          <w:tcPr>
            <w:tcW w:w="4754" w:type="dxa"/>
            <w:gridSpan w:val="2"/>
            <w:shd w:val="clear" w:color="auto" w:fill="auto"/>
            <w:vAlign w:val="center"/>
          </w:tcPr>
          <w:p w14:paraId="597F52BD"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1766B2">
              <w:rPr>
                <w:noProof/>
                <w:sz w:val="16"/>
              </w:rPr>
              <w:t>01 01 01 02 (kontraktsanställda, vikarier och nationella experter som arbetar med indirekta forskningsåtgärder)</w:t>
            </w:r>
          </w:p>
        </w:tc>
        <w:tc>
          <w:tcPr>
            <w:tcW w:w="731" w:type="dxa"/>
            <w:shd w:val="clear" w:color="auto" w:fill="auto"/>
            <w:vAlign w:val="center"/>
          </w:tcPr>
          <w:p w14:paraId="04960C4F"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62D88B"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A19F58E"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0EE371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DC4DD93"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4753748"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FD69327"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734D9F74" w14:textId="77777777" w:rsidTr="00C87E1E">
        <w:trPr>
          <w:gridBefore w:val="1"/>
          <w:wBefore w:w="15" w:type="dxa"/>
          <w:trHeight w:val="289"/>
          <w:jc w:val="center"/>
        </w:trPr>
        <w:tc>
          <w:tcPr>
            <w:tcW w:w="4754" w:type="dxa"/>
            <w:gridSpan w:val="2"/>
            <w:shd w:val="clear" w:color="auto" w:fill="auto"/>
            <w:vAlign w:val="center"/>
          </w:tcPr>
          <w:p w14:paraId="24854B5E"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noProof/>
                <w:color w:val="FF0000"/>
                <w:sz w:val="16"/>
                <w:szCs w:val="16"/>
              </w:rPr>
            </w:pPr>
            <w:r w:rsidRPr="001766B2">
              <w:rPr>
                <w:noProof/>
                <w:sz w:val="16"/>
              </w:rPr>
              <w:t xml:space="preserve"> 01 01 01 12 (kontraktsanställda, vikarier och nationella experter som arbetar med direkta forskningsåtgärder)</w:t>
            </w:r>
          </w:p>
        </w:tc>
        <w:tc>
          <w:tcPr>
            <w:tcW w:w="731" w:type="dxa"/>
            <w:shd w:val="clear" w:color="auto" w:fill="auto"/>
            <w:vAlign w:val="center"/>
          </w:tcPr>
          <w:p w14:paraId="28A90E8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9FC994"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051FDD"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0A426BE"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46F2F7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7D16BC"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1DE2C12"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4F0DCD3F" w14:textId="77777777" w:rsidTr="00C87E1E">
        <w:trPr>
          <w:gridBefore w:val="1"/>
          <w:wBefore w:w="15" w:type="dxa"/>
          <w:trHeight w:val="289"/>
          <w:jc w:val="center"/>
        </w:trPr>
        <w:tc>
          <w:tcPr>
            <w:tcW w:w="4754" w:type="dxa"/>
            <w:gridSpan w:val="2"/>
            <w:shd w:val="clear" w:color="auto" w:fill="auto"/>
            <w:vAlign w:val="center"/>
          </w:tcPr>
          <w:p w14:paraId="03EB1B28"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1766B2">
              <w:rPr>
                <w:noProof/>
                <w:sz w:val="16"/>
              </w:rPr>
              <w:t>Annan budgetrubrik (ange vilken)</w:t>
            </w:r>
          </w:p>
        </w:tc>
        <w:tc>
          <w:tcPr>
            <w:tcW w:w="731" w:type="dxa"/>
            <w:shd w:val="clear" w:color="auto" w:fill="auto"/>
            <w:vAlign w:val="center"/>
          </w:tcPr>
          <w:p w14:paraId="6D7D844D"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34975B6"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43584C9"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433D94F"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4245E5A"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2447472" w14:textId="77777777" w:rsidR="00C87E1E" w:rsidRPr="001766B2"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33F368" w14:textId="77777777" w:rsidR="00C87E1E" w:rsidRPr="001766B2" w:rsidRDefault="00C87E1E" w:rsidP="00C87E1E">
            <w:pPr>
              <w:spacing w:beforeLines="20" w:before="48" w:afterLines="20" w:after="48"/>
              <w:jc w:val="center"/>
              <w:rPr>
                <w:noProof/>
                <w:sz w:val="16"/>
                <w:szCs w:val="16"/>
                <w:lang w:eastAsia="en-GB"/>
              </w:rPr>
            </w:pPr>
          </w:p>
        </w:tc>
      </w:tr>
      <w:tr w:rsidR="00C87E1E" w:rsidRPr="001766B2" w14:paraId="080C7D12" w14:textId="77777777" w:rsidTr="00C87E1E">
        <w:trPr>
          <w:gridBefore w:val="1"/>
          <w:wBefore w:w="15" w:type="dxa"/>
          <w:trHeight w:val="289"/>
          <w:jc w:val="center"/>
        </w:trPr>
        <w:tc>
          <w:tcPr>
            <w:tcW w:w="4754" w:type="dxa"/>
            <w:gridSpan w:val="2"/>
            <w:tcBorders>
              <w:top w:val="double" w:sz="4" w:space="0" w:color="auto"/>
            </w:tcBorders>
            <w:shd w:val="clear" w:color="auto" w:fill="auto"/>
            <w:vAlign w:val="center"/>
          </w:tcPr>
          <w:p w14:paraId="5F87DC60" w14:textId="77777777" w:rsidR="00C87E1E" w:rsidRPr="001766B2"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1766B2">
              <w:rPr>
                <w:b/>
                <w:noProof/>
                <w:sz w:val="16"/>
              </w:rPr>
              <w:t>TOTALT</w:t>
            </w:r>
          </w:p>
        </w:tc>
        <w:tc>
          <w:tcPr>
            <w:tcW w:w="731" w:type="dxa"/>
            <w:tcBorders>
              <w:top w:val="double" w:sz="4" w:space="0" w:color="auto"/>
            </w:tcBorders>
            <w:shd w:val="clear" w:color="auto" w:fill="auto"/>
            <w:vAlign w:val="center"/>
          </w:tcPr>
          <w:p w14:paraId="7A1E3DB1" w14:textId="77777777" w:rsidR="00C87E1E" w:rsidRPr="001766B2"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7531A1F0" w14:textId="77777777" w:rsidR="00C87E1E" w:rsidRPr="001766B2"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C1E7119" w14:textId="77777777" w:rsidR="00C87E1E" w:rsidRPr="001766B2"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6E577C5" w14:textId="77777777" w:rsidR="00C87E1E" w:rsidRPr="001766B2"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2C307013" w14:textId="77777777" w:rsidR="00C87E1E" w:rsidRPr="001766B2"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59484285" w14:textId="77777777" w:rsidR="00C87E1E" w:rsidRPr="001766B2"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442CDC4E" w14:textId="77777777" w:rsidR="00C87E1E" w:rsidRPr="001766B2" w:rsidRDefault="00C87E1E" w:rsidP="00C87E1E">
            <w:pPr>
              <w:spacing w:beforeLines="20" w:before="48" w:afterLines="20" w:after="48"/>
              <w:jc w:val="center"/>
              <w:rPr>
                <w:b/>
                <w:noProof/>
                <w:sz w:val="16"/>
                <w:szCs w:val="16"/>
                <w:lang w:eastAsia="en-GB"/>
              </w:rPr>
            </w:pPr>
          </w:p>
        </w:tc>
      </w:tr>
    </w:tbl>
    <w:p w14:paraId="6226E21F" w14:textId="77777777" w:rsidR="00C87E1E" w:rsidRPr="001766B2" w:rsidRDefault="00C87E1E" w:rsidP="00FB18F4">
      <w:pPr>
        <w:spacing w:before="60" w:after="60"/>
        <w:rPr>
          <w:noProof/>
          <w:sz w:val="18"/>
          <w:szCs w:val="18"/>
        </w:rPr>
      </w:pPr>
      <w:r w:rsidRPr="001766B2">
        <w:rPr>
          <w:b/>
          <w:noProof/>
          <w:sz w:val="18"/>
        </w:rPr>
        <w:t>XX</w:t>
      </w:r>
      <w:r w:rsidRPr="001766B2">
        <w:rPr>
          <w:noProof/>
          <w:sz w:val="18"/>
        </w:rPr>
        <w:t xml:space="preserve"> motsvarar det politikområde eller den avdelning i budgeten som avses.</w:t>
      </w:r>
    </w:p>
    <w:p w14:paraId="08BD9D27" w14:textId="77777777" w:rsidR="00C87E1E" w:rsidRPr="001766B2" w:rsidRDefault="00C87E1E" w:rsidP="00FB18F4">
      <w:pPr>
        <w:rPr>
          <w:noProof/>
          <w:sz w:val="18"/>
          <w:szCs w:val="18"/>
        </w:rPr>
      </w:pPr>
      <w:r w:rsidRPr="001766B2">
        <w:rPr>
          <w:noProof/>
          <w:sz w:val="18"/>
        </w:rPr>
        <w:t>Personalbehoven ska täckas med personal inom generaldirektoratet vilka redan har avdelats för förvaltningen av åtgärden i fråga, eller genom en omfördelning av personal inom generaldirektoratet, om så krävs kompletterad med ytterligare resurser som kan tilldelas det förvaltande generaldirektoratet som ett led i det årliga förfarandet för tilldelning av anslag och med hänsyn tagen till begränsningar i fråga om budgetmedel.</w:t>
      </w:r>
    </w:p>
    <w:p w14:paraId="6D428522" w14:textId="77777777" w:rsidR="00C87E1E" w:rsidRPr="001766B2" w:rsidRDefault="00C87E1E" w:rsidP="00C87E1E">
      <w:pPr>
        <w:rPr>
          <w:noProof/>
          <w:sz w:val="20"/>
        </w:rPr>
      </w:pPr>
      <w:r w:rsidRPr="001766B2">
        <w:rPr>
          <w:noProof/>
          <w:sz w:val="20"/>
        </w:rPr>
        <w:t>Beskrivning av arbetsuppgifter: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87E1E" w:rsidRPr="001766B2" w14:paraId="11E810B9" w14:textId="77777777" w:rsidTr="00C87E1E">
        <w:tc>
          <w:tcPr>
            <w:tcW w:w="3240" w:type="dxa"/>
          </w:tcPr>
          <w:p w14:paraId="2BFA4A63" w14:textId="77777777" w:rsidR="00C87E1E" w:rsidRPr="001766B2" w:rsidRDefault="00C87E1E" w:rsidP="00C87E1E">
            <w:pPr>
              <w:rPr>
                <w:noProof/>
                <w:sz w:val="20"/>
              </w:rPr>
            </w:pPr>
            <w:r w:rsidRPr="001766B2">
              <w:rPr>
                <w:noProof/>
                <w:sz w:val="20"/>
              </w:rPr>
              <w:t>Tjänstemän och tillfälligt anställda</w:t>
            </w:r>
          </w:p>
        </w:tc>
        <w:tc>
          <w:tcPr>
            <w:tcW w:w="7200" w:type="dxa"/>
          </w:tcPr>
          <w:p w14:paraId="3C047422" w14:textId="77777777" w:rsidR="00C87E1E" w:rsidRPr="001766B2" w:rsidRDefault="00C87E1E" w:rsidP="00C87E1E">
            <w:pPr>
              <w:rPr>
                <w:noProof/>
                <w:sz w:val="20"/>
                <w:lang w:eastAsia="en-GB"/>
              </w:rPr>
            </w:pPr>
          </w:p>
        </w:tc>
      </w:tr>
      <w:tr w:rsidR="00C87E1E" w:rsidRPr="001766B2" w14:paraId="26AC13C2" w14:textId="77777777" w:rsidTr="00C87E1E">
        <w:tc>
          <w:tcPr>
            <w:tcW w:w="3240" w:type="dxa"/>
          </w:tcPr>
          <w:p w14:paraId="0ED650EB" w14:textId="77777777" w:rsidR="00C87E1E" w:rsidRPr="001766B2" w:rsidRDefault="00C87E1E" w:rsidP="00C87E1E">
            <w:pPr>
              <w:spacing w:before="60" w:after="60"/>
              <w:rPr>
                <w:noProof/>
                <w:sz w:val="20"/>
              </w:rPr>
            </w:pPr>
            <w:r w:rsidRPr="001766B2">
              <w:rPr>
                <w:noProof/>
                <w:sz w:val="20"/>
              </w:rPr>
              <w:t>Extern personal</w:t>
            </w:r>
          </w:p>
        </w:tc>
        <w:tc>
          <w:tcPr>
            <w:tcW w:w="7200" w:type="dxa"/>
          </w:tcPr>
          <w:p w14:paraId="4EEAF454" w14:textId="77777777" w:rsidR="00C87E1E" w:rsidRPr="001766B2" w:rsidRDefault="00C87E1E" w:rsidP="00C87E1E">
            <w:pPr>
              <w:rPr>
                <w:noProof/>
                <w:sz w:val="20"/>
                <w:lang w:eastAsia="en-GB"/>
              </w:rPr>
            </w:pPr>
          </w:p>
        </w:tc>
      </w:tr>
    </w:tbl>
    <w:p w14:paraId="327EB9C4" w14:textId="77777777" w:rsidR="00C87E1E" w:rsidRPr="001766B2" w:rsidRDefault="00C87E1E" w:rsidP="00C87E1E">
      <w:pPr>
        <w:rPr>
          <w:noProof/>
          <w:lang w:eastAsia="en-GB"/>
        </w:rPr>
        <w:sectPr w:rsidR="00C87E1E" w:rsidRPr="001766B2" w:rsidSect="00151ECD">
          <w:pgSz w:w="11907" w:h="16840"/>
          <w:pgMar w:top="1134" w:right="1418" w:bottom="1134" w:left="1418" w:header="709" w:footer="709" w:gutter="0"/>
          <w:cols w:space="708"/>
          <w:docGrid w:linePitch="360"/>
        </w:sectPr>
      </w:pPr>
    </w:p>
    <w:p w14:paraId="42A96833" w14:textId="77777777" w:rsidR="00C87E1E" w:rsidRPr="001766B2" w:rsidRDefault="00C87E1E" w:rsidP="00FB18F4">
      <w:pPr>
        <w:keepNext/>
        <w:outlineLvl w:val="2"/>
        <w:rPr>
          <w:rFonts w:eastAsiaTheme="majorEastAsia"/>
          <w:bCs/>
          <w:i/>
          <w:noProof/>
        </w:rPr>
      </w:pPr>
      <w:bookmarkStart w:id="61" w:name="_Toc514938056"/>
      <w:bookmarkStart w:id="62" w:name="_Toc520485055"/>
      <w:r w:rsidRPr="001766B2">
        <w:rPr>
          <w:i/>
          <w:noProof/>
        </w:rPr>
        <w:t>Förenlighet med den gällande fleråriga budgetramen</w:t>
      </w:r>
      <w:bookmarkEnd w:id="61"/>
      <w:bookmarkEnd w:id="62"/>
      <w:r w:rsidRPr="001766B2">
        <w:rPr>
          <w:i/>
          <w:noProof/>
        </w:rPr>
        <w:t xml:space="preserve"> </w:t>
      </w:r>
    </w:p>
    <w:p w14:paraId="780F37C1" w14:textId="77777777" w:rsidR="00C87E1E" w:rsidRPr="001766B2" w:rsidRDefault="00C87E1E" w:rsidP="00C87E1E">
      <w:pPr>
        <w:tabs>
          <w:tab w:val="num" w:pos="1134"/>
        </w:tabs>
        <w:ind w:left="1134" w:hanging="283"/>
        <w:rPr>
          <w:noProof/>
        </w:rPr>
      </w:pPr>
      <w:r w:rsidRPr="001766B2">
        <w:rPr>
          <w:noProof/>
        </w:rPr>
        <w:t>Förslaget/initiativet är förenligt med den gällande fleråriga budgetramen</w:t>
      </w:r>
    </w:p>
    <w:p w14:paraId="7ADACF09" w14:textId="77777777" w:rsidR="00C87E1E" w:rsidRPr="001766B2" w:rsidRDefault="00C87E1E" w:rsidP="00FB18F4">
      <w:pPr>
        <w:rPr>
          <w:noProof/>
          <w:lang w:eastAsia="en-GB"/>
        </w:rPr>
      </w:pPr>
    </w:p>
    <w:p w14:paraId="37458A13" w14:textId="77777777" w:rsidR="00C87E1E" w:rsidRPr="001766B2" w:rsidRDefault="00C87E1E" w:rsidP="00FB18F4">
      <w:pPr>
        <w:rPr>
          <w:noProof/>
        </w:rPr>
      </w:pPr>
      <w:r w:rsidRPr="001766B2">
        <w:rPr>
          <w:noProof/>
        </w:rPr>
        <w:t>Förslaget/initiativet:</w:t>
      </w:r>
    </w:p>
    <w:p w14:paraId="01CED3D9" w14:textId="77777777" w:rsidR="00C87E1E" w:rsidRPr="001766B2" w:rsidRDefault="00C87E1E" w:rsidP="00C87E1E">
      <w:pPr>
        <w:tabs>
          <w:tab w:val="num" w:pos="1134"/>
        </w:tabs>
        <w:ind w:left="1134" w:hanging="283"/>
        <w:rPr>
          <w:noProof/>
        </w:rPr>
      </w:pPr>
      <w:r w:rsidRPr="001766B2">
        <w:rPr>
          <w:noProof/>
        </w:rPr>
        <w:sym w:font="Wingdings" w:char="F0A8"/>
      </w:r>
      <w:r w:rsidRPr="001766B2">
        <w:rPr>
          <w:noProof/>
        </w:rPr>
        <w:tab/>
        <w:t>kan finansieras fullständigt genom omfördelningar inom den berörda rubriken i den fleråriga budgetramen.</w:t>
      </w:r>
    </w:p>
    <w:p w14:paraId="76A1D03F" w14:textId="77777777" w:rsidR="00C87E1E" w:rsidRPr="001766B2" w:rsidRDefault="00C87E1E" w:rsidP="00FB18F4">
      <w:pPr>
        <w:pBdr>
          <w:top w:val="single" w:sz="4" w:space="1" w:color="auto"/>
          <w:left w:val="single" w:sz="4" w:space="4" w:color="auto"/>
          <w:bottom w:val="single" w:sz="4" w:space="1" w:color="auto"/>
          <w:right w:val="single" w:sz="4" w:space="4" w:color="auto"/>
        </w:pBdr>
        <w:rPr>
          <w:noProof/>
          <w:sz w:val="20"/>
        </w:rPr>
      </w:pPr>
      <w:r w:rsidRPr="001766B2">
        <w:rPr>
          <w:noProof/>
          <w:sz w:val="20"/>
        </w:rPr>
        <w:t>Förklara i förekommande fall vilka omfördelningar som krävs, och ange berörda budgetrubriker och motsvarande belopp.</w:t>
      </w:r>
      <w:r w:rsidRPr="001766B2">
        <w:rPr>
          <w:noProof/>
        </w:rPr>
        <w:t xml:space="preserve"> </w:t>
      </w:r>
      <w:r w:rsidRPr="001766B2">
        <w:rPr>
          <w:noProof/>
          <w:sz w:val="20"/>
        </w:rPr>
        <w:t>Bifoga en Excel-tabell om det gäller en större omfördelning.</w:t>
      </w:r>
    </w:p>
    <w:p w14:paraId="38BEE55E" w14:textId="77777777" w:rsidR="00C87E1E" w:rsidRPr="001766B2" w:rsidRDefault="00C87E1E" w:rsidP="00C87E1E">
      <w:pPr>
        <w:tabs>
          <w:tab w:val="num" w:pos="1134"/>
        </w:tabs>
        <w:ind w:left="1134" w:hanging="283"/>
        <w:rPr>
          <w:noProof/>
        </w:rPr>
      </w:pPr>
      <w:r w:rsidRPr="001766B2">
        <w:rPr>
          <w:noProof/>
        </w:rPr>
        <w:sym w:font="Wingdings" w:char="F0A8"/>
      </w:r>
      <w:r w:rsidRPr="001766B2">
        <w:rPr>
          <w:noProof/>
        </w:rPr>
        <w:tab/>
        <w:t>kräver användning av den outnyttjade marginalen under den relevanta rubriken i den fleråriga budgetramen och/eller användning av särskilda instrument enligt definitionen i förordningen om den fleråriga budgetramen.</w:t>
      </w:r>
    </w:p>
    <w:p w14:paraId="0E7227E2" w14:textId="77777777" w:rsidR="00C87E1E" w:rsidRPr="001766B2" w:rsidRDefault="00C87E1E" w:rsidP="00FB18F4">
      <w:pPr>
        <w:pBdr>
          <w:top w:val="single" w:sz="4" w:space="1" w:color="auto"/>
          <w:left w:val="single" w:sz="4" w:space="4" w:color="auto"/>
          <w:bottom w:val="single" w:sz="4" w:space="1" w:color="auto"/>
          <w:right w:val="single" w:sz="4" w:space="4" w:color="auto"/>
        </w:pBdr>
        <w:rPr>
          <w:noProof/>
          <w:sz w:val="20"/>
        </w:rPr>
      </w:pPr>
      <w:r w:rsidRPr="001766B2">
        <w:rPr>
          <w:noProof/>
          <w:sz w:val="20"/>
        </w:rPr>
        <w:t>Beskriv vad som krävs, ange berörda rubriker och budgetrubriker, motsvarande belopp och de instrument som är föreslagna för användning.</w:t>
      </w:r>
    </w:p>
    <w:p w14:paraId="4C70CFAF" w14:textId="77777777" w:rsidR="00C87E1E" w:rsidRPr="001766B2" w:rsidRDefault="00C87E1E" w:rsidP="00C87E1E">
      <w:pPr>
        <w:tabs>
          <w:tab w:val="num" w:pos="1134"/>
        </w:tabs>
        <w:ind w:left="1134" w:hanging="283"/>
        <w:rPr>
          <w:noProof/>
        </w:rPr>
      </w:pPr>
      <w:r w:rsidRPr="001766B2">
        <w:rPr>
          <w:noProof/>
        </w:rPr>
        <w:sym w:font="Wingdings" w:char="F0A8"/>
      </w:r>
      <w:r w:rsidRPr="001766B2">
        <w:rPr>
          <w:noProof/>
        </w:rPr>
        <w:tab/>
        <w:t>kräver en översyn av den fleråriga budgetramen.</w:t>
      </w:r>
    </w:p>
    <w:p w14:paraId="1EDC4A76" w14:textId="77777777" w:rsidR="00C87E1E" w:rsidRPr="001766B2" w:rsidRDefault="00C87E1E" w:rsidP="00FB18F4">
      <w:pPr>
        <w:pBdr>
          <w:top w:val="single" w:sz="4" w:space="1" w:color="auto"/>
          <w:left w:val="single" w:sz="4" w:space="4" w:color="auto"/>
          <w:bottom w:val="single" w:sz="4" w:space="1" w:color="auto"/>
          <w:right w:val="single" w:sz="4" w:space="4" w:color="auto"/>
        </w:pBdr>
        <w:rPr>
          <w:noProof/>
          <w:sz w:val="20"/>
        </w:rPr>
      </w:pPr>
      <w:r w:rsidRPr="001766B2">
        <w:rPr>
          <w:noProof/>
          <w:sz w:val="20"/>
        </w:rPr>
        <w:t>Beskriv behovet av sådana åtgärder, och ange berörda rubriker i budgetramen, budgetrubriker i den årliga budgeten samt de motsvarande beloppen.</w:t>
      </w:r>
    </w:p>
    <w:p w14:paraId="04215B33" w14:textId="77777777" w:rsidR="00C87E1E" w:rsidRPr="001766B2" w:rsidRDefault="00C87E1E" w:rsidP="00FB18F4">
      <w:pPr>
        <w:keepNext/>
        <w:outlineLvl w:val="2"/>
        <w:rPr>
          <w:rFonts w:eastAsiaTheme="majorEastAsia"/>
          <w:i/>
          <w:noProof/>
          <w:szCs w:val="24"/>
        </w:rPr>
      </w:pPr>
      <w:bookmarkStart w:id="63" w:name="_Toc514938058"/>
      <w:bookmarkStart w:id="64" w:name="_Toc520485056"/>
      <w:r w:rsidRPr="001766B2">
        <w:rPr>
          <w:i/>
          <w:noProof/>
        </w:rPr>
        <w:t>Bidrag från tredje part</w:t>
      </w:r>
      <w:bookmarkEnd w:id="63"/>
      <w:bookmarkEnd w:id="64"/>
      <w:r w:rsidRPr="001766B2">
        <w:rPr>
          <w:i/>
          <w:noProof/>
        </w:rPr>
        <w:t xml:space="preserve"> </w:t>
      </w:r>
    </w:p>
    <w:p w14:paraId="0EB46E33" w14:textId="77777777" w:rsidR="00C87E1E" w:rsidRPr="001766B2" w:rsidRDefault="00C87E1E" w:rsidP="00FB18F4">
      <w:pPr>
        <w:rPr>
          <w:noProof/>
        </w:rPr>
      </w:pPr>
      <w:r w:rsidRPr="001766B2">
        <w:rPr>
          <w:noProof/>
        </w:rPr>
        <w:t>Förslaget/initiativet:</w:t>
      </w:r>
    </w:p>
    <w:p w14:paraId="3AF4569F" w14:textId="77777777" w:rsidR="00C87E1E" w:rsidRPr="001766B2" w:rsidRDefault="00C87E1E" w:rsidP="00C87E1E">
      <w:pPr>
        <w:tabs>
          <w:tab w:val="num" w:pos="1134"/>
        </w:tabs>
        <w:ind w:left="1134" w:hanging="283"/>
        <w:rPr>
          <w:noProof/>
        </w:rPr>
      </w:pPr>
      <w:r w:rsidRPr="001766B2">
        <w:rPr>
          <w:b/>
          <w:noProof/>
        </w:rPr>
        <w:t>X</w:t>
      </w:r>
      <w:r w:rsidRPr="001766B2">
        <w:rPr>
          <w:noProof/>
        </w:rPr>
        <w:tab/>
        <w:t>innehåller inga bestämmelser om samfinansiering från tredje parter</w:t>
      </w:r>
    </w:p>
    <w:p w14:paraId="4AABDF2A" w14:textId="77777777" w:rsidR="00C87E1E" w:rsidRPr="001766B2" w:rsidRDefault="00C87E1E" w:rsidP="00C87E1E">
      <w:pPr>
        <w:tabs>
          <w:tab w:val="num" w:pos="1134"/>
        </w:tabs>
        <w:ind w:left="1134" w:hanging="283"/>
        <w:rPr>
          <w:noProof/>
        </w:rPr>
      </w:pPr>
      <w:r w:rsidRPr="001766B2">
        <w:rPr>
          <w:noProof/>
        </w:rPr>
        <w:sym w:font="Wingdings" w:char="F0A8"/>
      </w:r>
      <w:r w:rsidRPr="001766B2">
        <w:rPr>
          <w:noProof/>
        </w:rPr>
        <w:tab/>
        <w:t>innehåller bestämmelser om samfinansiering från tredje parter enligt följande uppskattning:</w:t>
      </w:r>
    </w:p>
    <w:p w14:paraId="3E9D1A16" w14:textId="77777777" w:rsidR="00C87E1E" w:rsidRPr="001766B2" w:rsidRDefault="00C87E1E" w:rsidP="00C87E1E">
      <w:pPr>
        <w:jc w:val="right"/>
        <w:rPr>
          <w:noProof/>
          <w:sz w:val="20"/>
        </w:rPr>
      </w:pPr>
      <w:r w:rsidRPr="001766B2">
        <w:rPr>
          <w:noProof/>
          <w:sz w:val="20"/>
        </w:rPr>
        <w:t>Anslag i miljoner euro (avrundat till tre decimaler)</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87E1E" w:rsidRPr="001766B2" w14:paraId="1490F7B3" w14:textId="77777777" w:rsidTr="00C87E1E">
        <w:trPr>
          <w:cantSplit/>
        </w:trPr>
        <w:tc>
          <w:tcPr>
            <w:tcW w:w="2340" w:type="dxa"/>
          </w:tcPr>
          <w:p w14:paraId="2BFE90F0" w14:textId="77777777" w:rsidR="00C87E1E" w:rsidRPr="001766B2" w:rsidRDefault="00C87E1E" w:rsidP="00C87E1E">
            <w:pPr>
              <w:spacing w:before="60" w:after="60"/>
              <w:rPr>
                <w:noProof/>
                <w:sz w:val="20"/>
                <w:lang w:eastAsia="en-GB"/>
              </w:rPr>
            </w:pPr>
          </w:p>
        </w:tc>
        <w:tc>
          <w:tcPr>
            <w:tcW w:w="964" w:type="dxa"/>
            <w:vAlign w:val="center"/>
          </w:tcPr>
          <w:p w14:paraId="600B23F2"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w:t>
            </w:r>
            <w:r w:rsidRPr="001766B2">
              <w:rPr>
                <w:rStyle w:val="FootnoteReference"/>
                <w:noProof/>
              </w:rPr>
              <w:footnoteReference w:id="32"/>
            </w:r>
          </w:p>
        </w:tc>
        <w:tc>
          <w:tcPr>
            <w:tcW w:w="964" w:type="dxa"/>
            <w:vAlign w:val="center"/>
          </w:tcPr>
          <w:p w14:paraId="266EF62C"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N+1</w:t>
            </w:r>
          </w:p>
        </w:tc>
        <w:tc>
          <w:tcPr>
            <w:tcW w:w="964" w:type="dxa"/>
            <w:vAlign w:val="center"/>
          </w:tcPr>
          <w:p w14:paraId="09E6C81C"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N+2</w:t>
            </w:r>
          </w:p>
        </w:tc>
        <w:tc>
          <w:tcPr>
            <w:tcW w:w="964" w:type="dxa"/>
            <w:vAlign w:val="center"/>
          </w:tcPr>
          <w:p w14:paraId="759790A4" w14:textId="77777777" w:rsidR="00C87E1E" w:rsidRPr="001766B2" w:rsidRDefault="00C87E1E" w:rsidP="00C87E1E">
            <w:pPr>
              <w:jc w:val="center"/>
              <w:rPr>
                <w:noProof/>
                <w:sz w:val="20"/>
              </w:rPr>
            </w:pPr>
            <w:r w:rsidRPr="001766B2">
              <w:rPr>
                <w:noProof/>
                <w:sz w:val="20"/>
              </w:rPr>
              <w:t>År</w:t>
            </w:r>
            <w:r w:rsidRPr="001766B2">
              <w:rPr>
                <w:noProof/>
              </w:rPr>
              <w:t xml:space="preserve"> </w:t>
            </w:r>
            <w:r w:rsidRPr="001766B2">
              <w:rPr>
                <w:noProof/>
              </w:rPr>
              <w:br/>
            </w:r>
            <w:r w:rsidRPr="001766B2">
              <w:rPr>
                <w:b/>
                <w:noProof/>
                <w:sz w:val="20"/>
              </w:rPr>
              <w:t>N+3</w:t>
            </w:r>
          </w:p>
        </w:tc>
        <w:tc>
          <w:tcPr>
            <w:tcW w:w="2892" w:type="dxa"/>
            <w:gridSpan w:val="3"/>
            <w:vAlign w:val="center"/>
          </w:tcPr>
          <w:p w14:paraId="5294E5CD" w14:textId="77777777" w:rsidR="00C87E1E" w:rsidRPr="001766B2" w:rsidRDefault="00C87E1E" w:rsidP="00C87E1E">
            <w:pPr>
              <w:jc w:val="center"/>
              <w:rPr>
                <w:b/>
                <w:noProof/>
                <w:sz w:val="20"/>
              </w:rPr>
            </w:pPr>
            <w:r w:rsidRPr="001766B2">
              <w:rPr>
                <w:noProof/>
                <w:sz w:val="20"/>
              </w:rPr>
              <w:t>För in så många år som behövs för att redovisa varaktigheten för inverkan på resursanvändningen (jfr punkt 1.6)</w:t>
            </w:r>
          </w:p>
        </w:tc>
        <w:tc>
          <w:tcPr>
            <w:tcW w:w="1158" w:type="dxa"/>
            <w:vAlign w:val="center"/>
          </w:tcPr>
          <w:p w14:paraId="3540DDFD" w14:textId="77777777" w:rsidR="00C87E1E" w:rsidRPr="001766B2" w:rsidRDefault="00C87E1E" w:rsidP="00C87E1E">
            <w:pPr>
              <w:spacing w:before="60" w:after="60"/>
              <w:jc w:val="center"/>
              <w:rPr>
                <w:noProof/>
                <w:sz w:val="20"/>
              </w:rPr>
            </w:pPr>
            <w:r w:rsidRPr="001766B2">
              <w:rPr>
                <w:noProof/>
                <w:sz w:val="20"/>
              </w:rPr>
              <w:t>Totalt</w:t>
            </w:r>
          </w:p>
        </w:tc>
      </w:tr>
      <w:tr w:rsidR="00C87E1E" w:rsidRPr="001766B2" w14:paraId="5D4C700B" w14:textId="77777777" w:rsidTr="00C87E1E">
        <w:trPr>
          <w:cantSplit/>
        </w:trPr>
        <w:tc>
          <w:tcPr>
            <w:tcW w:w="2340" w:type="dxa"/>
          </w:tcPr>
          <w:p w14:paraId="187B37C4" w14:textId="77777777" w:rsidR="00C87E1E" w:rsidRPr="001766B2" w:rsidRDefault="00C87E1E" w:rsidP="00C87E1E">
            <w:pPr>
              <w:rPr>
                <w:noProof/>
              </w:rPr>
            </w:pPr>
            <w:r w:rsidRPr="001766B2">
              <w:rPr>
                <w:noProof/>
                <w:sz w:val="20"/>
              </w:rPr>
              <w:t>Ange vilket organ som deltar i samfinansieringen</w:t>
            </w:r>
            <w:r w:rsidRPr="001766B2">
              <w:rPr>
                <w:i/>
                <w:noProof/>
                <w:sz w:val="20"/>
              </w:rPr>
              <w:t xml:space="preserve"> </w:t>
            </w:r>
          </w:p>
        </w:tc>
        <w:tc>
          <w:tcPr>
            <w:tcW w:w="964" w:type="dxa"/>
            <w:vAlign w:val="center"/>
          </w:tcPr>
          <w:p w14:paraId="4A171459" w14:textId="77777777" w:rsidR="00C87E1E" w:rsidRPr="001766B2" w:rsidRDefault="00C87E1E" w:rsidP="00C87E1E">
            <w:pPr>
              <w:spacing w:before="60" w:after="60"/>
              <w:jc w:val="center"/>
              <w:rPr>
                <w:noProof/>
                <w:sz w:val="20"/>
                <w:lang w:eastAsia="en-GB"/>
              </w:rPr>
            </w:pPr>
          </w:p>
        </w:tc>
        <w:tc>
          <w:tcPr>
            <w:tcW w:w="964" w:type="dxa"/>
            <w:vAlign w:val="center"/>
          </w:tcPr>
          <w:p w14:paraId="7274725F" w14:textId="77777777" w:rsidR="00C87E1E" w:rsidRPr="001766B2" w:rsidRDefault="00C87E1E" w:rsidP="00C87E1E">
            <w:pPr>
              <w:spacing w:before="60" w:after="60"/>
              <w:jc w:val="center"/>
              <w:rPr>
                <w:noProof/>
                <w:sz w:val="20"/>
                <w:lang w:eastAsia="en-GB"/>
              </w:rPr>
            </w:pPr>
          </w:p>
        </w:tc>
        <w:tc>
          <w:tcPr>
            <w:tcW w:w="964" w:type="dxa"/>
            <w:vAlign w:val="center"/>
          </w:tcPr>
          <w:p w14:paraId="785490C2" w14:textId="77777777" w:rsidR="00C87E1E" w:rsidRPr="001766B2" w:rsidRDefault="00C87E1E" w:rsidP="00C87E1E">
            <w:pPr>
              <w:spacing w:before="60" w:after="60"/>
              <w:jc w:val="center"/>
              <w:rPr>
                <w:noProof/>
                <w:sz w:val="20"/>
                <w:lang w:eastAsia="en-GB"/>
              </w:rPr>
            </w:pPr>
          </w:p>
        </w:tc>
        <w:tc>
          <w:tcPr>
            <w:tcW w:w="964" w:type="dxa"/>
            <w:vAlign w:val="center"/>
          </w:tcPr>
          <w:p w14:paraId="5F425231" w14:textId="77777777" w:rsidR="00C87E1E" w:rsidRPr="001766B2" w:rsidRDefault="00C87E1E" w:rsidP="00C87E1E">
            <w:pPr>
              <w:spacing w:before="60" w:after="60"/>
              <w:jc w:val="center"/>
              <w:rPr>
                <w:noProof/>
                <w:sz w:val="20"/>
                <w:lang w:eastAsia="en-GB"/>
              </w:rPr>
            </w:pPr>
          </w:p>
        </w:tc>
        <w:tc>
          <w:tcPr>
            <w:tcW w:w="964" w:type="dxa"/>
            <w:vAlign w:val="center"/>
          </w:tcPr>
          <w:p w14:paraId="0E581B6A" w14:textId="77777777" w:rsidR="00C87E1E" w:rsidRPr="001766B2" w:rsidRDefault="00C87E1E" w:rsidP="00C87E1E">
            <w:pPr>
              <w:spacing w:before="60" w:after="60"/>
              <w:jc w:val="center"/>
              <w:rPr>
                <w:noProof/>
                <w:sz w:val="20"/>
                <w:lang w:eastAsia="en-GB"/>
              </w:rPr>
            </w:pPr>
          </w:p>
        </w:tc>
        <w:tc>
          <w:tcPr>
            <w:tcW w:w="964" w:type="dxa"/>
            <w:vAlign w:val="center"/>
          </w:tcPr>
          <w:p w14:paraId="65205D6A" w14:textId="77777777" w:rsidR="00C87E1E" w:rsidRPr="001766B2" w:rsidRDefault="00C87E1E" w:rsidP="00C87E1E">
            <w:pPr>
              <w:spacing w:before="60" w:after="60"/>
              <w:jc w:val="center"/>
              <w:rPr>
                <w:noProof/>
                <w:sz w:val="20"/>
                <w:lang w:eastAsia="en-GB"/>
              </w:rPr>
            </w:pPr>
          </w:p>
        </w:tc>
        <w:tc>
          <w:tcPr>
            <w:tcW w:w="964" w:type="dxa"/>
            <w:vAlign w:val="center"/>
          </w:tcPr>
          <w:p w14:paraId="25AC9648" w14:textId="77777777" w:rsidR="00C87E1E" w:rsidRPr="001766B2" w:rsidRDefault="00C87E1E" w:rsidP="00C87E1E">
            <w:pPr>
              <w:spacing w:before="60" w:after="60"/>
              <w:jc w:val="center"/>
              <w:rPr>
                <w:noProof/>
                <w:sz w:val="20"/>
                <w:lang w:eastAsia="en-GB"/>
              </w:rPr>
            </w:pPr>
          </w:p>
        </w:tc>
        <w:tc>
          <w:tcPr>
            <w:tcW w:w="1158" w:type="dxa"/>
            <w:vAlign w:val="center"/>
          </w:tcPr>
          <w:p w14:paraId="690E1BC6" w14:textId="77777777" w:rsidR="00C87E1E" w:rsidRPr="001766B2" w:rsidRDefault="00C87E1E" w:rsidP="00C87E1E">
            <w:pPr>
              <w:spacing w:before="60" w:after="60"/>
              <w:jc w:val="center"/>
              <w:rPr>
                <w:noProof/>
                <w:sz w:val="20"/>
                <w:lang w:eastAsia="en-GB"/>
              </w:rPr>
            </w:pPr>
          </w:p>
        </w:tc>
      </w:tr>
      <w:tr w:rsidR="00C87E1E" w:rsidRPr="001766B2" w14:paraId="7A639D05" w14:textId="77777777" w:rsidTr="00C87E1E">
        <w:trPr>
          <w:cantSplit/>
        </w:trPr>
        <w:tc>
          <w:tcPr>
            <w:tcW w:w="2340" w:type="dxa"/>
          </w:tcPr>
          <w:p w14:paraId="58732C2A" w14:textId="77777777" w:rsidR="00C87E1E" w:rsidRPr="001766B2" w:rsidRDefault="00C87E1E" w:rsidP="00C87E1E">
            <w:pPr>
              <w:spacing w:before="60" w:after="60"/>
              <w:jc w:val="left"/>
              <w:rPr>
                <w:noProof/>
                <w:sz w:val="20"/>
              </w:rPr>
            </w:pPr>
            <w:r w:rsidRPr="001766B2">
              <w:rPr>
                <w:noProof/>
                <w:sz w:val="20"/>
              </w:rPr>
              <w:t xml:space="preserve">TOTALA anslag som tillförs genom samfinansiering </w:t>
            </w:r>
          </w:p>
        </w:tc>
        <w:tc>
          <w:tcPr>
            <w:tcW w:w="964" w:type="dxa"/>
            <w:vAlign w:val="center"/>
          </w:tcPr>
          <w:p w14:paraId="55721CC0" w14:textId="77777777" w:rsidR="00C87E1E" w:rsidRPr="001766B2" w:rsidRDefault="00C87E1E" w:rsidP="00C87E1E">
            <w:pPr>
              <w:spacing w:before="60" w:after="60"/>
              <w:jc w:val="center"/>
              <w:rPr>
                <w:noProof/>
                <w:sz w:val="20"/>
                <w:lang w:eastAsia="en-GB"/>
              </w:rPr>
            </w:pPr>
          </w:p>
        </w:tc>
        <w:tc>
          <w:tcPr>
            <w:tcW w:w="964" w:type="dxa"/>
            <w:vAlign w:val="center"/>
          </w:tcPr>
          <w:p w14:paraId="15C5D542" w14:textId="77777777" w:rsidR="00C87E1E" w:rsidRPr="001766B2" w:rsidRDefault="00C87E1E" w:rsidP="00C87E1E">
            <w:pPr>
              <w:spacing w:before="60" w:after="60"/>
              <w:jc w:val="center"/>
              <w:rPr>
                <w:noProof/>
                <w:sz w:val="20"/>
                <w:lang w:eastAsia="en-GB"/>
              </w:rPr>
            </w:pPr>
          </w:p>
        </w:tc>
        <w:tc>
          <w:tcPr>
            <w:tcW w:w="964" w:type="dxa"/>
            <w:vAlign w:val="center"/>
          </w:tcPr>
          <w:p w14:paraId="619300D8" w14:textId="77777777" w:rsidR="00C87E1E" w:rsidRPr="001766B2" w:rsidRDefault="00C87E1E" w:rsidP="00C87E1E">
            <w:pPr>
              <w:spacing w:before="60" w:after="60"/>
              <w:jc w:val="center"/>
              <w:rPr>
                <w:noProof/>
                <w:sz w:val="20"/>
                <w:lang w:eastAsia="en-GB"/>
              </w:rPr>
            </w:pPr>
          </w:p>
        </w:tc>
        <w:tc>
          <w:tcPr>
            <w:tcW w:w="964" w:type="dxa"/>
            <w:vAlign w:val="center"/>
          </w:tcPr>
          <w:p w14:paraId="5F943D54" w14:textId="77777777" w:rsidR="00C87E1E" w:rsidRPr="001766B2" w:rsidRDefault="00C87E1E" w:rsidP="00C87E1E">
            <w:pPr>
              <w:spacing w:before="60" w:after="60"/>
              <w:jc w:val="center"/>
              <w:rPr>
                <w:noProof/>
                <w:sz w:val="20"/>
                <w:lang w:eastAsia="en-GB"/>
              </w:rPr>
            </w:pPr>
          </w:p>
        </w:tc>
        <w:tc>
          <w:tcPr>
            <w:tcW w:w="964" w:type="dxa"/>
            <w:vAlign w:val="center"/>
          </w:tcPr>
          <w:p w14:paraId="550197B5" w14:textId="77777777" w:rsidR="00C87E1E" w:rsidRPr="001766B2" w:rsidRDefault="00C87E1E" w:rsidP="00C87E1E">
            <w:pPr>
              <w:spacing w:before="60" w:after="60"/>
              <w:jc w:val="center"/>
              <w:rPr>
                <w:noProof/>
                <w:sz w:val="20"/>
                <w:lang w:eastAsia="en-GB"/>
              </w:rPr>
            </w:pPr>
          </w:p>
        </w:tc>
        <w:tc>
          <w:tcPr>
            <w:tcW w:w="964" w:type="dxa"/>
            <w:vAlign w:val="center"/>
          </w:tcPr>
          <w:p w14:paraId="3925CC94" w14:textId="77777777" w:rsidR="00C87E1E" w:rsidRPr="001766B2" w:rsidRDefault="00C87E1E" w:rsidP="00C87E1E">
            <w:pPr>
              <w:spacing w:before="60" w:after="60"/>
              <w:jc w:val="center"/>
              <w:rPr>
                <w:noProof/>
                <w:sz w:val="20"/>
                <w:lang w:eastAsia="en-GB"/>
              </w:rPr>
            </w:pPr>
          </w:p>
        </w:tc>
        <w:tc>
          <w:tcPr>
            <w:tcW w:w="964" w:type="dxa"/>
            <w:vAlign w:val="center"/>
          </w:tcPr>
          <w:p w14:paraId="7A260ABA" w14:textId="77777777" w:rsidR="00C87E1E" w:rsidRPr="001766B2" w:rsidRDefault="00C87E1E" w:rsidP="00C87E1E">
            <w:pPr>
              <w:spacing w:before="60" w:after="60"/>
              <w:jc w:val="center"/>
              <w:rPr>
                <w:noProof/>
                <w:sz w:val="20"/>
                <w:lang w:eastAsia="en-GB"/>
              </w:rPr>
            </w:pPr>
          </w:p>
        </w:tc>
        <w:tc>
          <w:tcPr>
            <w:tcW w:w="1158" w:type="dxa"/>
            <w:vAlign w:val="center"/>
          </w:tcPr>
          <w:p w14:paraId="20766DEB" w14:textId="77777777" w:rsidR="00C87E1E" w:rsidRPr="001766B2" w:rsidRDefault="00C87E1E" w:rsidP="00C87E1E">
            <w:pPr>
              <w:spacing w:before="60" w:after="60"/>
              <w:jc w:val="center"/>
              <w:rPr>
                <w:noProof/>
                <w:sz w:val="20"/>
                <w:lang w:eastAsia="en-GB"/>
              </w:rPr>
            </w:pPr>
          </w:p>
        </w:tc>
      </w:tr>
    </w:tbl>
    <w:p w14:paraId="5A8BC20D" w14:textId="77777777" w:rsidR="00C87E1E" w:rsidRPr="001766B2" w:rsidRDefault="00C87E1E" w:rsidP="00C87E1E">
      <w:pPr>
        <w:rPr>
          <w:noProof/>
        </w:rPr>
      </w:pPr>
      <w:r w:rsidRPr="001766B2">
        <w:rPr>
          <w:noProof/>
        </w:rPr>
        <w:t xml:space="preserve"> </w:t>
      </w:r>
      <w:r w:rsidRPr="001766B2">
        <w:rPr>
          <w:noProof/>
        </w:rPr>
        <w:br/>
      </w:r>
    </w:p>
    <w:p w14:paraId="3EA042AA" w14:textId="77777777" w:rsidR="00C87E1E" w:rsidRPr="001766B2" w:rsidRDefault="00C87E1E" w:rsidP="00FB18F4">
      <w:pPr>
        <w:keepNext/>
        <w:outlineLvl w:val="1"/>
        <w:rPr>
          <w:rFonts w:eastAsiaTheme="majorEastAsia"/>
          <w:b/>
          <w:noProof/>
          <w:szCs w:val="24"/>
        </w:rPr>
      </w:pPr>
      <w:r w:rsidRPr="001766B2">
        <w:rPr>
          <w:noProof/>
        </w:rPr>
        <w:br w:type="page"/>
      </w:r>
      <w:bookmarkStart w:id="65" w:name="_Toc514938059"/>
      <w:bookmarkStart w:id="66" w:name="_Toc520485057"/>
      <w:r w:rsidRPr="001766B2">
        <w:rPr>
          <w:b/>
          <w:noProof/>
        </w:rPr>
        <w:t>Beräknad inverkan på inkomsterna</w:t>
      </w:r>
      <w:bookmarkEnd w:id="65"/>
      <w:bookmarkEnd w:id="66"/>
      <w:r w:rsidRPr="001766B2">
        <w:rPr>
          <w:b/>
          <w:noProof/>
        </w:rPr>
        <w:t xml:space="preserve"> </w:t>
      </w:r>
    </w:p>
    <w:p w14:paraId="252A5AB6" w14:textId="77777777" w:rsidR="00E41E7D" w:rsidRPr="001766B2" w:rsidRDefault="00137AA4" w:rsidP="00E41E7D">
      <w:pPr>
        <w:pStyle w:val="ListDash1"/>
        <w:rPr>
          <w:noProof/>
        </w:rPr>
      </w:pPr>
      <w:r w:rsidRPr="001766B2">
        <w:rPr>
          <w:b/>
          <w:noProof/>
        </w:rPr>
        <w:t xml:space="preserve">X </w:t>
      </w:r>
      <w:r w:rsidRPr="001766B2">
        <w:rPr>
          <w:noProof/>
        </w:rPr>
        <w:t>Förslaget/initiativet påverkar inte budgetens inkomstsida.</w:t>
      </w:r>
    </w:p>
    <w:p w14:paraId="64E6C19F" w14:textId="77777777" w:rsidR="00E41E7D" w:rsidRPr="001766B2" w:rsidRDefault="00E41E7D" w:rsidP="00E41E7D">
      <w:pPr>
        <w:pStyle w:val="ListDash1"/>
        <w:rPr>
          <w:noProof/>
        </w:rPr>
      </w:pPr>
      <w:r w:rsidRPr="001766B2">
        <w:rPr>
          <w:noProof/>
        </w:rPr>
        <w:sym w:font="Wingdings" w:char="F0A8"/>
      </w:r>
      <w:r w:rsidRPr="001766B2">
        <w:rPr>
          <w:noProof/>
        </w:rPr>
        <w:tab/>
        <w:t>Förslaget/initiativet påverkar inkomsterna på följande sätt:</w:t>
      </w:r>
    </w:p>
    <w:p w14:paraId="039ED1DF" w14:textId="77777777" w:rsidR="00E41E7D" w:rsidRPr="001766B2" w:rsidRDefault="00E41E7D" w:rsidP="00855A8A">
      <w:pPr>
        <w:ind w:left="697" w:firstLine="720"/>
        <w:rPr>
          <w:noProof/>
        </w:rPr>
      </w:pPr>
      <w:r w:rsidRPr="001766B2">
        <w:rPr>
          <w:noProof/>
        </w:rPr>
        <w:sym w:font="Wingdings" w:char="F0A8"/>
      </w:r>
      <w:r w:rsidRPr="001766B2">
        <w:rPr>
          <w:noProof/>
        </w:rPr>
        <w:tab/>
        <w:t xml:space="preserve">Påverkan på egna medel </w:t>
      </w:r>
    </w:p>
    <w:p w14:paraId="7EE61B12" w14:textId="77777777" w:rsidR="00E41E7D" w:rsidRPr="001766B2" w:rsidRDefault="00137AA4" w:rsidP="00855A8A">
      <w:pPr>
        <w:ind w:left="697" w:firstLine="720"/>
        <w:rPr>
          <w:noProof/>
        </w:rPr>
      </w:pPr>
      <w:r w:rsidRPr="001766B2">
        <w:rPr>
          <w:noProof/>
        </w:rPr>
        <w:sym w:font="Wingdings" w:char="F0A8"/>
      </w:r>
      <w:r w:rsidRPr="001766B2">
        <w:rPr>
          <w:noProof/>
        </w:rPr>
        <w:tab/>
        <w:t>Påverkan på andra inkomster</w:t>
      </w:r>
    </w:p>
    <w:p w14:paraId="5CA9712E" w14:textId="77777777" w:rsidR="00E41E7D" w:rsidRPr="001766B2" w:rsidRDefault="00E41E7D" w:rsidP="00E41E7D">
      <w:pPr>
        <w:pStyle w:val="ListNumberLevel3"/>
        <w:tabs>
          <w:tab w:val="clear" w:pos="2126"/>
        </w:tabs>
        <w:ind w:left="1417" w:firstLine="0"/>
        <w:rPr>
          <w:noProof/>
        </w:rPr>
      </w:pPr>
    </w:p>
    <w:p w14:paraId="6B67E46C" w14:textId="77777777" w:rsidR="00C87E1E" w:rsidRPr="001766B2" w:rsidRDefault="00C87E1E" w:rsidP="00C87E1E">
      <w:pPr>
        <w:numPr>
          <w:ilvl w:val="2"/>
          <w:numId w:val="0"/>
        </w:numPr>
        <w:tabs>
          <w:tab w:val="num" w:pos="2126"/>
        </w:tabs>
        <w:ind w:left="2126" w:hanging="709"/>
        <w:rPr>
          <w:noProof/>
        </w:rPr>
      </w:pPr>
      <w:r w:rsidRPr="001766B2">
        <w:rPr>
          <w:noProof/>
        </w:rPr>
        <w:t>ange om inkomsterna har avsatts för utgiftsposter</w:t>
      </w:r>
      <w:r w:rsidRPr="001766B2">
        <w:rPr>
          <w:noProof/>
        </w:rPr>
        <w:sym w:font="Wingdings" w:char="F0A8"/>
      </w:r>
      <w:r w:rsidRPr="001766B2">
        <w:rPr>
          <w:noProof/>
        </w:rPr>
        <w:tab/>
      </w:r>
    </w:p>
    <w:p w14:paraId="0BB306F6" w14:textId="77777777" w:rsidR="00C87E1E" w:rsidRPr="001766B2" w:rsidRDefault="00C87E1E" w:rsidP="00C87E1E">
      <w:pPr>
        <w:ind w:left="4320"/>
        <w:rPr>
          <w:i/>
          <w:noProof/>
          <w:sz w:val="20"/>
        </w:rPr>
      </w:pPr>
      <w:r w:rsidRPr="001766B2">
        <w:rPr>
          <w:noProof/>
        </w:rPr>
        <w:t xml:space="preserve">     Miljoner euro (avrundat till tre decimaler)</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87E1E" w:rsidRPr="001766B2" w14:paraId="180217A1" w14:textId="77777777" w:rsidTr="00C87E1E">
        <w:trPr>
          <w:trHeight w:val="388"/>
        </w:trPr>
        <w:tc>
          <w:tcPr>
            <w:tcW w:w="2144" w:type="dxa"/>
            <w:vMerge w:val="restart"/>
            <w:vAlign w:val="center"/>
          </w:tcPr>
          <w:p w14:paraId="6E1ECB6E" w14:textId="77777777" w:rsidR="00C87E1E" w:rsidRPr="001766B2" w:rsidRDefault="00C87E1E" w:rsidP="00C87E1E">
            <w:pPr>
              <w:spacing w:before="40" w:after="40"/>
              <w:rPr>
                <w:noProof/>
                <w:sz w:val="18"/>
              </w:rPr>
            </w:pPr>
            <w:r w:rsidRPr="001766B2">
              <w:rPr>
                <w:noProof/>
                <w:sz w:val="18"/>
              </w:rPr>
              <w:t>Budgetrubrik i den årliga budgetens inkomstdel:</w:t>
            </w:r>
          </w:p>
        </w:tc>
        <w:tc>
          <w:tcPr>
            <w:tcW w:w="1325" w:type="dxa"/>
            <w:vMerge w:val="restart"/>
            <w:vAlign w:val="center"/>
          </w:tcPr>
          <w:p w14:paraId="2E6F206A" w14:textId="77777777" w:rsidR="00C87E1E" w:rsidRPr="001766B2" w:rsidRDefault="00C87E1E" w:rsidP="00C87E1E">
            <w:pPr>
              <w:jc w:val="center"/>
              <w:rPr>
                <w:noProof/>
                <w:sz w:val="18"/>
              </w:rPr>
            </w:pPr>
            <w:r w:rsidRPr="001766B2">
              <w:rPr>
                <w:noProof/>
                <w:sz w:val="18"/>
              </w:rPr>
              <w:t>Belopp som förts in för det innevarande budgetåret</w:t>
            </w:r>
          </w:p>
        </w:tc>
        <w:tc>
          <w:tcPr>
            <w:tcW w:w="7151" w:type="dxa"/>
            <w:gridSpan w:val="7"/>
            <w:vAlign w:val="center"/>
          </w:tcPr>
          <w:p w14:paraId="783B5A3F" w14:textId="77777777" w:rsidR="00C87E1E" w:rsidRPr="001766B2" w:rsidRDefault="00C87E1E" w:rsidP="00C87E1E">
            <w:pPr>
              <w:jc w:val="center"/>
              <w:rPr>
                <w:noProof/>
                <w:sz w:val="18"/>
              </w:rPr>
            </w:pPr>
            <w:r w:rsidRPr="001766B2">
              <w:rPr>
                <w:noProof/>
                <w:sz w:val="18"/>
              </w:rPr>
              <w:t>Förslagets/initiativets inverkan på inkomsterna</w:t>
            </w:r>
            <w:r w:rsidRPr="001766B2">
              <w:rPr>
                <w:rStyle w:val="FootnoteReference"/>
                <w:noProof/>
              </w:rPr>
              <w:footnoteReference w:id="33"/>
            </w:r>
          </w:p>
        </w:tc>
      </w:tr>
      <w:tr w:rsidR="00C87E1E" w:rsidRPr="001766B2" w14:paraId="5E381809" w14:textId="77777777" w:rsidTr="00C87E1E">
        <w:trPr>
          <w:trHeight w:val="388"/>
        </w:trPr>
        <w:tc>
          <w:tcPr>
            <w:tcW w:w="2144" w:type="dxa"/>
            <w:vMerge/>
          </w:tcPr>
          <w:p w14:paraId="23512EF7" w14:textId="77777777" w:rsidR="00C87E1E" w:rsidRPr="001766B2" w:rsidRDefault="00C87E1E" w:rsidP="00C87E1E">
            <w:pPr>
              <w:spacing w:before="40" w:after="40"/>
              <w:rPr>
                <w:noProof/>
                <w:sz w:val="18"/>
                <w:lang w:eastAsia="en-GB"/>
              </w:rPr>
            </w:pPr>
          </w:p>
        </w:tc>
        <w:tc>
          <w:tcPr>
            <w:tcW w:w="1325" w:type="dxa"/>
            <w:vMerge/>
          </w:tcPr>
          <w:p w14:paraId="7C838B66" w14:textId="77777777" w:rsidR="00C87E1E" w:rsidRPr="001766B2" w:rsidRDefault="00C87E1E" w:rsidP="00C87E1E">
            <w:pPr>
              <w:spacing w:beforeLines="40" w:before="96" w:afterLines="40" w:after="96"/>
              <w:rPr>
                <w:i/>
                <w:noProof/>
                <w:sz w:val="18"/>
                <w:lang w:eastAsia="en-GB"/>
              </w:rPr>
            </w:pPr>
          </w:p>
        </w:tc>
        <w:tc>
          <w:tcPr>
            <w:tcW w:w="1031" w:type="dxa"/>
            <w:vAlign w:val="center"/>
          </w:tcPr>
          <w:p w14:paraId="5D87C7CE" w14:textId="77777777" w:rsidR="00C87E1E" w:rsidRPr="001766B2" w:rsidRDefault="00C87E1E" w:rsidP="00C87E1E">
            <w:pPr>
              <w:jc w:val="center"/>
              <w:rPr>
                <w:noProof/>
                <w:sz w:val="18"/>
              </w:rPr>
            </w:pPr>
            <w:r w:rsidRPr="001766B2">
              <w:rPr>
                <w:noProof/>
                <w:sz w:val="18"/>
              </w:rPr>
              <w:t>År</w:t>
            </w:r>
            <w:r w:rsidRPr="001766B2">
              <w:rPr>
                <w:noProof/>
              </w:rPr>
              <w:t xml:space="preserve"> </w:t>
            </w:r>
            <w:r w:rsidRPr="001766B2">
              <w:rPr>
                <w:noProof/>
              </w:rPr>
              <w:br/>
            </w:r>
            <w:r w:rsidRPr="001766B2">
              <w:rPr>
                <w:b/>
                <w:noProof/>
                <w:sz w:val="18"/>
              </w:rPr>
              <w:t>N</w:t>
            </w:r>
          </w:p>
        </w:tc>
        <w:tc>
          <w:tcPr>
            <w:tcW w:w="900" w:type="dxa"/>
            <w:vAlign w:val="center"/>
          </w:tcPr>
          <w:p w14:paraId="3D091E80" w14:textId="77777777" w:rsidR="00C87E1E" w:rsidRPr="001766B2" w:rsidRDefault="00C87E1E" w:rsidP="00C87E1E">
            <w:pPr>
              <w:jc w:val="center"/>
              <w:rPr>
                <w:noProof/>
                <w:sz w:val="18"/>
              </w:rPr>
            </w:pPr>
            <w:r w:rsidRPr="001766B2">
              <w:rPr>
                <w:noProof/>
                <w:sz w:val="18"/>
              </w:rPr>
              <w:t>År</w:t>
            </w:r>
            <w:r w:rsidRPr="001766B2">
              <w:rPr>
                <w:noProof/>
              </w:rPr>
              <w:t xml:space="preserve"> </w:t>
            </w:r>
            <w:r w:rsidRPr="001766B2">
              <w:rPr>
                <w:noProof/>
              </w:rPr>
              <w:br/>
            </w:r>
            <w:r w:rsidRPr="001766B2">
              <w:rPr>
                <w:b/>
                <w:noProof/>
                <w:sz w:val="18"/>
              </w:rPr>
              <w:t>N+1</w:t>
            </w:r>
          </w:p>
        </w:tc>
        <w:tc>
          <w:tcPr>
            <w:tcW w:w="900" w:type="dxa"/>
            <w:vAlign w:val="center"/>
          </w:tcPr>
          <w:p w14:paraId="21E3E739" w14:textId="77777777" w:rsidR="00C87E1E" w:rsidRPr="001766B2" w:rsidRDefault="00C87E1E" w:rsidP="00C87E1E">
            <w:pPr>
              <w:jc w:val="center"/>
              <w:rPr>
                <w:noProof/>
                <w:sz w:val="18"/>
              </w:rPr>
            </w:pPr>
            <w:r w:rsidRPr="001766B2">
              <w:rPr>
                <w:noProof/>
                <w:sz w:val="18"/>
              </w:rPr>
              <w:t>År</w:t>
            </w:r>
            <w:r w:rsidRPr="001766B2">
              <w:rPr>
                <w:noProof/>
              </w:rPr>
              <w:t xml:space="preserve"> </w:t>
            </w:r>
            <w:r w:rsidRPr="001766B2">
              <w:rPr>
                <w:noProof/>
              </w:rPr>
              <w:br/>
            </w:r>
            <w:r w:rsidRPr="001766B2">
              <w:rPr>
                <w:b/>
                <w:noProof/>
                <w:sz w:val="18"/>
              </w:rPr>
              <w:t>N+2</w:t>
            </w:r>
          </w:p>
        </w:tc>
        <w:tc>
          <w:tcPr>
            <w:tcW w:w="1080" w:type="dxa"/>
            <w:vAlign w:val="center"/>
          </w:tcPr>
          <w:p w14:paraId="3F2A3D90" w14:textId="77777777" w:rsidR="00C87E1E" w:rsidRPr="001766B2" w:rsidRDefault="00C87E1E" w:rsidP="00C87E1E">
            <w:pPr>
              <w:jc w:val="center"/>
              <w:rPr>
                <w:noProof/>
                <w:sz w:val="18"/>
              </w:rPr>
            </w:pPr>
            <w:r w:rsidRPr="001766B2">
              <w:rPr>
                <w:noProof/>
                <w:sz w:val="18"/>
              </w:rPr>
              <w:t>År</w:t>
            </w:r>
            <w:r w:rsidRPr="001766B2">
              <w:rPr>
                <w:noProof/>
              </w:rPr>
              <w:t xml:space="preserve"> </w:t>
            </w:r>
            <w:r w:rsidRPr="001766B2">
              <w:rPr>
                <w:noProof/>
              </w:rPr>
              <w:br/>
            </w:r>
            <w:r w:rsidRPr="001766B2">
              <w:rPr>
                <w:b/>
                <w:noProof/>
                <w:sz w:val="18"/>
              </w:rPr>
              <w:t>N+3</w:t>
            </w:r>
          </w:p>
        </w:tc>
        <w:tc>
          <w:tcPr>
            <w:tcW w:w="3240" w:type="dxa"/>
            <w:gridSpan w:val="3"/>
            <w:vAlign w:val="center"/>
          </w:tcPr>
          <w:p w14:paraId="52889E92" w14:textId="77777777" w:rsidR="00C87E1E" w:rsidRPr="001766B2" w:rsidRDefault="00C87E1E" w:rsidP="00C87E1E">
            <w:pPr>
              <w:jc w:val="center"/>
              <w:rPr>
                <w:b/>
                <w:noProof/>
                <w:sz w:val="18"/>
              </w:rPr>
            </w:pPr>
            <w:r w:rsidRPr="001766B2">
              <w:rPr>
                <w:noProof/>
                <w:sz w:val="18"/>
              </w:rPr>
              <w:t>För in så många år som behövs för att redovisa varaktigheten för inverkan på resursanvändningen (jfr punkt 1.6)</w:t>
            </w:r>
          </w:p>
        </w:tc>
      </w:tr>
      <w:tr w:rsidR="00C87E1E" w:rsidRPr="001766B2" w14:paraId="13CB5366" w14:textId="77777777" w:rsidTr="00C87E1E">
        <w:trPr>
          <w:trHeight w:val="388"/>
        </w:trPr>
        <w:tc>
          <w:tcPr>
            <w:tcW w:w="2144" w:type="dxa"/>
            <w:vAlign w:val="center"/>
          </w:tcPr>
          <w:p w14:paraId="28FEF8AC" w14:textId="77777777" w:rsidR="00C87E1E" w:rsidRPr="001766B2" w:rsidRDefault="00C87E1E" w:rsidP="00C87E1E">
            <w:pPr>
              <w:spacing w:before="40" w:after="40"/>
              <w:rPr>
                <w:noProof/>
                <w:sz w:val="18"/>
              </w:rPr>
            </w:pPr>
            <w:r w:rsidRPr="001766B2">
              <w:rPr>
                <w:noProof/>
                <w:sz w:val="18"/>
              </w:rPr>
              <w:t>Artikel ………….</w:t>
            </w:r>
          </w:p>
        </w:tc>
        <w:tc>
          <w:tcPr>
            <w:tcW w:w="1325" w:type="dxa"/>
          </w:tcPr>
          <w:p w14:paraId="5896AB6F" w14:textId="77777777" w:rsidR="00C87E1E" w:rsidRPr="001766B2" w:rsidRDefault="00C87E1E" w:rsidP="00C87E1E">
            <w:pPr>
              <w:spacing w:beforeLines="40" w:before="96" w:afterLines="40" w:after="96"/>
              <w:jc w:val="center"/>
              <w:rPr>
                <w:i/>
                <w:noProof/>
                <w:sz w:val="18"/>
                <w:lang w:eastAsia="en-GB"/>
              </w:rPr>
            </w:pPr>
          </w:p>
        </w:tc>
        <w:tc>
          <w:tcPr>
            <w:tcW w:w="1031" w:type="dxa"/>
          </w:tcPr>
          <w:p w14:paraId="273BB012" w14:textId="77777777" w:rsidR="00C87E1E" w:rsidRPr="001766B2" w:rsidRDefault="00C87E1E" w:rsidP="00C87E1E">
            <w:pPr>
              <w:spacing w:beforeLines="40" w:before="96" w:afterLines="40" w:after="96"/>
              <w:jc w:val="center"/>
              <w:rPr>
                <w:noProof/>
                <w:sz w:val="18"/>
                <w:lang w:eastAsia="en-GB"/>
              </w:rPr>
            </w:pPr>
          </w:p>
        </w:tc>
        <w:tc>
          <w:tcPr>
            <w:tcW w:w="900" w:type="dxa"/>
          </w:tcPr>
          <w:p w14:paraId="37DE67D9" w14:textId="77777777" w:rsidR="00C87E1E" w:rsidRPr="001766B2" w:rsidRDefault="00C87E1E" w:rsidP="00C87E1E">
            <w:pPr>
              <w:spacing w:beforeLines="40" w:before="96" w:afterLines="40" w:after="96"/>
              <w:jc w:val="center"/>
              <w:rPr>
                <w:noProof/>
                <w:sz w:val="18"/>
                <w:lang w:eastAsia="en-GB"/>
              </w:rPr>
            </w:pPr>
          </w:p>
        </w:tc>
        <w:tc>
          <w:tcPr>
            <w:tcW w:w="900" w:type="dxa"/>
          </w:tcPr>
          <w:p w14:paraId="6A42CA58" w14:textId="77777777" w:rsidR="00C87E1E" w:rsidRPr="001766B2" w:rsidRDefault="00C87E1E" w:rsidP="00C87E1E">
            <w:pPr>
              <w:spacing w:beforeLines="40" w:before="96" w:afterLines="40" w:after="96"/>
              <w:jc w:val="center"/>
              <w:rPr>
                <w:noProof/>
                <w:sz w:val="18"/>
                <w:lang w:eastAsia="en-GB"/>
              </w:rPr>
            </w:pPr>
          </w:p>
        </w:tc>
        <w:tc>
          <w:tcPr>
            <w:tcW w:w="1080" w:type="dxa"/>
          </w:tcPr>
          <w:p w14:paraId="1F597BFF" w14:textId="77777777" w:rsidR="00C87E1E" w:rsidRPr="001766B2" w:rsidRDefault="00C87E1E" w:rsidP="00C87E1E">
            <w:pPr>
              <w:spacing w:beforeLines="40" w:before="96" w:afterLines="40" w:after="96"/>
              <w:jc w:val="center"/>
              <w:rPr>
                <w:noProof/>
                <w:sz w:val="18"/>
                <w:lang w:eastAsia="en-GB"/>
              </w:rPr>
            </w:pPr>
          </w:p>
        </w:tc>
        <w:tc>
          <w:tcPr>
            <w:tcW w:w="1080" w:type="dxa"/>
          </w:tcPr>
          <w:p w14:paraId="46F699F0" w14:textId="77777777" w:rsidR="00C87E1E" w:rsidRPr="001766B2" w:rsidRDefault="00C87E1E" w:rsidP="00C87E1E">
            <w:pPr>
              <w:spacing w:beforeLines="40" w:before="96" w:afterLines="40" w:after="96"/>
              <w:jc w:val="center"/>
              <w:rPr>
                <w:noProof/>
                <w:sz w:val="18"/>
                <w:lang w:eastAsia="en-GB"/>
              </w:rPr>
            </w:pPr>
          </w:p>
        </w:tc>
        <w:tc>
          <w:tcPr>
            <w:tcW w:w="1080" w:type="dxa"/>
          </w:tcPr>
          <w:p w14:paraId="7D7C5DC8" w14:textId="77777777" w:rsidR="00C87E1E" w:rsidRPr="001766B2" w:rsidRDefault="00C87E1E" w:rsidP="00C87E1E">
            <w:pPr>
              <w:spacing w:beforeLines="40" w:before="96" w:afterLines="40" w:after="96"/>
              <w:jc w:val="center"/>
              <w:rPr>
                <w:noProof/>
                <w:sz w:val="18"/>
                <w:lang w:eastAsia="en-GB"/>
              </w:rPr>
            </w:pPr>
          </w:p>
        </w:tc>
        <w:tc>
          <w:tcPr>
            <w:tcW w:w="1080" w:type="dxa"/>
          </w:tcPr>
          <w:p w14:paraId="2726BA71" w14:textId="77777777" w:rsidR="00C87E1E" w:rsidRPr="001766B2" w:rsidRDefault="00C87E1E" w:rsidP="00C87E1E">
            <w:pPr>
              <w:spacing w:beforeLines="40" w:before="96" w:afterLines="40" w:after="96"/>
              <w:jc w:val="center"/>
              <w:rPr>
                <w:noProof/>
                <w:sz w:val="18"/>
                <w:lang w:eastAsia="en-GB"/>
              </w:rPr>
            </w:pPr>
          </w:p>
        </w:tc>
      </w:tr>
    </w:tbl>
    <w:p w14:paraId="7A4B3B6E" w14:textId="77777777" w:rsidR="00C87E1E" w:rsidRPr="001766B2" w:rsidRDefault="00C87E1E" w:rsidP="00FB18F4">
      <w:pPr>
        <w:rPr>
          <w:noProof/>
          <w:sz w:val="20"/>
        </w:rPr>
      </w:pPr>
      <w:r w:rsidRPr="001766B2">
        <w:rPr>
          <w:noProof/>
          <w:sz w:val="20"/>
        </w:rPr>
        <w:t>För inkomster avsatta för särskilda ändamål, ange vilka budgetrubriker i utgiftsdelen som berörs.</w:t>
      </w:r>
    </w:p>
    <w:p w14:paraId="3333E0D3" w14:textId="77777777" w:rsidR="00C87E1E" w:rsidRPr="001766B2" w:rsidRDefault="00C87E1E" w:rsidP="00FB18F4">
      <w:pPr>
        <w:pBdr>
          <w:top w:val="single" w:sz="4" w:space="1" w:color="auto"/>
          <w:left w:val="single" w:sz="4" w:space="4" w:color="auto"/>
          <w:bottom w:val="single" w:sz="4" w:space="1" w:color="auto"/>
          <w:right w:val="single" w:sz="4" w:space="4" w:color="auto"/>
        </w:pBdr>
        <w:rPr>
          <w:noProof/>
        </w:rPr>
      </w:pPr>
      <w:r w:rsidRPr="001766B2">
        <w:rPr>
          <w:noProof/>
          <w:color w:val="0000FF"/>
        </w:rPr>
        <w:t>[…]</w:t>
      </w:r>
    </w:p>
    <w:p w14:paraId="6844CDD9" w14:textId="77777777" w:rsidR="00C87E1E" w:rsidRPr="001766B2" w:rsidRDefault="00C87E1E" w:rsidP="00FB18F4">
      <w:pPr>
        <w:rPr>
          <w:noProof/>
          <w:sz w:val="20"/>
        </w:rPr>
      </w:pPr>
      <w:r w:rsidRPr="001766B2">
        <w:rPr>
          <w:noProof/>
          <w:sz w:val="20"/>
        </w:rPr>
        <w:t>Övriga anmärkningar (t.ex. vilken metod/formel som har använts för att beräkna inverkan på inkomsterna eller andra relevanta uppgifter).</w:t>
      </w:r>
    </w:p>
    <w:p w14:paraId="3299FDD0" w14:textId="77777777" w:rsidR="00C1332E" w:rsidRPr="001766B2" w:rsidRDefault="00C87E1E" w:rsidP="004B3EAF">
      <w:pPr>
        <w:pBdr>
          <w:top w:val="single" w:sz="4" w:space="1" w:color="auto"/>
          <w:left w:val="single" w:sz="4" w:space="4" w:color="auto"/>
          <w:bottom w:val="single" w:sz="4" w:space="1" w:color="auto"/>
          <w:right w:val="single" w:sz="4" w:space="4" w:color="auto"/>
        </w:pBdr>
        <w:rPr>
          <w:noProof/>
        </w:rPr>
      </w:pPr>
      <w:r w:rsidRPr="001766B2">
        <w:rPr>
          <w:noProof/>
          <w:color w:val="0000FF"/>
        </w:rPr>
        <w:t>[…]</w:t>
      </w:r>
    </w:p>
    <w:sectPr w:rsidR="00C1332E" w:rsidRPr="001766B2" w:rsidSect="00151EC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63A1" w14:textId="77777777" w:rsidR="00963336" w:rsidRDefault="00963336">
      <w:pPr>
        <w:spacing w:before="0" w:after="0"/>
      </w:pPr>
      <w:r>
        <w:separator/>
      </w:r>
    </w:p>
  </w:endnote>
  <w:endnote w:type="continuationSeparator" w:id="0">
    <w:p w14:paraId="7F6B33A6" w14:textId="77777777" w:rsidR="00963336" w:rsidRDefault="00963336">
      <w:pPr>
        <w:spacing w:before="0" w:after="0"/>
      </w:pPr>
      <w:r>
        <w:continuationSeparator/>
      </w:r>
    </w:p>
  </w:endnote>
  <w:endnote w:type="continuationNotice" w:id="1">
    <w:p w14:paraId="53694E48" w14:textId="77777777" w:rsidR="00963336" w:rsidRDefault="009633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0F01" w14:textId="720B82D8" w:rsidR="00963336" w:rsidRPr="00151ECD" w:rsidRDefault="00151ECD" w:rsidP="00151ECD">
    <w:pPr>
      <w:pStyle w:val="Footer"/>
      <w:rPr>
        <w:rFonts w:ascii="Arial" w:hAnsi="Arial" w:cs="Arial"/>
        <w:b/>
        <w:sz w:val="48"/>
      </w:rPr>
    </w:pPr>
    <w:r w:rsidRPr="00151ECD">
      <w:rPr>
        <w:rFonts w:ascii="Arial" w:hAnsi="Arial" w:cs="Arial"/>
        <w:b/>
        <w:sz w:val="48"/>
      </w:rPr>
      <w:t>SV</w:t>
    </w:r>
    <w:r w:rsidRPr="00151ECD">
      <w:rPr>
        <w:rFonts w:ascii="Arial" w:hAnsi="Arial" w:cs="Arial"/>
        <w:b/>
        <w:sz w:val="48"/>
      </w:rPr>
      <w:tab/>
    </w:r>
    <w:r w:rsidRPr="00151ECD">
      <w:rPr>
        <w:rFonts w:ascii="Arial" w:hAnsi="Arial" w:cs="Arial"/>
        <w:b/>
        <w:sz w:val="48"/>
      </w:rPr>
      <w:tab/>
    </w:r>
    <w:r w:rsidRPr="00151ECD">
      <w:tab/>
    </w:r>
    <w:r w:rsidRPr="00151ECD">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B794D" w14:textId="599ABCD5" w:rsidR="00151ECD" w:rsidRPr="00151ECD" w:rsidRDefault="00151ECD" w:rsidP="00151ECD">
    <w:pPr>
      <w:pStyle w:val="Footer"/>
      <w:rPr>
        <w:rFonts w:ascii="Arial" w:hAnsi="Arial" w:cs="Arial"/>
        <w:b/>
        <w:sz w:val="48"/>
      </w:rPr>
    </w:pPr>
    <w:r w:rsidRPr="00151ECD">
      <w:rPr>
        <w:rFonts w:ascii="Arial" w:hAnsi="Arial" w:cs="Arial"/>
        <w:b/>
        <w:sz w:val="48"/>
      </w:rPr>
      <w:t>SV</w:t>
    </w:r>
    <w:r w:rsidRPr="00151ECD">
      <w:rPr>
        <w:rFonts w:ascii="Arial" w:hAnsi="Arial" w:cs="Arial"/>
        <w:b/>
        <w:sz w:val="48"/>
      </w:rPr>
      <w:tab/>
    </w:r>
    <w:r>
      <w:fldChar w:fldCharType="begin"/>
    </w:r>
    <w:r>
      <w:instrText xml:space="preserve"> PAGE  \* MERGEFORMAT </w:instrText>
    </w:r>
    <w:r>
      <w:fldChar w:fldCharType="separate"/>
    </w:r>
    <w:r w:rsidR="00DD15A8">
      <w:rPr>
        <w:noProof/>
      </w:rPr>
      <w:t>16</w:t>
    </w:r>
    <w:r>
      <w:fldChar w:fldCharType="end"/>
    </w:r>
    <w:r>
      <w:tab/>
    </w:r>
    <w:r w:rsidRPr="00151ECD">
      <w:tab/>
    </w:r>
    <w:r w:rsidRPr="00151ECD">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4EC3" w14:textId="77777777" w:rsidR="00151ECD" w:rsidRPr="00151ECD" w:rsidRDefault="00151ECD" w:rsidP="00151E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447D" w14:textId="5BB2868D" w:rsidR="00151ECD" w:rsidRPr="00151ECD" w:rsidRDefault="00151ECD" w:rsidP="00151ECD">
    <w:pPr>
      <w:pStyle w:val="FooterLandscape"/>
      <w:rPr>
        <w:rFonts w:ascii="Arial" w:hAnsi="Arial" w:cs="Arial"/>
        <w:b/>
        <w:sz w:val="48"/>
      </w:rPr>
    </w:pPr>
    <w:r w:rsidRPr="00151ECD">
      <w:rPr>
        <w:rFonts w:ascii="Arial" w:hAnsi="Arial" w:cs="Arial"/>
        <w:b/>
        <w:sz w:val="48"/>
      </w:rPr>
      <w:t>SV</w:t>
    </w:r>
    <w:r w:rsidRPr="00151E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51ECD">
      <w:tab/>
    </w:r>
    <w:r w:rsidRPr="00151ECD">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76E4" w14:textId="77777777" w:rsidR="00151ECD" w:rsidRPr="00151ECD" w:rsidRDefault="00151ECD" w:rsidP="00151ECD">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7687" w14:textId="7BDAC7B5" w:rsidR="00963336" w:rsidRPr="00151ECD" w:rsidRDefault="00151ECD" w:rsidP="00151ECD">
    <w:pPr>
      <w:pStyle w:val="Footer"/>
      <w:rPr>
        <w:rFonts w:ascii="Arial" w:hAnsi="Arial" w:cs="Arial"/>
        <w:b/>
        <w:sz w:val="48"/>
      </w:rPr>
    </w:pPr>
    <w:r w:rsidRPr="00151ECD">
      <w:rPr>
        <w:rFonts w:ascii="Arial" w:hAnsi="Arial" w:cs="Arial"/>
        <w:b/>
        <w:sz w:val="48"/>
      </w:rPr>
      <w:t>SV</w:t>
    </w:r>
    <w:r w:rsidRPr="00151E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51ECD">
      <w:tab/>
    </w:r>
    <w:r w:rsidRPr="00151ECD">
      <w:rPr>
        <w:rFonts w:ascii="Arial" w:hAnsi="Arial" w:cs="Arial"/>
        <w:b/>
        <w:sz w:val="48"/>
      </w:rPr>
      <w:t>SV</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0F27" w14:textId="77777777" w:rsidR="00151ECD" w:rsidRPr="00151ECD" w:rsidRDefault="00151ECD" w:rsidP="0015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6D3DD" w14:textId="77777777" w:rsidR="00963336" w:rsidRDefault="00963336">
      <w:pPr>
        <w:spacing w:before="0" w:after="0"/>
      </w:pPr>
      <w:r>
        <w:separator/>
      </w:r>
    </w:p>
  </w:footnote>
  <w:footnote w:type="continuationSeparator" w:id="0">
    <w:p w14:paraId="47B04C87" w14:textId="77777777" w:rsidR="00963336" w:rsidRDefault="00963336">
      <w:pPr>
        <w:spacing w:before="0" w:after="0"/>
      </w:pPr>
      <w:r>
        <w:continuationSeparator/>
      </w:r>
    </w:p>
  </w:footnote>
  <w:footnote w:type="continuationNotice" w:id="1">
    <w:p w14:paraId="032031E2" w14:textId="77777777" w:rsidR="00963336" w:rsidRDefault="00963336">
      <w:pPr>
        <w:spacing w:before="0" w:after="0"/>
      </w:pPr>
    </w:p>
  </w:footnote>
  <w:footnote w:id="2">
    <w:p w14:paraId="3A27C33F" w14:textId="77777777" w:rsidR="00963336" w:rsidRDefault="00963336" w:rsidP="002D130D">
      <w:pPr>
        <w:pStyle w:val="FootnoteText"/>
      </w:pPr>
      <w:r>
        <w:rPr>
          <w:rStyle w:val="FootnoteReference"/>
        </w:rPr>
        <w:footnoteRef/>
      </w:r>
      <w:r>
        <w:tab/>
        <w:t>Rådets genomförandebeslut (EU) 2022/382 av den 4 mars 2022 om fastställande av att det föreligger massiv tillströmning av fördrivna personer från Ukraina i den mening som avses i artikel 5 i direktiv 2001/55/EG, med följden att tillfälligt skydd införs (EUT L 71, 4.3.2022, s. 1).</w:t>
      </w:r>
    </w:p>
  </w:footnote>
  <w:footnote w:id="3">
    <w:p w14:paraId="227A0C60" w14:textId="77777777" w:rsidR="00963336" w:rsidRPr="00093372" w:rsidRDefault="00963336" w:rsidP="002D130D">
      <w:pPr>
        <w:pStyle w:val="FootnoteText"/>
      </w:pPr>
      <w:r>
        <w:rPr>
          <w:rStyle w:val="FootnoteReference"/>
        </w:rPr>
        <w:footnoteRef/>
      </w:r>
      <w:r>
        <w:tab/>
        <w:t>Rådets direktiv 2001/55/EG av den 20 juli 2001 om miniminormer för att ge tillfälligt skydd vid massiv tillströmning av fördrivna personer och om åtgärder för att främja en balans mellan medlemsstaternas insatser för att ta emot dessa personer och bära följderna av detta (EGT L 212, 7.8.2001, s. 12).</w:t>
      </w:r>
    </w:p>
  </w:footnote>
  <w:footnote w:id="4">
    <w:p w14:paraId="3C3151AE" w14:textId="5D8D98EE" w:rsidR="00963336" w:rsidRPr="00027C97" w:rsidRDefault="00963336">
      <w:pPr>
        <w:pStyle w:val="FootnoteText"/>
      </w:pPr>
      <w:r>
        <w:rPr>
          <w:rStyle w:val="FootnoteReference"/>
        </w:rPr>
        <w:footnoteRef/>
      </w:r>
      <w:r>
        <w:tab/>
        <w:t>Europaparlamentets och rådets förordning (EU) 2022/562 av den 6 april 2022 om ändring av förordningarna (EU) nr 1303/2013 och (EU) nr 223/2014 vad gäller sammanhållningsinsatser för flyktingar i Europa (EUT L 109, 8.4.2022, s. 1).</w:t>
      </w:r>
    </w:p>
  </w:footnote>
  <w:footnote w:id="5">
    <w:p w14:paraId="1A017714" w14:textId="77777777" w:rsidR="00963336" w:rsidRDefault="00963336">
      <w:pPr>
        <w:pStyle w:val="FootnoteText"/>
      </w:pPr>
      <w:r>
        <w:rPr>
          <w:rStyle w:val="FootnoteReference"/>
        </w:rPr>
        <w:footnoteRef/>
      </w:r>
      <w:r>
        <w:tab/>
        <w:t>EUT C , , s. .</w:t>
      </w:r>
    </w:p>
  </w:footnote>
  <w:footnote w:id="6">
    <w:p w14:paraId="4541EA72" w14:textId="77777777" w:rsidR="00963336" w:rsidRDefault="00963336">
      <w:pPr>
        <w:pStyle w:val="FootnoteText"/>
      </w:pPr>
      <w:r>
        <w:rPr>
          <w:rStyle w:val="FootnoteReference"/>
        </w:rPr>
        <w:footnoteRef/>
      </w:r>
      <w:r>
        <w:tab/>
        <w:t>EUT C , , s. .</w:t>
      </w:r>
    </w:p>
  </w:footnote>
  <w:footnote w:id="7">
    <w:p w14:paraId="0CCBE964" w14:textId="77777777" w:rsidR="00963336" w:rsidRPr="00EE3449" w:rsidRDefault="00963336" w:rsidP="0011607E">
      <w:pPr>
        <w:pStyle w:val="FootnoteText"/>
      </w:pPr>
      <w:r>
        <w:rPr>
          <w:rStyle w:val="FootnoteReference"/>
        </w:rPr>
        <w:footnoteRef/>
      </w:r>
      <w:r>
        <w:tab/>
        <w:t>Rådets förordning (EU, Euratom) 2020/2093 av den 17 december 2020 om den fleråriga budgetramen 2021–2027 (EUT L 433I, 22.12.2020, s. 11).</w:t>
      </w:r>
    </w:p>
  </w:footnote>
  <w:footnote w:id="8">
    <w:p w14:paraId="6461B69B" w14:textId="46FD0582" w:rsidR="00963336" w:rsidRPr="00027C97" w:rsidRDefault="00963336">
      <w:pPr>
        <w:pStyle w:val="FootnoteText"/>
      </w:pPr>
      <w:r>
        <w:rPr>
          <w:rStyle w:val="FootnoteReference"/>
        </w:rPr>
        <w:footnoteRef/>
      </w:r>
      <w:r>
        <w:tab/>
        <w:t>Europaparlamentets och rådets förordning (EU) 2022/562 av den 6 april 2022 om ändring av förordningarna (EU) nr 1303/2013 och (EU) nr 223/2014 vad gäller sammanhållningsinsatser för flyktingar i Europa (EUT L 109, 8.4.2022, s. 1).</w:t>
      </w:r>
    </w:p>
  </w:footnote>
  <w:footnote w:id="9">
    <w:p w14:paraId="7CAF8763" w14:textId="77777777" w:rsidR="00963336" w:rsidRPr="006E0515" w:rsidRDefault="00963336" w:rsidP="0011607E">
      <w:pPr>
        <w:pStyle w:val="FootnoteText"/>
      </w:pPr>
      <w:r>
        <w:rPr>
          <w:rStyle w:val="FootnoteReference"/>
        </w:rPr>
        <w:footnoteRef/>
      </w:r>
      <w:r>
        <w:tab/>
        <w:t>Europaparlamentets och rådets förordning (EU) nr 1303/2013 av den 17 december 2013 om fastställande av gemensamma bestämmelser för Europeiska regionala utvecklingsfonden, Europeiska socialfonden, Sammanhållningsfonden, Europeiska jordbruksfonden för landsbygdsutveckling och Europeiska havs- och fiskerifonden, om fastställande av allmänna bestämmelser för Europeiska regionala utvecklingsfonden, Europeiska socialfonden, Sammanhållningsfonden och Europeiska havs- och fiskerifonden samt om upphävande av rådets förordning (EG) nr 1083/2006 (EUT L 347, 20.12.2013, s. 320).</w:t>
      </w:r>
    </w:p>
  </w:footnote>
  <w:footnote w:id="10">
    <w:p w14:paraId="74E9D494" w14:textId="77777777" w:rsidR="00963336" w:rsidRPr="00750D4D" w:rsidRDefault="00963336" w:rsidP="0011607E">
      <w:pPr>
        <w:pStyle w:val="FootnoteText"/>
      </w:pPr>
      <w:r>
        <w:rPr>
          <w:rStyle w:val="FootnoteReference"/>
        </w:rPr>
        <w:footnoteRef/>
      </w:r>
      <w:r>
        <w:tab/>
        <w:t>Europaparlamentets och rådets förordning (EU) nr 223/2014 av den 11 mars 2014 om fonden för europeiskt bistånd till dem som har det sämst ställt (EUT L 72, 12.3.2014, s. 1).</w:t>
      </w:r>
    </w:p>
  </w:footnote>
  <w:footnote w:id="11">
    <w:p w14:paraId="23CE5C80" w14:textId="4BC2600E" w:rsidR="00963336" w:rsidRPr="00027C97" w:rsidRDefault="00963336">
      <w:pPr>
        <w:pStyle w:val="FootnoteText"/>
      </w:pPr>
      <w:r>
        <w:rPr>
          <w:rStyle w:val="FootnoteReference"/>
        </w:rPr>
        <w:footnoteRef/>
      </w:r>
      <w:r>
        <w:tab/>
        <w:t>Europaparlamentets och rådets förordning (EU) 2022/613 av den 12 april 2022 om ändring av förordningarna (EU) nr 1303/2013 och (EU) nr 223/2014 vad gäller ökad förfinansiering med React-EU-medel och fastställandet av en enhetskostnad (EUT L 115, 13.4.2022, s. 38).</w:t>
      </w:r>
    </w:p>
  </w:footnote>
  <w:footnote w:id="12">
    <w:p w14:paraId="449578F3" w14:textId="77777777" w:rsidR="00963336" w:rsidRPr="008F6722" w:rsidRDefault="00963336" w:rsidP="00FE6BBA">
      <w:pPr>
        <w:pStyle w:val="FootnoteText"/>
      </w:pPr>
      <w:r>
        <w:rPr>
          <w:rStyle w:val="FootnoteReference"/>
        </w:rPr>
        <w:footnoteRef/>
      </w:r>
      <w:r>
        <w:tab/>
        <w:t>Europaparlamentets och rådets förordning (EU) 2021/1060 av den 24 juni 2021 om fastställande av gemensamma bestämmelser för Europeiska regionala utvecklingsfonden, Europeiska socialfonden+, Sammanhållningsfonden, Fonden för en rättvis omställning och Europeiska havs-, fiskeri- och vattenbruksfonden samt finansiella regler för dessa och för Asyl-, migrations- och integrationsfonden, Fonden för inre säkerhet samt instrumentet för ekonomiskt stöd för gränsförvaltning och viseringspolitik (EUT L 231, 30.6.2021, s. 159).</w:t>
      </w:r>
    </w:p>
  </w:footnote>
  <w:footnote w:id="13">
    <w:p w14:paraId="414453F0" w14:textId="34C35DBE" w:rsidR="00963336" w:rsidRPr="00027C97" w:rsidRDefault="00963336">
      <w:pPr>
        <w:pStyle w:val="FootnoteText"/>
      </w:pPr>
      <w:r>
        <w:rPr>
          <w:rStyle w:val="FootnoteReference"/>
        </w:rPr>
        <w:footnoteRef/>
      </w:r>
      <w:r>
        <w:tab/>
        <w:t>Rådets genomförandebeslut (EU) 2022/382 av den 4 mars 2022 om fastställande av att det föreligger massiv tillströmning av fördrivna personer från Ukraina i den mening som avses i artikel 5 i direktiv 2001/55/EG, med följden att tillfälligt skydd införs (EUT L 71, 4.3.2022, s. 1).</w:t>
      </w:r>
    </w:p>
  </w:footnote>
  <w:footnote w:id="14">
    <w:p w14:paraId="54544248" w14:textId="2D213DD1" w:rsidR="00963336" w:rsidRPr="00027C97" w:rsidRDefault="00963336">
      <w:pPr>
        <w:pStyle w:val="FootnoteText"/>
      </w:pPr>
      <w:r>
        <w:rPr>
          <w:rStyle w:val="FootnoteReference"/>
        </w:rPr>
        <w:footnoteRef/>
      </w:r>
      <w:r>
        <w:tab/>
        <w:t>Rådets direktiv 2001/55/EG av den 20 juli 2001 om miniminormer för att ge tillfälligt skydd vid massiv tillströmning av fördrivna personer och om åtgärder för att främja en balans mellan medlemsstaternas insatser för att ta emot dessa personer och bära följderna av detta (EGT L 212, 7.8.2001, s. 12).</w:t>
      </w:r>
    </w:p>
  </w:footnote>
  <w:footnote w:id="15">
    <w:p w14:paraId="58483D1A" w14:textId="77777777" w:rsidR="00963336" w:rsidRDefault="00963336">
      <w:pPr>
        <w:pStyle w:val="FootnoteText"/>
      </w:pPr>
      <w:r>
        <w:rPr>
          <w:rStyle w:val="FootnoteReference"/>
        </w:rPr>
        <w:footnoteRef/>
      </w:r>
      <w:r>
        <w:tab/>
        <w:t>Europaparlamentets och rådets förordning (EU) nr 1301/2013 av den 17 december 2013 om Europeiska regionala utvecklingsfonden och om särskilda bestämmelser för målet för målet Investering för tillväxt och sysselsättning samt om upphävande av rådets förordning (EG) nr 1080/200 (EUT L 347, 20.12.2013, s. 289).</w:t>
      </w:r>
    </w:p>
  </w:footnote>
  <w:footnote w:id="16">
    <w:p w14:paraId="665CF5C5" w14:textId="77777777" w:rsidR="00963336" w:rsidRDefault="00963336">
      <w:pPr>
        <w:pStyle w:val="FootnoteText"/>
      </w:pPr>
      <w:r>
        <w:rPr>
          <w:rStyle w:val="FootnoteReference"/>
        </w:rPr>
        <w:footnoteRef/>
      </w:r>
      <w:r>
        <w:tab/>
        <w:t>Europaparlamentets och rådets förordning (EU) nr 1304/2013 av den 17 december 2013 om Europeiska socialfonden och om upphävande av rådets förordning (EG) nr 1081/2006 (EUT L 347, 20.12.2013, s. 470).</w:t>
      </w:r>
    </w:p>
  </w:footnote>
  <w:footnote w:id="17">
    <w:p w14:paraId="174D72EA" w14:textId="77777777" w:rsidR="00963336" w:rsidRDefault="00963336">
      <w:pPr>
        <w:pStyle w:val="FootnoteText"/>
      </w:pPr>
      <w:r>
        <w:rPr>
          <w:rStyle w:val="FootnoteReference"/>
        </w:rPr>
        <w:footnoteRef/>
      </w:r>
      <w:r>
        <w:tab/>
        <w:t>Europaparlamentets och rådets förordning (EU) nr 1300/2013 av den 17 december 2013 om Sammanhållningsfonden och om upphävande av rådets förordning (EG) nr 1084/2006 (EUT L 347, 20.12.2013, s. 281).</w:t>
      </w:r>
    </w:p>
  </w:footnote>
  <w:footnote w:id="18">
    <w:p w14:paraId="113E4783" w14:textId="77777777" w:rsidR="00963336" w:rsidRDefault="00963336">
      <w:pPr>
        <w:pStyle w:val="FootnoteText"/>
      </w:pPr>
      <w:r>
        <w:rPr>
          <w:rStyle w:val="FootnoteReference"/>
        </w:rPr>
        <w:footnoteRef/>
      </w:r>
      <w:r>
        <w:tab/>
        <w:t>Europaparlamentets och rådets förordning (EU) nr 1299/2013 av den 17 december 2013 om särskilda bestämmelser för stöd från Europeiska regionala utvecklingsfonden till målet Europeiskt territoriellt samarbete (EUT L 347, 20.12.2013, s. 259).</w:t>
      </w:r>
    </w:p>
  </w:footnote>
  <w:footnote w:id="19">
    <w:p w14:paraId="1D4A3187" w14:textId="77777777" w:rsidR="00963336" w:rsidRDefault="00963336">
      <w:pPr>
        <w:pStyle w:val="FootnoteText"/>
      </w:pPr>
      <w:r>
        <w:rPr>
          <w:rStyle w:val="FootnoteReference"/>
        </w:rPr>
        <w:footnoteRef/>
      </w:r>
      <w:r>
        <w:tab/>
        <w:t>Europaparlamentets och rådets förordning (EU) nr 508/2014 av den 15 maj 2014 om Europeiska havs- och fiskerifonden och om upphävande av rådets förordningar (EG) nr 2328/2003, (EG) nr 861/2006, (EG) nr 1198/2006 och (EG) nr 791/2007 och Europaparlamentets och rådets förordning (EU) nr 1255/2011 (EUT L 149, 20.5.2014, s. 1).</w:t>
      </w:r>
    </w:p>
  </w:footnote>
  <w:footnote w:id="20">
    <w:p w14:paraId="425ABFB7" w14:textId="77777777" w:rsidR="00963336" w:rsidRDefault="00963336" w:rsidP="00E41E7D">
      <w:pPr>
        <w:pStyle w:val="FootnoteText"/>
        <w:rPr>
          <w:szCs w:val="24"/>
        </w:rPr>
      </w:pPr>
      <w:r>
        <w:rPr>
          <w:rStyle w:val="FootnoteReference"/>
        </w:rPr>
        <w:footnoteRef/>
      </w:r>
      <w:r>
        <w:tab/>
        <w:t>I den mening som avses i artikel 58.2 a eller b i budgetförordningen.</w:t>
      </w:r>
    </w:p>
  </w:footnote>
  <w:footnote w:id="21">
    <w:p w14:paraId="2E79A7BF" w14:textId="77777777" w:rsidR="00963336" w:rsidRDefault="00963336" w:rsidP="00E41E7D">
      <w:pPr>
        <w:pStyle w:val="FootnoteText"/>
        <w:jc w:val="left"/>
        <w:rPr>
          <w:szCs w:val="24"/>
        </w:rPr>
      </w:pPr>
      <w:r>
        <w:rPr>
          <w:rStyle w:val="FootnoteReference"/>
        </w:rPr>
        <w:footnoteRef/>
      </w:r>
      <w:r>
        <w:tab/>
        <w:t xml:space="preserve">Närmare förklaringar av de olika metoderna för genomförande med hänvisningar till respektive bestämmelser i budgetförordningen återfinns på BudgWeb: </w:t>
      </w:r>
      <w:hyperlink r:id="rId1" w:history="1">
        <w:r>
          <w:rPr>
            <w:rStyle w:val="Hyperlink"/>
          </w:rPr>
          <w:t>https://myintracomm.ec.europa.eu/budgweb/EN/man/budgmanag/Pages/budgmanag.aspx</w:t>
        </w:r>
      </w:hyperlink>
      <w:r>
        <w:t xml:space="preserve"> </w:t>
      </w:r>
    </w:p>
  </w:footnote>
  <w:footnote w:id="22">
    <w:p w14:paraId="0C25232E" w14:textId="77777777" w:rsidR="00963336" w:rsidRDefault="00963336" w:rsidP="00C87E1E">
      <w:pPr>
        <w:pStyle w:val="FootnoteText"/>
        <w:rPr>
          <w:szCs w:val="24"/>
        </w:rPr>
      </w:pPr>
      <w:r>
        <w:rPr>
          <w:rStyle w:val="FootnoteReference"/>
        </w:rPr>
        <w:footnoteRef/>
      </w:r>
      <w:r>
        <w:tab/>
        <w:t>Diff. = differentierade anslag / Icke-diff. = icke-differentierade anslag.</w:t>
      </w:r>
    </w:p>
  </w:footnote>
  <w:footnote w:id="23">
    <w:p w14:paraId="07C3588E" w14:textId="77777777" w:rsidR="00963336" w:rsidRDefault="00963336" w:rsidP="00C87E1E">
      <w:pPr>
        <w:pStyle w:val="FootnoteText"/>
        <w:rPr>
          <w:szCs w:val="24"/>
        </w:rPr>
      </w:pPr>
      <w:r>
        <w:rPr>
          <w:rStyle w:val="FootnoteReference"/>
        </w:rPr>
        <w:footnoteRef/>
      </w:r>
      <w:r>
        <w:tab/>
        <w:t xml:space="preserve">Efta: Europeiska frihandelssammanslutningen. </w:t>
      </w:r>
    </w:p>
  </w:footnote>
  <w:footnote w:id="24">
    <w:p w14:paraId="6C2905F1" w14:textId="77777777" w:rsidR="00963336" w:rsidRDefault="00963336" w:rsidP="00C87E1E">
      <w:pPr>
        <w:pStyle w:val="FootnoteText"/>
        <w:rPr>
          <w:szCs w:val="24"/>
        </w:rPr>
      </w:pPr>
      <w:r>
        <w:rPr>
          <w:rStyle w:val="FootnoteReference"/>
        </w:rPr>
        <w:footnoteRef/>
      </w:r>
      <w:r>
        <w:tab/>
        <w:t>Kandidatländer och i förekommande fall potentiella kandidatländer i västra Balkan.</w:t>
      </w:r>
    </w:p>
  </w:footnote>
  <w:footnote w:id="25">
    <w:p w14:paraId="7CD5DDE4" w14:textId="77777777" w:rsidR="00963336" w:rsidRDefault="00963336" w:rsidP="00431F4F">
      <w:pPr>
        <w:pStyle w:val="FootnoteText"/>
        <w:rPr>
          <w:szCs w:val="24"/>
        </w:rPr>
      </w:pPr>
      <w:r>
        <w:rPr>
          <w:rStyle w:val="FootnoteReference"/>
        </w:rPr>
        <w:footnoteRef/>
      </w:r>
      <w:r>
        <w:tab/>
      </w:r>
      <w:r>
        <w:rPr>
          <w:sz w:val="18"/>
        </w:rPr>
        <w:t>Detta avser tekniskt eller administrativt stöd för genomförandet av vissa av Europeiska unionens program och åtgärder (tidigare s.k. BA-poster) samt indirekta och direkta forskningsåtgärder.</w:t>
      </w:r>
    </w:p>
  </w:footnote>
  <w:footnote w:id="26">
    <w:p w14:paraId="33AE7109" w14:textId="77777777" w:rsidR="00963336" w:rsidRDefault="00963336" w:rsidP="00C87E1E">
      <w:pPr>
        <w:pStyle w:val="FootnoteText"/>
        <w:rPr>
          <w:szCs w:val="24"/>
        </w:rPr>
      </w:pPr>
      <w:r>
        <w:rPr>
          <w:rStyle w:val="FootnoteReference"/>
        </w:rPr>
        <w:footnoteRef/>
      </w:r>
      <w:r>
        <w:tab/>
        <w:t>Output som ska anges är de produkter eller tjänster som levererats (t.ex. antal studentutbyten som har finansierats eller antal kilometer väg som har byggts).</w:t>
      </w:r>
    </w:p>
  </w:footnote>
  <w:footnote w:id="27">
    <w:p w14:paraId="46332DD3" w14:textId="77777777" w:rsidR="00963336" w:rsidRDefault="00963336" w:rsidP="00C87E1E">
      <w:pPr>
        <w:pStyle w:val="FootnoteText"/>
        <w:rPr>
          <w:szCs w:val="24"/>
        </w:rPr>
      </w:pPr>
      <w:r>
        <w:rPr>
          <w:rStyle w:val="FootnoteReference"/>
        </w:rPr>
        <w:footnoteRef/>
      </w:r>
      <w:r>
        <w:tab/>
        <w:t xml:space="preserve">Mål som redovisats under punkt 1.4.2: ”Specifikt/specifika mål…”. </w:t>
      </w:r>
    </w:p>
  </w:footnote>
  <w:footnote w:id="28">
    <w:p w14:paraId="3471E366" w14:textId="77777777" w:rsidR="00963336" w:rsidRPr="008D0E8A" w:rsidRDefault="00963336" w:rsidP="00C87E1E">
      <w:pPr>
        <w:pStyle w:val="FootnoteText"/>
        <w:rPr>
          <w:sz w:val="18"/>
          <w:szCs w:val="18"/>
        </w:rPr>
      </w:pPr>
      <w:r>
        <w:rPr>
          <w:rStyle w:val="FootnoteReference"/>
        </w:rPr>
        <w:footnoteRef/>
      </w:r>
      <w:r>
        <w:tab/>
      </w:r>
      <w:r>
        <w:rPr>
          <w:sz w:val="18"/>
        </w:rPr>
        <w:t>Med år N avses det år då förslaget eller initiativet ska börja genomföras. Ersätt ”N” med det förväntade första genomförandeåret (till exempel 2021). Detsamma för följande år.</w:t>
      </w:r>
    </w:p>
  </w:footnote>
  <w:footnote w:id="29">
    <w:p w14:paraId="102DA18A" w14:textId="77777777" w:rsidR="00963336" w:rsidRDefault="00963336" w:rsidP="00C87E1E">
      <w:pPr>
        <w:pStyle w:val="FootnoteText"/>
        <w:rPr>
          <w:szCs w:val="24"/>
        </w:rPr>
      </w:pPr>
      <w:r>
        <w:rPr>
          <w:rStyle w:val="FootnoteReference"/>
        </w:rPr>
        <w:footnoteRef/>
      </w:r>
      <w:r>
        <w:tab/>
        <w:t>Detta avser tekniskt eller administrativt stöd för genomförandet av vissa av Europeiska unionens program och åtgärder (tidigare s.k. BA-poster) samt indirekta och direkta forskningsåtgärder.</w:t>
      </w:r>
    </w:p>
  </w:footnote>
  <w:footnote w:id="30">
    <w:p w14:paraId="419AEAAC" w14:textId="77777777" w:rsidR="00963336" w:rsidRDefault="00963336" w:rsidP="00C87E1E">
      <w:pPr>
        <w:pStyle w:val="FootnoteText"/>
        <w:rPr>
          <w:szCs w:val="24"/>
        </w:rPr>
      </w:pPr>
      <w:r>
        <w:rPr>
          <w:rStyle w:val="FootnoteReference"/>
        </w:rPr>
        <w:footnoteRef/>
      </w:r>
      <w:r>
        <w:tab/>
        <w:t xml:space="preserve">[Denna fotnot förklarar vissa initialförkortningar som inte används i den svenska versionen]. </w:t>
      </w:r>
    </w:p>
  </w:footnote>
  <w:footnote w:id="31">
    <w:p w14:paraId="6F29A385" w14:textId="77777777" w:rsidR="00963336" w:rsidRDefault="00963336" w:rsidP="00C87E1E">
      <w:pPr>
        <w:pStyle w:val="FootnoteText"/>
        <w:rPr>
          <w:szCs w:val="24"/>
        </w:rPr>
      </w:pPr>
      <w:r>
        <w:rPr>
          <w:rStyle w:val="FootnoteReference"/>
        </w:rPr>
        <w:footnoteRef/>
      </w:r>
      <w:r>
        <w:tab/>
        <w:t>Särskilt tak för finansiering av extern personal genom driftsanslag (tidigare s.k. BA-poster).</w:t>
      </w:r>
    </w:p>
  </w:footnote>
  <w:footnote w:id="32">
    <w:p w14:paraId="2B7319C2" w14:textId="77777777" w:rsidR="00963336" w:rsidRDefault="00963336" w:rsidP="00C87E1E">
      <w:pPr>
        <w:pStyle w:val="FootnoteText"/>
      </w:pPr>
      <w:r>
        <w:rPr>
          <w:rStyle w:val="FootnoteReference"/>
        </w:rPr>
        <w:footnoteRef/>
      </w:r>
      <w:r>
        <w:tab/>
        <w:t>Med år N avses det år då förslaget eller initiativet ska börja genomföras. Ersätt ”N” med det förväntade första genomförandeåret (till exempel 2021). Detsamma för följande år.</w:t>
      </w:r>
    </w:p>
  </w:footnote>
  <w:footnote w:id="33">
    <w:p w14:paraId="79AFE570" w14:textId="77777777" w:rsidR="00963336" w:rsidRDefault="00963336" w:rsidP="00C87E1E">
      <w:pPr>
        <w:pStyle w:val="FootnoteText"/>
        <w:rPr>
          <w:szCs w:val="24"/>
        </w:rPr>
      </w:pPr>
      <w:r>
        <w:rPr>
          <w:rStyle w:val="FootnoteReference"/>
        </w:rPr>
        <w:footnoteRef/>
      </w:r>
      <w:r>
        <w:tab/>
        <w:t>När det gäller traditionella egna medel (tullar och sockeravgifter) ska nettobeloppen anges, dvs. bruttobeloppen minus 20 % avdrag för uppbördskostnader.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6881" w14:textId="77777777" w:rsidR="00151ECD" w:rsidRPr="00151ECD" w:rsidRDefault="00151ECD" w:rsidP="00151ECD">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8ED0" w14:textId="77777777" w:rsidR="00151ECD" w:rsidRPr="00151ECD" w:rsidRDefault="00151ECD" w:rsidP="00151ECD">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3317" w14:textId="77777777" w:rsidR="00963336" w:rsidRPr="00C36AA6" w:rsidRDefault="00963336" w:rsidP="00151E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1CAC" w14:textId="77777777" w:rsidR="00151ECD" w:rsidRPr="00151ECD" w:rsidRDefault="00151ECD" w:rsidP="00151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0"/>
  </w:num>
  <w:num w:numId="11">
    <w:abstractNumId w:val="19"/>
  </w:num>
  <w:num w:numId="12">
    <w:abstractNumId w:val="14"/>
  </w:num>
  <w:num w:numId="13">
    <w:abstractNumId w:val="13"/>
  </w:num>
  <w:num w:numId="14">
    <w:abstractNumId w:val="22"/>
    <w:lvlOverride w:ilvl="0">
      <w:startOverride w:val="1"/>
    </w:lvlOverride>
  </w:num>
  <w:num w:numId="15">
    <w:abstractNumId w:val="27"/>
    <w:lvlOverride w:ilvl="0">
      <w:startOverride w:val="1"/>
    </w:lvlOverride>
  </w:num>
  <w:num w:numId="16">
    <w:abstractNumId w:val="24"/>
  </w:num>
  <w:num w:numId="17">
    <w:abstractNumId w:val="15"/>
  </w:num>
  <w:num w:numId="18">
    <w:abstractNumId w:val="26"/>
  </w:num>
  <w:num w:numId="19">
    <w:abstractNumId w:val="12"/>
  </w:num>
  <w:num w:numId="20">
    <w:abstractNumId w:val="16"/>
  </w:num>
  <w:num w:numId="21">
    <w:abstractNumId w:val="17"/>
  </w:num>
  <w:num w:numId="22">
    <w:abstractNumId w:val="10"/>
  </w:num>
  <w:num w:numId="23">
    <w:abstractNumId w:val="25"/>
  </w:num>
  <w:num w:numId="24">
    <w:abstractNumId w:val="9"/>
  </w:num>
  <w:num w:numId="25">
    <w:abstractNumId w:val="18"/>
  </w:num>
  <w:num w:numId="26">
    <w:abstractNumId w:val="22"/>
  </w:num>
  <w:num w:numId="27">
    <w:abstractNumId w:val="23"/>
  </w:num>
  <w:num w:numId="28">
    <w:abstractNumId w:val="11"/>
  </w:num>
  <w:num w:numId="29">
    <w:abstractNumId w:val="21"/>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7-01 12:13:3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1AE352A3-E445-4177-85EB-FCD08FEFFE62"/>
    <w:docVar w:name="LW_COVERPAGE_TYPE" w:val="1"/>
    <w:docVar w:name="LW_CROSSREFERENCE" w:val="&lt;UNUSED&gt;"/>
    <w:docVar w:name="LW_DocType" w:val="COM"/>
    <w:docVar w:name="LW_EMISSION" w:val="29.6.2022"/>
    <w:docVar w:name="LW_EMISSION_ISODATE" w:val="2022-06-29"/>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208"/>
    <w:docVar w:name="LW_REF.II.NEW.CP_YEAR" w:val="2022"/>
    <w:docVar w:name="LW_REF.INST.NEW" w:val="COM"/>
    <w:docVar w:name="LW_REF.INST.NEW_ADOPTED" w:val="final"/>
    <w:docVar w:name="LW_REF.INST.NEW_TEXT" w:val="(2022)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ändring av förordning (EU) nr 1303/2013 och förordning (EU) 2021/1060 vad gäller ytterligare flexibilitet för att hantera konsekvenserna av Ryska federationens militära angrepp _x000b_Fast (flexibelt stöd till territorier) – Care"/>
    <w:docVar w:name="LW_TYPE.DOC.CP" w:val="EUROPAPARLAMENTETS OCH RÅDETS FÖRORDNING"/>
    <w:docVar w:name="LwApiVersions" w:val="LW4CoDe 1.23.2.0; LW 8.0, Build 20211117"/>
  </w:docVars>
  <w:rsids>
    <w:rsidRoot w:val="00C1332E"/>
    <w:rsid w:val="0000018F"/>
    <w:rsid w:val="00000438"/>
    <w:rsid w:val="00000D80"/>
    <w:rsid w:val="000013B8"/>
    <w:rsid w:val="00002070"/>
    <w:rsid w:val="00002B5D"/>
    <w:rsid w:val="0000561F"/>
    <w:rsid w:val="00007482"/>
    <w:rsid w:val="00007FCC"/>
    <w:rsid w:val="00010016"/>
    <w:rsid w:val="00011A54"/>
    <w:rsid w:val="00012F1F"/>
    <w:rsid w:val="000144CA"/>
    <w:rsid w:val="00016C39"/>
    <w:rsid w:val="00017758"/>
    <w:rsid w:val="00020FF8"/>
    <w:rsid w:val="00021FA3"/>
    <w:rsid w:val="00027C97"/>
    <w:rsid w:val="000307C8"/>
    <w:rsid w:val="000314FC"/>
    <w:rsid w:val="00032C70"/>
    <w:rsid w:val="00035429"/>
    <w:rsid w:val="00036AC7"/>
    <w:rsid w:val="000426FD"/>
    <w:rsid w:val="0004555E"/>
    <w:rsid w:val="000467FB"/>
    <w:rsid w:val="00046C9E"/>
    <w:rsid w:val="00050B68"/>
    <w:rsid w:val="00052646"/>
    <w:rsid w:val="000542B4"/>
    <w:rsid w:val="00063A22"/>
    <w:rsid w:val="00065883"/>
    <w:rsid w:val="00070C9F"/>
    <w:rsid w:val="00071BD1"/>
    <w:rsid w:val="00075498"/>
    <w:rsid w:val="0008111C"/>
    <w:rsid w:val="000819DB"/>
    <w:rsid w:val="00085318"/>
    <w:rsid w:val="0008649A"/>
    <w:rsid w:val="000938DE"/>
    <w:rsid w:val="00095928"/>
    <w:rsid w:val="00096C59"/>
    <w:rsid w:val="000970BF"/>
    <w:rsid w:val="000A1216"/>
    <w:rsid w:val="000A195F"/>
    <w:rsid w:val="000A352E"/>
    <w:rsid w:val="000A6742"/>
    <w:rsid w:val="000B20C4"/>
    <w:rsid w:val="000C2BB7"/>
    <w:rsid w:val="000C42C5"/>
    <w:rsid w:val="000C59FD"/>
    <w:rsid w:val="000D4125"/>
    <w:rsid w:val="000D58DE"/>
    <w:rsid w:val="000D75D4"/>
    <w:rsid w:val="000E055F"/>
    <w:rsid w:val="000E5EF5"/>
    <w:rsid w:val="000E6CE2"/>
    <w:rsid w:val="000F0BB3"/>
    <w:rsid w:val="000F7C63"/>
    <w:rsid w:val="00104D2B"/>
    <w:rsid w:val="00104FE3"/>
    <w:rsid w:val="00105416"/>
    <w:rsid w:val="0010591B"/>
    <w:rsid w:val="00106314"/>
    <w:rsid w:val="00107C7D"/>
    <w:rsid w:val="00111C25"/>
    <w:rsid w:val="0011388B"/>
    <w:rsid w:val="00113C50"/>
    <w:rsid w:val="00115AF9"/>
    <w:rsid w:val="0011607E"/>
    <w:rsid w:val="00116216"/>
    <w:rsid w:val="00121158"/>
    <w:rsid w:val="001325FC"/>
    <w:rsid w:val="0013335C"/>
    <w:rsid w:val="00133C77"/>
    <w:rsid w:val="001357C0"/>
    <w:rsid w:val="001359C9"/>
    <w:rsid w:val="00136CB4"/>
    <w:rsid w:val="00137595"/>
    <w:rsid w:val="00137AA4"/>
    <w:rsid w:val="001414D1"/>
    <w:rsid w:val="00143278"/>
    <w:rsid w:val="00144782"/>
    <w:rsid w:val="00146C76"/>
    <w:rsid w:val="00151187"/>
    <w:rsid w:val="00151ECD"/>
    <w:rsid w:val="00155312"/>
    <w:rsid w:val="001555B2"/>
    <w:rsid w:val="00161BA8"/>
    <w:rsid w:val="00163578"/>
    <w:rsid w:val="00164E78"/>
    <w:rsid w:val="00166416"/>
    <w:rsid w:val="001709B1"/>
    <w:rsid w:val="00171099"/>
    <w:rsid w:val="0017323E"/>
    <w:rsid w:val="0017445D"/>
    <w:rsid w:val="001765BE"/>
    <w:rsid w:val="001766B2"/>
    <w:rsid w:val="00182F8D"/>
    <w:rsid w:val="00183B08"/>
    <w:rsid w:val="00187529"/>
    <w:rsid w:val="00194A92"/>
    <w:rsid w:val="001971C4"/>
    <w:rsid w:val="001A0977"/>
    <w:rsid w:val="001A599E"/>
    <w:rsid w:val="001B03F8"/>
    <w:rsid w:val="001B0677"/>
    <w:rsid w:val="001B084D"/>
    <w:rsid w:val="001B19CB"/>
    <w:rsid w:val="001C42E9"/>
    <w:rsid w:val="001C5F76"/>
    <w:rsid w:val="001C64D8"/>
    <w:rsid w:val="001D03A2"/>
    <w:rsid w:val="001D2C74"/>
    <w:rsid w:val="001D48CE"/>
    <w:rsid w:val="001D5BF4"/>
    <w:rsid w:val="001D77AA"/>
    <w:rsid w:val="001E602C"/>
    <w:rsid w:val="001E674C"/>
    <w:rsid w:val="001E71F7"/>
    <w:rsid w:val="001E7AAB"/>
    <w:rsid w:val="001F0EDA"/>
    <w:rsid w:val="001F30AD"/>
    <w:rsid w:val="001F63B3"/>
    <w:rsid w:val="002062E7"/>
    <w:rsid w:val="00206E18"/>
    <w:rsid w:val="00206E78"/>
    <w:rsid w:val="002103A3"/>
    <w:rsid w:val="00210B15"/>
    <w:rsid w:val="00210F98"/>
    <w:rsid w:val="002118DA"/>
    <w:rsid w:val="00212B56"/>
    <w:rsid w:val="00212D2A"/>
    <w:rsid w:val="00214A4C"/>
    <w:rsid w:val="00215403"/>
    <w:rsid w:val="002169D9"/>
    <w:rsid w:val="00217EB4"/>
    <w:rsid w:val="002222E2"/>
    <w:rsid w:val="00222CEF"/>
    <w:rsid w:val="00226351"/>
    <w:rsid w:val="002275C4"/>
    <w:rsid w:val="002313F4"/>
    <w:rsid w:val="00231D18"/>
    <w:rsid w:val="00232992"/>
    <w:rsid w:val="002463FA"/>
    <w:rsid w:val="00250627"/>
    <w:rsid w:val="00250720"/>
    <w:rsid w:val="00252328"/>
    <w:rsid w:val="00252E6C"/>
    <w:rsid w:val="00255132"/>
    <w:rsid w:val="00255416"/>
    <w:rsid w:val="00257806"/>
    <w:rsid w:val="00271C42"/>
    <w:rsid w:val="002726CD"/>
    <w:rsid w:val="002763E9"/>
    <w:rsid w:val="0027658B"/>
    <w:rsid w:val="00277226"/>
    <w:rsid w:val="00277A05"/>
    <w:rsid w:val="00281195"/>
    <w:rsid w:val="002812B3"/>
    <w:rsid w:val="0028218C"/>
    <w:rsid w:val="00284CBF"/>
    <w:rsid w:val="00291600"/>
    <w:rsid w:val="00292208"/>
    <w:rsid w:val="0029365C"/>
    <w:rsid w:val="00295334"/>
    <w:rsid w:val="002967E3"/>
    <w:rsid w:val="002A3ED6"/>
    <w:rsid w:val="002A50BA"/>
    <w:rsid w:val="002A5EC6"/>
    <w:rsid w:val="002A66CF"/>
    <w:rsid w:val="002B1527"/>
    <w:rsid w:val="002B168F"/>
    <w:rsid w:val="002B629F"/>
    <w:rsid w:val="002C0859"/>
    <w:rsid w:val="002C3696"/>
    <w:rsid w:val="002C58C3"/>
    <w:rsid w:val="002D0E2E"/>
    <w:rsid w:val="002D130D"/>
    <w:rsid w:val="002D2B41"/>
    <w:rsid w:val="002D44A5"/>
    <w:rsid w:val="002D6338"/>
    <w:rsid w:val="002E0753"/>
    <w:rsid w:val="002E533D"/>
    <w:rsid w:val="002E537C"/>
    <w:rsid w:val="002E6841"/>
    <w:rsid w:val="002F2810"/>
    <w:rsid w:val="002F3ABB"/>
    <w:rsid w:val="002F3FFE"/>
    <w:rsid w:val="002F54C3"/>
    <w:rsid w:val="002F554A"/>
    <w:rsid w:val="00301AC6"/>
    <w:rsid w:val="003039C0"/>
    <w:rsid w:val="00304116"/>
    <w:rsid w:val="003062E4"/>
    <w:rsid w:val="00312293"/>
    <w:rsid w:val="003147B2"/>
    <w:rsid w:val="00324790"/>
    <w:rsid w:val="003261E3"/>
    <w:rsid w:val="003273A3"/>
    <w:rsid w:val="00327C7A"/>
    <w:rsid w:val="00332DE2"/>
    <w:rsid w:val="00333908"/>
    <w:rsid w:val="0033399C"/>
    <w:rsid w:val="0033410D"/>
    <w:rsid w:val="00336174"/>
    <w:rsid w:val="00340EA6"/>
    <w:rsid w:val="00341575"/>
    <w:rsid w:val="003418E7"/>
    <w:rsid w:val="003432A2"/>
    <w:rsid w:val="003472E3"/>
    <w:rsid w:val="003503DC"/>
    <w:rsid w:val="00352EDC"/>
    <w:rsid w:val="003535D8"/>
    <w:rsid w:val="0035593D"/>
    <w:rsid w:val="00355B16"/>
    <w:rsid w:val="00360F56"/>
    <w:rsid w:val="00362751"/>
    <w:rsid w:val="00362810"/>
    <w:rsid w:val="00363583"/>
    <w:rsid w:val="00363B80"/>
    <w:rsid w:val="00365833"/>
    <w:rsid w:val="00367795"/>
    <w:rsid w:val="00375E07"/>
    <w:rsid w:val="00377B56"/>
    <w:rsid w:val="00383264"/>
    <w:rsid w:val="003901C8"/>
    <w:rsid w:val="00390E35"/>
    <w:rsid w:val="00393C6B"/>
    <w:rsid w:val="00395481"/>
    <w:rsid w:val="00396995"/>
    <w:rsid w:val="003A3FDE"/>
    <w:rsid w:val="003A6B7D"/>
    <w:rsid w:val="003B08B3"/>
    <w:rsid w:val="003B136D"/>
    <w:rsid w:val="003B6A3C"/>
    <w:rsid w:val="003B7094"/>
    <w:rsid w:val="003C0C5B"/>
    <w:rsid w:val="003C1853"/>
    <w:rsid w:val="003C2E36"/>
    <w:rsid w:val="003C6D77"/>
    <w:rsid w:val="003D19EB"/>
    <w:rsid w:val="003D2470"/>
    <w:rsid w:val="003E082F"/>
    <w:rsid w:val="003E0E5F"/>
    <w:rsid w:val="003E1A2D"/>
    <w:rsid w:val="003F1C4C"/>
    <w:rsid w:val="003F1FB5"/>
    <w:rsid w:val="003F6F89"/>
    <w:rsid w:val="00402C8B"/>
    <w:rsid w:val="00403FFD"/>
    <w:rsid w:val="00404DB4"/>
    <w:rsid w:val="00406A17"/>
    <w:rsid w:val="004079F0"/>
    <w:rsid w:val="004110E5"/>
    <w:rsid w:val="00416DDF"/>
    <w:rsid w:val="0042067E"/>
    <w:rsid w:val="00424456"/>
    <w:rsid w:val="00424DFB"/>
    <w:rsid w:val="004300AB"/>
    <w:rsid w:val="004308EA"/>
    <w:rsid w:val="00431DB6"/>
    <w:rsid w:val="00431DCD"/>
    <w:rsid w:val="00431F4F"/>
    <w:rsid w:val="004413FE"/>
    <w:rsid w:val="00445D67"/>
    <w:rsid w:val="00456B01"/>
    <w:rsid w:val="00460C2D"/>
    <w:rsid w:val="00462411"/>
    <w:rsid w:val="0046493A"/>
    <w:rsid w:val="004700C1"/>
    <w:rsid w:val="0047294E"/>
    <w:rsid w:val="00473743"/>
    <w:rsid w:val="004749B7"/>
    <w:rsid w:val="004760A2"/>
    <w:rsid w:val="004777BD"/>
    <w:rsid w:val="0048384C"/>
    <w:rsid w:val="00490C14"/>
    <w:rsid w:val="004953F4"/>
    <w:rsid w:val="004A429E"/>
    <w:rsid w:val="004A5208"/>
    <w:rsid w:val="004B3EAF"/>
    <w:rsid w:val="004B7CEC"/>
    <w:rsid w:val="004C19FB"/>
    <w:rsid w:val="004C35A1"/>
    <w:rsid w:val="004C6D45"/>
    <w:rsid w:val="004D0A81"/>
    <w:rsid w:val="004D233E"/>
    <w:rsid w:val="004D525F"/>
    <w:rsid w:val="004D6CFE"/>
    <w:rsid w:val="004D6D43"/>
    <w:rsid w:val="004D7859"/>
    <w:rsid w:val="004E05FA"/>
    <w:rsid w:val="004E0DDA"/>
    <w:rsid w:val="004E344A"/>
    <w:rsid w:val="004E43DD"/>
    <w:rsid w:val="004E542B"/>
    <w:rsid w:val="004F05AF"/>
    <w:rsid w:val="004F1EC4"/>
    <w:rsid w:val="004F1EEF"/>
    <w:rsid w:val="004F527C"/>
    <w:rsid w:val="00501DEC"/>
    <w:rsid w:val="00505D28"/>
    <w:rsid w:val="00506548"/>
    <w:rsid w:val="00507B51"/>
    <w:rsid w:val="00507FF2"/>
    <w:rsid w:val="0051008E"/>
    <w:rsid w:val="0051257A"/>
    <w:rsid w:val="00516948"/>
    <w:rsid w:val="005314BD"/>
    <w:rsid w:val="00533237"/>
    <w:rsid w:val="00536525"/>
    <w:rsid w:val="005367E7"/>
    <w:rsid w:val="005431A5"/>
    <w:rsid w:val="005442E3"/>
    <w:rsid w:val="0054591C"/>
    <w:rsid w:val="00547E8D"/>
    <w:rsid w:val="005541A2"/>
    <w:rsid w:val="00555DAC"/>
    <w:rsid w:val="00560751"/>
    <w:rsid w:val="00562067"/>
    <w:rsid w:val="00563B97"/>
    <w:rsid w:val="00565149"/>
    <w:rsid w:val="00566267"/>
    <w:rsid w:val="00566A6D"/>
    <w:rsid w:val="00567E10"/>
    <w:rsid w:val="00574DD5"/>
    <w:rsid w:val="00576C98"/>
    <w:rsid w:val="00582703"/>
    <w:rsid w:val="00582788"/>
    <w:rsid w:val="00586419"/>
    <w:rsid w:val="00586D7D"/>
    <w:rsid w:val="0059485C"/>
    <w:rsid w:val="005972C2"/>
    <w:rsid w:val="005A06C8"/>
    <w:rsid w:val="005A158B"/>
    <w:rsid w:val="005A3934"/>
    <w:rsid w:val="005A57CB"/>
    <w:rsid w:val="005A6F12"/>
    <w:rsid w:val="005B119A"/>
    <w:rsid w:val="005B22EF"/>
    <w:rsid w:val="005C0252"/>
    <w:rsid w:val="005C248E"/>
    <w:rsid w:val="005C2C63"/>
    <w:rsid w:val="005C3DED"/>
    <w:rsid w:val="005D0538"/>
    <w:rsid w:val="005D3171"/>
    <w:rsid w:val="005D4A07"/>
    <w:rsid w:val="005D4FBC"/>
    <w:rsid w:val="005D7EFD"/>
    <w:rsid w:val="005E19C0"/>
    <w:rsid w:val="005E7799"/>
    <w:rsid w:val="005F14A3"/>
    <w:rsid w:val="005F2EEF"/>
    <w:rsid w:val="005F437D"/>
    <w:rsid w:val="005F4A44"/>
    <w:rsid w:val="005F6027"/>
    <w:rsid w:val="005F656C"/>
    <w:rsid w:val="00601839"/>
    <w:rsid w:val="00603A94"/>
    <w:rsid w:val="00610796"/>
    <w:rsid w:val="00616AEC"/>
    <w:rsid w:val="0061723B"/>
    <w:rsid w:val="00620CD6"/>
    <w:rsid w:val="006227FD"/>
    <w:rsid w:val="00623C3F"/>
    <w:rsid w:val="00625FA8"/>
    <w:rsid w:val="00630582"/>
    <w:rsid w:val="00630B52"/>
    <w:rsid w:val="00637447"/>
    <w:rsid w:val="00644EEB"/>
    <w:rsid w:val="006528DC"/>
    <w:rsid w:val="00654E80"/>
    <w:rsid w:val="00655BE3"/>
    <w:rsid w:val="006573D1"/>
    <w:rsid w:val="00661C8C"/>
    <w:rsid w:val="00664403"/>
    <w:rsid w:val="00667A88"/>
    <w:rsid w:val="0067241D"/>
    <w:rsid w:val="00675CCF"/>
    <w:rsid w:val="00676147"/>
    <w:rsid w:val="00676680"/>
    <w:rsid w:val="006801A3"/>
    <w:rsid w:val="00680A27"/>
    <w:rsid w:val="00680B87"/>
    <w:rsid w:val="006818BC"/>
    <w:rsid w:val="00682DA7"/>
    <w:rsid w:val="006832B4"/>
    <w:rsid w:val="006839D4"/>
    <w:rsid w:val="0068659C"/>
    <w:rsid w:val="00686B03"/>
    <w:rsid w:val="00687B90"/>
    <w:rsid w:val="006941F3"/>
    <w:rsid w:val="00695F04"/>
    <w:rsid w:val="0069768A"/>
    <w:rsid w:val="006A36FE"/>
    <w:rsid w:val="006A7615"/>
    <w:rsid w:val="006A79D3"/>
    <w:rsid w:val="006B2CDD"/>
    <w:rsid w:val="006B5C4B"/>
    <w:rsid w:val="006C0365"/>
    <w:rsid w:val="006C2DA8"/>
    <w:rsid w:val="006C2F62"/>
    <w:rsid w:val="006C4DCE"/>
    <w:rsid w:val="006D07A9"/>
    <w:rsid w:val="006D2E24"/>
    <w:rsid w:val="006D3E64"/>
    <w:rsid w:val="006D5ABF"/>
    <w:rsid w:val="006D6D3A"/>
    <w:rsid w:val="006D7DD0"/>
    <w:rsid w:val="006E0D84"/>
    <w:rsid w:val="006E1F7F"/>
    <w:rsid w:val="006E782F"/>
    <w:rsid w:val="006F0ABA"/>
    <w:rsid w:val="006F0E07"/>
    <w:rsid w:val="006F591B"/>
    <w:rsid w:val="006F5AA2"/>
    <w:rsid w:val="006F7F18"/>
    <w:rsid w:val="00705DF8"/>
    <w:rsid w:val="00706F1F"/>
    <w:rsid w:val="00707576"/>
    <w:rsid w:val="0071189A"/>
    <w:rsid w:val="00713710"/>
    <w:rsid w:val="00715C41"/>
    <w:rsid w:val="00716035"/>
    <w:rsid w:val="007167A1"/>
    <w:rsid w:val="00717D0F"/>
    <w:rsid w:val="00720B9E"/>
    <w:rsid w:val="00721154"/>
    <w:rsid w:val="00722A58"/>
    <w:rsid w:val="0072335B"/>
    <w:rsid w:val="007325D7"/>
    <w:rsid w:val="007341EF"/>
    <w:rsid w:val="00734475"/>
    <w:rsid w:val="00736D2D"/>
    <w:rsid w:val="00741FD2"/>
    <w:rsid w:val="00745DA6"/>
    <w:rsid w:val="00746CBC"/>
    <w:rsid w:val="007516DD"/>
    <w:rsid w:val="007521D1"/>
    <w:rsid w:val="00752FDF"/>
    <w:rsid w:val="007617FA"/>
    <w:rsid w:val="00762F28"/>
    <w:rsid w:val="00766D52"/>
    <w:rsid w:val="00770BB5"/>
    <w:rsid w:val="007909C9"/>
    <w:rsid w:val="007941D8"/>
    <w:rsid w:val="007968CD"/>
    <w:rsid w:val="00797D27"/>
    <w:rsid w:val="007A5D44"/>
    <w:rsid w:val="007A7D2D"/>
    <w:rsid w:val="007B09E8"/>
    <w:rsid w:val="007C42FD"/>
    <w:rsid w:val="007D4CDA"/>
    <w:rsid w:val="007D59DE"/>
    <w:rsid w:val="007E15AB"/>
    <w:rsid w:val="007E2D4A"/>
    <w:rsid w:val="007E541D"/>
    <w:rsid w:val="007E5F2A"/>
    <w:rsid w:val="007E6066"/>
    <w:rsid w:val="007F049D"/>
    <w:rsid w:val="007F3592"/>
    <w:rsid w:val="007F59EC"/>
    <w:rsid w:val="007F5F26"/>
    <w:rsid w:val="00800AC1"/>
    <w:rsid w:val="00802F3B"/>
    <w:rsid w:val="0080688A"/>
    <w:rsid w:val="00811283"/>
    <w:rsid w:val="00816421"/>
    <w:rsid w:val="00820A97"/>
    <w:rsid w:val="00821190"/>
    <w:rsid w:val="00821969"/>
    <w:rsid w:val="008221D5"/>
    <w:rsid w:val="0083171B"/>
    <w:rsid w:val="0083364F"/>
    <w:rsid w:val="008406EE"/>
    <w:rsid w:val="0084104E"/>
    <w:rsid w:val="00841AC1"/>
    <w:rsid w:val="00851EAF"/>
    <w:rsid w:val="008524A7"/>
    <w:rsid w:val="00855A8A"/>
    <w:rsid w:val="0086040B"/>
    <w:rsid w:val="008623B2"/>
    <w:rsid w:val="00863574"/>
    <w:rsid w:val="0086744E"/>
    <w:rsid w:val="00872A2D"/>
    <w:rsid w:val="008730BC"/>
    <w:rsid w:val="00873E97"/>
    <w:rsid w:val="008741BF"/>
    <w:rsid w:val="00875845"/>
    <w:rsid w:val="00875927"/>
    <w:rsid w:val="00876654"/>
    <w:rsid w:val="00882D42"/>
    <w:rsid w:val="0088349C"/>
    <w:rsid w:val="00884E8F"/>
    <w:rsid w:val="008854F0"/>
    <w:rsid w:val="00885C1C"/>
    <w:rsid w:val="008872C1"/>
    <w:rsid w:val="00892800"/>
    <w:rsid w:val="008937FA"/>
    <w:rsid w:val="008A39EC"/>
    <w:rsid w:val="008A5FB8"/>
    <w:rsid w:val="008B061D"/>
    <w:rsid w:val="008B52E5"/>
    <w:rsid w:val="008C5510"/>
    <w:rsid w:val="008C59E0"/>
    <w:rsid w:val="008C5EC3"/>
    <w:rsid w:val="008C6C87"/>
    <w:rsid w:val="008D530A"/>
    <w:rsid w:val="008D7001"/>
    <w:rsid w:val="008D702D"/>
    <w:rsid w:val="008E36F8"/>
    <w:rsid w:val="008E3C9D"/>
    <w:rsid w:val="008E53F9"/>
    <w:rsid w:val="008E6B21"/>
    <w:rsid w:val="008F0915"/>
    <w:rsid w:val="008F2BD6"/>
    <w:rsid w:val="008F6004"/>
    <w:rsid w:val="00903613"/>
    <w:rsid w:val="0090485C"/>
    <w:rsid w:val="00907553"/>
    <w:rsid w:val="00911BF5"/>
    <w:rsid w:val="00913E3F"/>
    <w:rsid w:val="009154A2"/>
    <w:rsid w:val="00920A6C"/>
    <w:rsid w:val="00920A73"/>
    <w:rsid w:val="00925880"/>
    <w:rsid w:val="00931288"/>
    <w:rsid w:val="009347DF"/>
    <w:rsid w:val="00936901"/>
    <w:rsid w:val="00936F61"/>
    <w:rsid w:val="00940DA1"/>
    <w:rsid w:val="00942383"/>
    <w:rsid w:val="00943666"/>
    <w:rsid w:val="00944661"/>
    <w:rsid w:val="0094611D"/>
    <w:rsid w:val="00961DB6"/>
    <w:rsid w:val="00963336"/>
    <w:rsid w:val="009641DE"/>
    <w:rsid w:val="0096458A"/>
    <w:rsid w:val="00972D05"/>
    <w:rsid w:val="0097374A"/>
    <w:rsid w:val="00975445"/>
    <w:rsid w:val="0098113F"/>
    <w:rsid w:val="00984D91"/>
    <w:rsid w:val="009856E2"/>
    <w:rsid w:val="009879E9"/>
    <w:rsid w:val="00991B1B"/>
    <w:rsid w:val="00993999"/>
    <w:rsid w:val="009939BC"/>
    <w:rsid w:val="00995CFB"/>
    <w:rsid w:val="00997155"/>
    <w:rsid w:val="009976D9"/>
    <w:rsid w:val="009A5D00"/>
    <w:rsid w:val="009A7051"/>
    <w:rsid w:val="009B3DB9"/>
    <w:rsid w:val="009B3FCA"/>
    <w:rsid w:val="009C2580"/>
    <w:rsid w:val="009C2825"/>
    <w:rsid w:val="009C5AC5"/>
    <w:rsid w:val="009C67B8"/>
    <w:rsid w:val="009C6F40"/>
    <w:rsid w:val="009D1E6F"/>
    <w:rsid w:val="009D2B39"/>
    <w:rsid w:val="009E0594"/>
    <w:rsid w:val="009E492D"/>
    <w:rsid w:val="009E7319"/>
    <w:rsid w:val="009E770D"/>
    <w:rsid w:val="009E7A3C"/>
    <w:rsid w:val="009F121A"/>
    <w:rsid w:val="009F29E4"/>
    <w:rsid w:val="009F3671"/>
    <w:rsid w:val="009F51A3"/>
    <w:rsid w:val="009F526A"/>
    <w:rsid w:val="009F5936"/>
    <w:rsid w:val="009F6908"/>
    <w:rsid w:val="00A029D7"/>
    <w:rsid w:val="00A0354C"/>
    <w:rsid w:val="00A03A61"/>
    <w:rsid w:val="00A04B9C"/>
    <w:rsid w:val="00A071F1"/>
    <w:rsid w:val="00A07932"/>
    <w:rsid w:val="00A17E92"/>
    <w:rsid w:val="00A17F91"/>
    <w:rsid w:val="00A21149"/>
    <w:rsid w:val="00A21F93"/>
    <w:rsid w:val="00A233AB"/>
    <w:rsid w:val="00A24A2B"/>
    <w:rsid w:val="00A24C45"/>
    <w:rsid w:val="00A25BAB"/>
    <w:rsid w:val="00A26786"/>
    <w:rsid w:val="00A26851"/>
    <w:rsid w:val="00A27D48"/>
    <w:rsid w:val="00A27FB0"/>
    <w:rsid w:val="00A301E4"/>
    <w:rsid w:val="00A30C51"/>
    <w:rsid w:val="00A31E83"/>
    <w:rsid w:val="00A32C7F"/>
    <w:rsid w:val="00A34861"/>
    <w:rsid w:val="00A34AF1"/>
    <w:rsid w:val="00A40D00"/>
    <w:rsid w:val="00A4342B"/>
    <w:rsid w:val="00A43444"/>
    <w:rsid w:val="00A446A4"/>
    <w:rsid w:val="00A45FBC"/>
    <w:rsid w:val="00A47F0F"/>
    <w:rsid w:val="00A50101"/>
    <w:rsid w:val="00A5168D"/>
    <w:rsid w:val="00A54245"/>
    <w:rsid w:val="00A546CF"/>
    <w:rsid w:val="00A57E59"/>
    <w:rsid w:val="00A61337"/>
    <w:rsid w:val="00A6415B"/>
    <w:rsid w:val="00A65CB3"/>
    <w:rsid w:val="00A7155E"/>
    <w:rsid w:val="00A72829"/>
    <w:rsid w:val="00A7634C"/>
    <w:rsid w:val="00A76505"/>
    <w:rsid w:val="00A80519"/>
    <w:rsid w:val="00A816CD"/>
    <w:rsid w:val="00A81A9C"/>
    <w:rsid w:val="00A822E1"/>
    <w:rsid w:val="00A826BA"/>
    <w:rsid w:val="00A84BC9"/>
    <w:rsid w:val="00A85A92"/>
    <w:rsid w:val="00A863A7"/>
    <w:rsid w:val="00A87678"/>
    <w:rsid w:val="00A9022D"/>
    <w:rsid w:val="00A91000"/>
    <w:rsid w:val="00A91827"/>
    <w:rsid w:val="00A91B68"/>
    <w:rsid w:val="00A9430D"/>
    <w:rsid w:val="00A9589B"/>
    <w:rsid w:val="00A961D1"/>
    <w:rsid w:val="00A96F99"/>
    <w:rsid w:val="00AA6084"/>
    <w:rsid w:val="00AA6B40"/>
    <w:rsid w:val="00AB1A3C"/>
    <w:rsid w:val="00AB3B6A"/>
    <w:rsid w:val="00AB6D32"/>
    <w:rsid w:val="00AC05C5"/>
    <w:rsid w:val="00AD6BCA"/>
    <w:rsid w:val="00AE37AF"/>
    <w:rsid w:val="00AE50E2"/>
    <w:rsid w:val="00AE5A2A"/>
    <w:rsid w:val="00AE6013"/>
    <w:rsid w:val="00AF117E"/>
    <w:rsid w:val="00AF1B5B"/>
    <w:rsid w:val="00AF7BC9"/>
    <w:rsid w:val="00B10C87"/>
    <w:rsid w:val="00B11792"/>
    <w:rsid w:val="00B1714A"/>
    <w:rsid w:val="00B2033A"/>
    <w:rsid w:val="00B236C6"/>
    <w:rsid w:val="00B278FF"/>
    <w:rsid w:val="00B3015B"/>
    <w:rsid w:val="00B336DF"/>
    <w:rsid w:val="00B343CA"/>
    <w:rsid w:val="00B34620"/>
    <w:rsid w:val="00B34B8B"/>
    <w:rsid w:val="00B40170"/>
    <w:rsid w:val="00B41470"/>
    <w:rsid w:val="00B45387"/>
    <w:rsid w:val="00B45774"/>
    <w:rsid w:val="00B4693F"/>
    <w:rsid w:val="00B6094A"/>
    <w:rsid w:val="00B63FCC"/>
    <w:rsid w:val="00B6770D"/>
    <w:rsid w:val="00B716FE"/>
    <w:rsid w:val="00B832CB"/>
    <w:rsid w:val="00B83A12"/>
    <w:rsid w:val="00B83CAF"/>
    <w:rsid w:val="00B83E45"/>
    <w:rsid w:val="00B87BF8"/>
    <w:rsid w:val="00B87C8E"/>
    <w:rsid w:val="00B9351C"/>
    <w:rsid w:val="00B97103"/>
    <w:rsid w:val="00BA0754"/>
    <w:rsid w:val="00BA11AE"/>
    <w:rsid w:val="00BA2ADE"/>
    <w:rsid w:val="00BB305B"/>
    <w:rsid w:val="00BB4817"/>
    <w:rsid w:val="00BD1AB1"/>
    <w:rsid w:val="00BD5597"/>
    <w:rsid w:val="00BE176D"/>
    <w:rsid w:val="00BE48DD"/>
    <w:rsid w:val="00BF5445"/>
    <w:rsid w:val="00C01751"/>
    <w:rsid w:val="00C017A2"/>
    <w:rsid w:val="00C066DE"/>
    <w:rsid w:val="00C1089D"/>
    <w:rsid w:val="00C1332E"/>
    <w:rsid w:val="00C15C02"/>
    <w:rsid w:val="00C16980"/>
    <w:rsid w:val="00C172F0"/>
    <w:rsid w:val="00C21D25"/>
    <w:rsid w:val="00C231C8"/>
    <w:rsid w:val="00C237C9"/>
    <w:rsid w:val="00C250B2"/>
    <w:rsid w:val="00C27D70"/>
    <w:rsid w:val="00C30BF5"/>
    <w:rsid w:val="00C3146F"/>
    <w:rsid w:val="00C3178C"/>
    <w:rsid w:val="00C31B11"/>
    <w:rsid w:val="00C35C28"/>
    <w:rsid w:val="00C3688C"/>
    <w:rsid w:val="00C36AA6"/>
    <w:rsid w:val="00C43C95"/>
    <w:rsid w:val="00C45FA2"/>
    <w:rsid w:val="00C46D1B"/>
    <w:rsid w:val="00C47761"/>
    <w:rsid w:val="00C520AE"/>
    <w:rsid w:val="00C52F63"/>
    <w:rsid w:val="00C54654"/>
    <w:rsid w:val="00C5503D"/>
    <w:rsid w:val="00C55122"/>
    <w:rsid w:val="00C5557F"/>
    <w:rsid w:val="00C62A55"/>
    <w:rsid w:val="00C636B9"/>
    <w:rsid w:val="00C63B3A"/>
    <w:rsid w:val="00C6522B"/>
    <w:rsid w:val="00C6590B"/>
    <w:rsid w:val="00C71348"/>
    <w:rsid w:val="00C73AD9"/>
    <w:rsid w:val="00C755A3"/>
    <w:rsid w:val="00C837E3"/>
    <w:rsid w:val="00C84023"/>
    <w:rsid w:val="00C871F9"/>
    <w:rsid w:val="00C873F6"/>
    <w:rsid w:val="00C87D15"/>
    <w:rsid w:val="00C87E1E"/>
    <w:rsid w:val="00C90D19"/>
    <w:rsid w:val="00C93451"/>
    <w:rsid w:val="00C970E1"/>
    <w:rsid w:val="00CA1BE6"/>
    <w:rsid w:val="00CA4954"/>
    <w:rsid w:val="00CA5FF3"/>
    <w:rsid w:val="00CA71DD"/>
    <w:rsid w:val="00CA72F0"/>
    <w:rsid w:val="00CB0C2F"/>
    <w:rsid w:val="00CB184E"/>
    <w:rsid w:val="00CB4A3E"/>
    <w:rsid w:val="00CC46C1"/>
    <w:rsid w:val="00CC4F67"/>
    <w:rsid w:val="00CD0C1C"/>
    <w:rsid w:val="00CD4C21"/>
    <w:rsid w:val="00CE3297"/>
    <w:rsid w:val="00CE5072"/>
    <w:rsid w:val="00CE61F9"/>
    <w:rsid w:val="00CE696F"/>
    <w:rsid w:val="00CF2C8E"/>
    <w:rsid w:val="00CF2E7F"/>
    <w:rsid w:val="00CF3FF4"/>
    <w:rsid w:val="00CF74A7"/>
    <w:rsid w:val="00D006E7"/>
    <w:rsid w:val="00D01928"/>
    <w:rsid w:val="00D04245"/>
    <w:rsid w:val="00D06183"/>
    <w:rsid w:val="00D06C6A"/>
    <w:rsid w:val="00D14AAD"/>
    <w:rsid w:val="00D17CEE"/>
    <w:rsid w:val="00D225FD"/>
    <w:rsid w:val="00D226DB"/>
    <w:rsid w:val="00D30B02"/>
    <w:rsid w:val="00D32C0F"/>
    <w:rsid w:val="00D37277"/>
    <w:rsid w:val="00D42B7B"/>
    <w:rsid w:val="00D454CC"/>
    <w:rsid w:val="00D45CD0"/>
    <w:rsid w:val="00D4630B"/>
    <w:rsid w:val="00D46BF4"/>
    <w:rsid w:val="00D54D68"/>
    <w:rsid w:val="00D65449"/>
    <w:rsid w:val="00D65D64"/>
    <w:rsid w:val="00D721C8"/>
    <w:rsid w:val="00D74229"/>
    <w:rsid w:val="00D74416"/>
    <w:rsid w:val="00D75195"/>
    <w:rsid w:val="00D836C3"/>
    <w:rsid w:val="00D85035"/>
    <w:rsid w:val="00D87033"/>
    <w:rsid w:val="00D9127F"/>
    <w:rsid w:val="00D91CF7"/>
    <w:rsid w:val="00D9204C"/>
    <w:rsid w:val="00DA0114"/>
    <w:rsid w:val="00DA211F"/>
    <w:rsid w:val="00DA3892"/>
    <w:rsid w:val="00DA6183"/>
    <w:rsid w:val="00DA7085"/>
    <w:rsid w:val="00DB1DFF"/>
    <w:rsid w:val="00DC1588"/>
    <w:rsid w:val="00DC2C80"/>
    <w:rsid w:val="00DC3112"/>
    <w:rsid w:val="00DC5BB7"/>
    <w:rsid w:val="00DC5C58"/>
    <w:rsid w:val="00DC635E"/>
    <w:rsid w:val="00DC6CDD"/>
    <w:rsid w:val="00DC7AC7"/>
    <w:rsid w:val="00DD15A8"/>
    <w:rsid w:val="00DD4B5E"/>
    <w:rsid w:val="00DD4D09"/>
    <w:rsid w:val="00DD4D3E"/>
    <w:rsid w:val="00DE1480"/>
    <w:rsid w:val="00DE279F"/>
    <w:rsid w:val="00DE28F6"/>
    <w:rsid w:val="00DE5996"/>
    <w:rsid w:val="00DE6507"/>
    <w:rsid w:val="00DE6CB8"/>
    <w:rsid w:val="00DE7165"/>
    <w:rsid w:val="00DF2250"/>
    <w:rsid w:val="00DF27C8"/>
    <w:rsid w:val="00DF30BB"/>
    <w:rsid w:val="00E01F89"/>
    <w:rsid w:val="00E02128"/>
    <w:rsid w:val="00E02C73"/>
    <w:rsid w:val="00E03943"/>
    <w:rsid w:val="00E056F0"/>
    <w:rsid w:val="00E10BE1"/>
    <w:rsid w:val="00E11891"/>
    <w:rsid w:val="00E14FB1"/>
    <w:rsid w:val="00E17F54"/>
    <w:rsid w:val="00E200F9"/>
    <w:rsid w:val="00E21E1B"/>
    <w:rsid w:val="00E220EC"/>
    <w:rsid w:val="00E22C4E"/>
    <w:rsid w:val="00E23346"/>
    <w:rsid w:val="00E2601F"/>
    <w:rsid w:val="00E33098"/>
    <w:rsid w:val="00E41E7D"/>
    <w:rsid w:val="00E43F2E"/>
    <w:rsid w:val="00E45329"/>
    <w:rsid w:val="00E464CE"/>
    <w:rsid w:val="00E46FC1"/>
    <w:rsid w:val="00E510A0"/>
    <w:rsid w:val="00E54C74"/>
    <w:rsid w:val="00E56A03"/>
    <w:rsid w:val="00E57556"/>
    <w:rsid w:val="00E61475"/>
    <w:rsid w:val="00E6613B"/>
    <w:rsid w:val="00E670A8"/>
    <w:rsid w:val="00E670FA"/>
    <w:rsid w:val="00E67E9A"/>
    <w:rsid w:val="00E751CF"/>
    <w:rsid w:val="00E7533C"/>
    <w:rsid w:val="00E7613D"/>
    <w:rsid w:val="00E76B68"/>
    <w:rsid w:val="00E80C92"/>
    <w:rsid w:val="00E8243D"/>
    <w:rsid w:val="00E82DAE"/>
    <w:rsid w:val="00E83480"/>
    <w:rsid w:val="00E863C0"/>
    <w:rsid w:val="00E86714"/>
    <w:rsid w:val="00E8673D"/>
    <w:rsid w:val="00E921C7"/>
    <w:rsid w:val="00E936DD"/>
    <w:rsid w:val="00E95F4F"/>
    <w:rsid w:val="00E9633C"/>
    <w:rsid w:val="00E97CFE"/>
    <w:rsid w:val="00EB007E"/>
    <w:rsid w:val="00EB06D9"/>
    <w:rsid w:val="00EB21A6"/>
    <w:rsid w:val="00EB25F7"/>
    <w:rsid w:val="00EB57A2"/>
    <w:rsid w:val="00EC0E4B"/>
    <w:rsid w:val="00EC3F8D"/>
    <w:rsid w:val="00EC5ABF"/>
    <w:rsid w:val="00EC5F50"/>
    <w:rsid w:val="00ED3C5E"/>
    <w:rsid w:val="00EE0E15"/>
    <w:rsid w:val="00EE1190"/>
    <w:rsid w:val="00EE147E"/>
    <w:rsid w:val="00EE27A4"/>
    <w:rsid w:val="00EE4F89"/>
    <w:rsid w:val="00EE5D39"/>
    <w:rsid w:val="00EF3B10"/>
    <w:rsid w:val="00EF3D3B"/>
    <w:rsid w:val="00EF5081"/>
    <w:rsid w:val="00EF6110"/>
    <w:rsid w:val="00EF7269"/>
    <w:rsid w:val="00EF77DF"/>
    <w:rsid w:val="00F00871"/>
    <w:rsid w:val="00F10CA8"/>
    <w:rsid w:val="00F140D3"/>
    <w:rsid w:val="00F14D03"/>
    <w:rsid w:val="00F23CE4"/>
    <w:rsid w:val="00F26B06"/>
    <w:rsid w:val="00F27244"/>
    <w:rsid w:val="00F31D74"/>
    <w:rsid w:val="00F341A5"/>
    <w:rsid w:val="00F34238"/>
    <w:rsid w:val="00F346B2"/>
    <w:rsid w:val="00F36813"/>
    <w:rsid w:val="00F36932"/>
    <w:rsid w:val="00F36C89"/>
    <w:rsid w:val="00F37677"/>
    <w:rsid w:val="00F37942"/>
    <w:rsid w:val="00F408FD"/>
    <w:rsid w:val="00F42E93"/>
    <w:rsid w:val="00F443BC"/>
    <w:rsid w:val="00F4723F"/>
    <w:rsid w:val="00F47440"/>
    <w:rsid w:val="00F50150"/>
    <w:rsid w:val="00F51510"/>
    <w:rsid w:val="00F536A2"/>
    <w:rsid w:val="00F54312"/>
    <w:rsid w:val="00F6232F"/>
    <w:rsid w:val="00F63B8E"/>
    <w:rsid w:val="00F65858"/>
    <w:rsid w:val="00F66F73"/>
    <w:rsid w:val="00F677CA"/>
    <w:rsid w:val="00F74C29"/>
    <w:rsid w:val="00F74EBB"/>
    <w:rsid w:val="00F76FAB"/>
    <w:rsid w:val="00F8187B"/>
    <w:rsid w:val="00F84700"/>
    <w:rsid w:val="00F87216"/>
    <w:rsid w:val="00F90455"/>
    <w:rsid w:val="00F90995"/>
    <w:rsid w:val="00F91ABF"/>
    <w:rsid w:val="00F92178"/>
    <w:rsid w:val="00F92C97"/>
    <w:rsid w:val="00F936C3"/>
    <w:rsid w:val="00F93F97"/>
    <w:rsid w:val="00F94579"/>
    <w:rsid w:val="00FA0E20"/>
    <w:rsid w:val="00FA4BD9"/>
    <w:rsid w:val="00FA64CA"/>
    <w:rsid w:val="00FA7F00"/>
    <w:rsid w:val="00FB18F4"/>
    <w:rsid w:val="00FB195E"/>
    <w:rsid w:val="00FB35BF"/>
    <w:rsid w:val="00FB50B6"/>
    <w:rsid w:val="00FB707B"/>
    <w:rsid w:val="00FB72EB"/>
    <w:rsid w:val="00FC2E67"/>
    <w:rsid w:val="00FC35A7"/>
    <w:rsid w:val="00FC6546"/>
    <w:rsid w:val="00FD102C"/>
    <w:rsid w:val="00FD2A15"/>
    <w:rsid w:val="00FD37F5"/>
    <w:rsid w:val="00FD5D0C"/>
    <w:rsid w:val="00FD63CD"/>
    <w:rsid w:val="00FD6E63"/>
    <w:rsid w:val="00FE35CD"/>
    <w:rsid w:val="00FE364B"/>
    <w:rsid w:val="00FE53BC"/>
    <w:rsid w:val="00FE6BBA"/>
    <w:rsid w:val="00FE771C"/>
    <w:rsid w:val="00FE7FCB"/>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88BE92"/>
  <w15:docId w15:val="{DB8755A5-0B43-4CB7-B8D4-751344D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517205"/>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sv-S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LegalNumPar">
    <w:name w:val="LegalNumPar"/>
    <w:basedOn w:val="Normal"/>
    <w:rsid w:val="00F408FD"/>
    <w:pPr>
      <w:numPr>
        <w:numId w:val="13"/>
      </w:numPr>
      <w:spacing w:line="360" w:lineRule="auto"/>
    </w:pPr>
  </w:style>
  <w:style w:type="paragraph" w:customStyle="1" w:styleId="LegalNumPar2">
    <w:name w:val="LegalNumPar2"/>
    <w:basedOn w:val="Normal"/>
    <w:rsid w:val="00F408FD"/>
    <w:pPr>
      <w:numPr>
        <w:ilvl w:val="1"/>
        <w:numId w:val="13"/>
      </w:numPr>
      <w:spacing w:line="360" w:lineRule="auto"/>
    </w:pPr>
  </w:style>
  <w:style w:type="paragraph" w:customStyle="1" w:styleId="LegalNumPar3">
    <w:name w:val="LegalNumPar3"/>
    <w:basedOn w:val="Normal"/>
    <w:rsid w:val="00F408FD"/>
    <w:pPr>
      <w:numPr>
        <w:ilvl w:val="2"/>
        <w:numId w:val="13"/>
      </w:numPr>
      <w:spacing w:line="360" w:lineRule="auto"/>
    </w:pPr>
  </w:style>
  <w:style w:type="character" w:customStyle="1" w:styleId="conf-macro">
    <w:name w:val="conf-macro"/>
    <w:basedOn w:val="DefaultParagraphFont"/>
    <w:rsid w:val="00E41E7D"/>
  </w:style>
  <w:style w:type="paragraph" w:customStyle="1" w:styleId="norm">
    <w:name w:val="norm"/>
    <w:basedOn w:val="Normal"/>
    <w:rsid w:val="0054591C"/>
    <w:pPr>
      <w:spacing w:before="100" w:beforeAutospacing="1" w:after="100" w:afterAutospacing="1"/>
      <w:jc w:val="left"/>
    </w:pPr>
    <w:rPr>
      <w:rFonts w:eastAsia="Times New Roman"/>
      <w:szCs w:val="24"/>
      <w:lang w:eastAsia="fr-BE"/>
    </w:rPr>
  </w:style>
  <w:style w:type="paragraph" w:customStyle="1" w:styleId="oj-normal">
    <w:name w:val="oj-normal"/>
    <w:basedOn w:val="Normal"/>
    <w:rsid w:val="00FF6E2E"/>
    <w:pPr>
      <w:spacing w:before="100" w:beforeAutospacing="1" w:after="100" w:afterAutospacing="1"/>
      <w:jc w:val="left"/>
    </w:pPr>
    <w:rPr>
      <w:rFonts w:eastAsia="Times New Roman"/>
      <w:szCs w:val="24"/>
      <w:lang w:eastAsia="fr-BE"/>
    </w:rPr>
  </w:style>
  <w:style w:type="character" w:customStyle="1" w:styleId="oj-super">
    <w:name w:val="oj-super"/>
    <w:basedOn w:val="DefaultParagraphFont"/>
    <w:rsid w:val="00FF6E2E"/>
  </w:style>
  <w:style w:type="paragraph" w:customStyle="1" w:styleId="italic">
    <w:name w:val="italic"/>
    <w:basedOn w:val="Normal"/>
    <w:rsid w:val="00CB4A3E"/>
    <w:pPr>
      <w:spacing w:before="100" w:beforeAutospacing="1" w:after="100" w:afterAutospacing="1"/>
      <w:jc w:val="left"/>
    </w:pPr>
    <w:rPr>
      <w:rFonts w:eastAsia="Times New Roman"/>
      <w:szCs w:val="24"/>
      <w:lang w:eastAsia="fr-BE"/>
    </w:rPr>
  </w:style>
  <w:style w:type="character" w:customStyle="1" w:styleId="italic1">
    <w:name w:val="italic1"/>
    <w:basedOn w:val="DefaultParagraphFont"/>
    <w:rsid w:val="00CB4A3E"/>
  </w:style>
  <w:style w:type="paragraph" w:customStyle="1" w:styleId="oj-ti-art">
    <w:name w:val="oj-ti-art"/>
    <w:basedOn w:val="Normal"/>
    <w:rsid w:val="00C520AE"/>
    <w:pPr>
      <w:spacing w:before="100" w:beforeAutospacing="1" w:after="100" w:afterAutospacing="1"/>
      <w:jc w:val="left"/>
    </w:pPr>
    <w:rPr>
      <w:rFonts w:eastAsia="Times New Roman"/>
      <w:szCs w:val="24"/>
      <w:lang w:eastAsia="fr-BE"/>
    </w:rPr>
  </w:style>
  <w:style w:type="paragraph" w:customStyle="1" w:styleId="oj-sti-art">
    <w:name w:val="oj-sti-art"/>
    <w:basedOn w:val="Normal"/>
    <w:rsid w:val="00C520AE"/>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rsid w:val="00151ECD"/>
    <w:pPr>
      <w:tabs>
        <w:tab w:val="center" w:pos="4535"/>
        <w:tab w:val="right" w:pos="9071"/>
      </w:tabs>
      <w:spacing w:before="0"/>
    </w:pPr>
  </w:style>
  <w:style w:type="character" w:customStyle="1" w:styleId="HeaderChar">
    <w:name w:val="Header Char"/>
    <w:basedOn w:val="DefaultParagraphFont"/>
    <w:link w:val="Header"/>
    <w:uiPriority w:val="99"/>
    <w:rsid w:val="00151ECD"/>
    <w:rPr>
      <w:rFonts w:ascii="Times New Roman" w:hAnsi="Times New Roman" w:cs="Times New Roman"/>
      <w:sz w:val="24"/>
      <w:lang w:val="sv-SE"/>
    </w:rPr>
  </w:style>
  <w:style w:type="paragraph" w:styleId="Footer">
    <w:name w:val="footer"/>
    <w:basedOn w:val="Normal"/>
    <w:link w:val="FooterChar"/>
    <w:uiPriority w:val="99"/>
    <w:unhideWhenUsed/>
    <w:rsid w:val="00151E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51ECD"/>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51ECD"/>
    <w:pPr>
      <w:tabs>
        <w:tab w:val="center" w:pos="7285"/>
        <w:tab w:val="right" w:pos="14003"/>
      </w:tabs>
      <w:spacing w:before="0"/>
    </w:pPr>
  </w:style>
  <w:style w:type="paragraph" w:customStyle="1" w:styleId="FooterLandscape">
    <w:name w:val="FooterLandscape"/>
    <w:basedOn w:val="Normal"/>
    <w:rsid w:val="00151E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51E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51ECD"/>
    <w:pPr>
      <w:spacing w:before="0"/>
      <w:jc w:val="right"/>
    </w:pPr>
    <w:rPr>
      <w:sz w:val="28"/>
    </w:rPr>
  </w:style>
  <w:style w:type="paragraph" w:customStyle="1" w:styleId="FooterSensitivity">
    <w:name w:val="Footer Sensitivity"/>
    <w:basedOn w:val="Normal"/>
    <w:rsid w:val="00151E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6"/>
      </w:numPr>
    </w:pPr>
  </w:style>
  <w:style w:type="paragraph" w:customStyle="1" w:styleId="Tiret1">
    <w:name w:val="Tiret 1"/>
    <w:basedOn w:val="Point1"/>
    <w:rsid w:val="00517205"/>
    <w:pPr>
      <w:numPr>
        <w:numId w:val="17"/>
      </w:numPr>
    </w:pPr>
  </w:style>
  <w:style w:type="paragraph" w:customStyle="1" w:styleId="Tiret2">
    <w:name w:val="Tiret 2"/>
    <w:basedOn w:val="Point2"/>
    <w:rsid w:val="00517205"/>
    <w:pPr>
      <w:numPr>
        <w:numId w:val="18"/>
      </w:numPr>
    </w:pPr>
  </w:style>
  <w:style w:type="paragraph" w:customStyle="1" w:styleId="Tiret3">
    <w:name w:val="Tiret 3"/>
    <w:basedOn w:val="Point3"/>
    <w:rsid w:val="00517205"/>
    <w:pPr>
      <w:numPr>
        <w:numId w:val="19"/>
      </w:numPr>
    </w:pPr>
  </w:style>
  <w:style w:type="paragraph" w:customStyle="1" w:styleId="Tiret4">
    <w:name w:val="Tiret 4"/>
    <w:basedOn w:val="Point4"/>
    <w:rsid w:val="00517205"/>
    <w:pPr>
      <w:numPr>
        <w:numId w:val="20"/>
      </w:numPr>
    </w:pPr>
  </w:style>
  <w:style w:type="paragraph" w:customStyle="1" w:styleId="Tiret5">
    <w:name w:val="Tiret 5"/>
    <w:basedOn w:val="Point5"/>
    <w:rsid w:val="00517205"/>
    <w:pPr>
      <w:numPr>
        <w:numId w:val="2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2"/>
      </w:numPr>
    </w:pPr>
  </w:style>
  <w:style w:type="paragraph" w:customStyle="1" w:styleId="NumPar2">
    <w:name w:val="NumPar 2"/>
    <w:basedOn w:val="Normal"/>
    <w:next w:val="Text1"/>
    <w:rsid w:val="00517205"/>
    <w:pPr>
      <w:numPr>
        <w:ilvl w:val="1"/>
        <w:numId w:val="22"/>
      </w:numPr>
    </w:pPr>
  </w:style>
  <w:style w:type="paragraph" w:customStyle="1" w:styleId="NumPar3">
    <w:name w:val="NumPar 3"/>
    <w:basedOn w:val="Normal"/>
    <w:next w:val="Text1"/>
    <w:rsid w:val="00517205"/>
    <w:pPr>
      <w:numPr>
        <w:ilvl w:val="2"/>
        <w:numId w:val="22"/>
      </w:numPr>
    </w:pPr>
  </w:style>
  <w:style w:type="paragraph" w:customStyle="1" w:styleId="NumPar4">
    <w:name w:val="NumPar 4"/>
    <w:basedOn w:val="Normal"/>
    <w:next w:val="Text1"/>
    <w:rsid w:val="00517205"/>
    <w:pPr>
      <w:numPr>
        <w:ilvl w:val="3"/>
        <w:numId w:val="22"/>
      </w:numPr>
    </w:pPr>
  </w:style>
  <w:style w:type="paragraph" w:customStyle="1" w:styleId="NumPar5">
    <w:name w:val="NumPar 5"/>
    <w:basedOn w:val="Normal"/>
    <w:next w:val="Text2"/>
    <w:rsid w:val="00517205"/>
    <w:pPr>
      <w:numPr>
        <w:ilvl w:val="4"/>
        <w:numId w:val="22"/>
      </w:numPr>
    </w:pPr>
  </w:style>
  <w:style w:type="paragraph" w:customStyle="1" w:styleId="NumPar6">
    <w:name w:val="NumPar 6"/>
    <w:basedOn w:val="Normal"/>
    <w:next w:val="Text2"/>
    <w:rsid w:val="00517205"/>
    <w:pPr>
      <w:numPr>
        <w:ilvl w:val="5"/>
        <w:numId w:val="22"/>
      </w:numPr>
    </w:pPr>
  </w:style>
  <w:style w:type="paragraph" w:customStyle="1" w:styleId="NumPar7">
    <w:name w:val="NumPar 7"/>
    <w:basedOn w:val="Normal"/>
    <w:next w:val="Text2"/>
    <w:rsid w:val="00517205"/>
    <w:pPr>
      <w:numPr>
        <w:ilvl w:val="6"/>
        <w:numId w:val="2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4"/>
      </w:numPr>
    </w:pPr>
  </w:style>
  <w:style w:type="paragraph" w:customStyle="1" w:styleId="Point1number">
    <w:name w:val="Point 1 (number)"/>
    <w:basedOn w:val="Normal"/>
    <w:rsid w:val="00517205"/>
    <w:pPr>
      <w:numPr>
        <w:ilvl w:val="2"/>
        <w:numId w:val="24"/>
      </w:numPr>
    </w:pPr>
  </w:style>
  <w:style w:type="paragraph" w:customStyle="1" w:styleId="Point2number">
    <w:name w:val="Point 2 (number)"/>
    <w:basedOn w:val="Normal"/>
    <w:rsid w:val="00517205"/>
    <w:pPr>
      <w:numPr>
        <w:ilvl w:val="4"/>
        <w:numId w:val="24"/>
      </w:numPr>
    </w:pPr>
  </w:style>
  <w:style w:type="paragraph" w:customStyle="1" w:styleId="Point3number">
    <w:name w:val="Point 3 (number)"/>
    <w:basedOn w:val="Normal"/>
    <w:rsid w:val="00517205"/>
    <w:pPr>
      <w:numPr>
        <w:ilvl w:val="6"/>
        <w:numId w:val="24"/>
      </w:numPr>
    </w:pPr>
  </w:style>
  <w:style w:type="paragraph" w:customStyle="1" w:styleId="Point0letter">
    <w:name w:val="Point 0 (letter)"/>
    <w:basedOn w:val="Normal"/>
    <w:rsid w:val="00517205"/>
    <w:pPr>
      <w:numPr>
        <w:ilvl w:val="1"/>
        <w:numId w:val="24"/>
      </w:numPr>
    </w:pPr>
  </w:style>
  <w:style w:type="paragraph" w:customStyle="1" w:styleId="Point1letter">
    <w:name w:val="Point 1 (letter)"/>
    <w:basedOn w:val="Normal"/>
    <w:rsid w:val="00517205"/>
    <w:pPr>
      <w:numPr>
        <w:ilvl w:val="3"/>
        <w:numId w:val="24"/>
      </w:numPr>
    </w:pPr>
  </w:style>
  <w:style w:type="paragraph" w:customStyle="1" w:styleId="Point2letter">
    <w:name w:val="Point 2 (letter)"/>
    <w:basedOn w:val="Normal"/>
    <w:rsid w:val="00517205"/>
    <w:pPr>
      <w:numPr>
        <w:ilvl w:val="5"/>
        <w:numId w:val="24"/>
      </w:numPr>
    </w:pPr>
  </w:style>
  <w:style w:type="paragraph" w:customStyle="1" w:styleId="Point3letter">
    <w:name w:val="Point 3 (letter)"/>
    <w:basedOn w:val="Normal"/>
    <w:rsid w:val="00517205"/>
    <w:pPr>
      <w:numPr>
        <w:ilvl w:val="7"/>
        <w:numId w:val="24"/>
      </w:numPr>
    </w:pPr>
  </w:style>
  <w:style w:type="paragraph" w:customStyle="1" w:styleId="Point4letter">
    <w:name w:val="Point 4 (letter)"/>
    <w:basedOn w:val="Normal"/>
    <w:rsid w:val="00517205"/>
    <w:pPr>
      <w:numPr>
        <w:ilvl w:val="8"/>
        <w:numId w:val="24"/>
      </w:numPr>
    </w:pPr>
  </w:style>
  <w:style w:type="paragraph" w:customStyle="1" w:styleId="Bullet0">
    <w:name w:val="Bullet 0"/>
    <w:basedOn w:val="Normal"/>
    <w:rsid w:val="00517205"/>
    <w:pPr>
      <w:numPr>
        <w:numId w:val="25"/>
      </w:numPr>
    </w:pPr>
  </w:style>
  <w:style w:type="paragraph" w:customStyle="1" w:styleId="Bullet1">
    <w:name w:val="Bullet 1"/>
    <w:basedOn w:val="Normal"/>
    <w:rsid w:val="00517205"/>
    <w:pPr>
      <w:numPr>
        <w:numId w:val="26"/>
      </w:numPr>
    </w:pPr>
  </w:style>
  <w:style w:type="paragraph" w:customStyle="1" w:styleId="Bullet2">
    <w:name w:val="Bullet 2"/>
    <w:basedOn w:val="Normal"/>
    <w:rsid w:val="00517205"/>
    <w:pPr>
      <w:numPr>
        <w:numId w:val="27"/>
      </w:numPr>
    </w:pPr>
  </w:style>
  <w:style w:type="paragraph" w:customStyle="1" w:styleId="Bullet3">
    <w:name w:val="Bullet 3"/>
    <w:basedOn w:val="Normal"/>
    <w:rsid w:val="00517205"/>
    <w:pPr>
      <w:numPr>
        <w:numId w:val="28"/>
      </w:numPr>
    </w:pPr>
  </w:style>
  <w:style w:type="paragraph" w:customStyle="1" w:styleId="Bullet4">
    <w:name w:val="Bullet 4"/>
    <w:basedOn w:val="Normal"/>
    <w:rsid w:val="00517205"/>
    <w:pPr>
      <w:numPr>
        <w:numId w:val="2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198">
      <w:bodyDiv w:val="1"/>
      <w:marLeft w:val="0"/>
      <w:marRight w:val="0"/>
      <w:marTop w:val="0"/>
      <w:marBottom w:val="0"/>
      <w:divBdr>
        <w:top w:val="none" w:sz="0" w:space="0" w:color="auto"/>
        <w:left w:val="none" w:sz="0" w:space="0" w:color="auto"/>
        <w:bottom w:val="none" w:sz="0" w:space="0" w:color="auto"/>
        <w:right w:val="none" w:sz="0" w:space="0" w:color="auto"/>
      </w:divBdr>
    </w:div>
    <w:div w:id="46026945">
      <w:bodyDiv w:val="1"/>
      <w:marLeft w:val="0"/>
      <w:marRight w:val="0"/>
      <w:marTop w:val="0"/>
      <w:marBottom w:val="0"/>
      <w:divBdr>
        <w:top w:val="none" w:sz="0" w:space="0" w:color="auto"/>
        <w:left w:val="none" w:sz="0" w:space="0" w:color="auto"/>
        <w:bottom w:val="none" w:sz="0" w:space="0" w:color="auto"/>
        <w:right w:val="none" w:sz="0" w:space="0" w:color="auto"/>
      </w:divBdr>
      <w:divsChild>
        <w:div w:id="1910768907">
          <w:marLeft w:val="0"/>
          <w:marRight w:val="0"/>
          <w:marTop w:val="0"/>
          <w:marBottom w:val="0"/>
          <w:divBdr>
            <w:top w:val="none" w:sz="0" w:space="0" w:color="auto"/>
            <w:left w:val="none" w:sz="0" w:space="0" w:color="auto"/>
            <w:bottom w:val="none" w:sz="0" w:space="0" w:color="auto"/>
            <w:right w:val="none" w:sz="0" w:space="0" w:color="auto"/>
          </w:divBdr>
        </w:div>
      </w:divsChild>
    </w:div>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110514703">
      <w:bodyDiv w:val="1"/>
      <w:marLeft w:val="0"/>
      <w:marRight w:val="0"/>
      <w:marTop w:val="0"/>
      <w:marBottom w:val="0"/>
      <w:divBdr>
        <w:top w:val="none" w:sz="0" w:space="0" w:color="auto"/>
        <w:left w:val="none" w:sz="0" w:space="0" w:color="auto"/>
        <w:bottom w:val="none" w:sz="0" w:space="0" w:color="auto"/>
        <w:right w:val="none" w:sz="0" w:space="0" w:color="auto"/>
      </w:divBdr>
      <w:divsChild>
        <w:div w:id="883712604">
          <w:marLeft w:val="0"/>
          <w:marRight w:val="0"/>
          <w:marTop w:val="0"/>
          <w:marBottom w:val="0"/>
          <w:divBdr>
            <w:top w:val="none" w:sz="0" w:space="0" w:color="auto"/>
            <w:left w:val="none" w:sz="0" w:space="0" w:color="auto"/>
            <w:bottom w:val="none" w:sz="0" w:space="0" w:color="auto"/>
            <w:right w:val="none" w:sz="0" w:space="0" w:color="auto"/>
          </w:divBdr>
        </w:div>
      </w:divsChild>
    </w:div>
    <w:div w:id="144977089">
      <w:bodyDiv w:val="1"/>
      <w:marLeft w:val="0"/>
      <w:marRight w:val="0"/>
      <w:marTop w:val="0"/>
      <w:marBottom w:val="0"/>
      <w:divBdr>
        <w:top w:val="none" w:sz="0" w:space="0" w:color="auto"/>
        <w:left w:val="none" w:sz="0" w:space="0" w:color="auto"/>
        <w:bottom w:val="none" w:sz="0" w:space="0" w:color="auto"/>
        <w:right w:val="none" w:sz="0" w:space="0" w:color="auto"/>
      </w:divBdr>
      <w:divsChild>
        <w:div w:id="622229626">
          <w:marLeft w:val="0"/>
          <w:marRight w:val="0"/>
          <w:marTop w:val="0"/>
          <w:marBottom w:val="0"/>
          <w:divBdr>
            <w:top w:val="none" w:sz="0" w:space="0" w:color="auto"/>
            <w:left w:val="none" w:sz="0" w:space="0" w:color="auto"/>
            <w:bottom w:val="none" w:sz="0" w:space="0" w:color="auto"/>
            <w:right w:val="none" w:sz="0" w:space="0" w:color="auto"/>
          </w:divBdr>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271985018">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342440935">
      <w:bodyDiv w:val="1"/>
      <w:marLeft w:val="0"/>
      <w:marRight w:val="0"/>
      <w:marTop w:val="0"/>
      <w:marBottom w:val="0"/>
      <w:divBdr>
        <w:top w:val="none" w:sz="0" w:space="0" w:color="auto"/>
        <w:left w:val="none" w:sz="0" w:space="0" w:color="auto"/>
        <w:bottom w:val="none" w:sz="0" w:space="0" w:color="auto"/>
        <w:right w:val="none" w:sz="0" w:space="0" w:color="auto"/>
      </w:divBdr>
    </w:div>
    <w:div w:id="347827879">
      <w:bodyDiv w:val="1"/>
      <w:marLeft w:val="0"/>
      <w:marRight w:val="0"/>
      <w:marTop w:val="0"/>
      <w:marBottom w:val="0"/>
      <w:divBdr>
        <w:top w:val="none" w:sz="0" w:space="0" w:color="auto"/>
        <w:left w:val="none" w:sz="0" w:space="0" w:color="auto"/>
        <w:bottom w:val="none" w:sz="0" w:space="0" w:color="auto"/>
        <w:right w:val="none" w:sz="0" w:space="0" w:color="auto"/>
      </w:divBdr>
      <w:divsChild>
        <w:div w:id="967509353">
          <w:marLeft w:val="0"/>
          <w:marRight w:val="0"/>
          <w:marTop w:val="0"/>
          <w:marBottom w:val="0"/>
          <w:divBdr>
            <w:top w:val="none" w:sz="0" w:space="0" w:color="auto"/>
            <w:left w:val="none" w:sz="0" w:space="0" w:color="auto"/>
            <w:bottom w:val="none" w:sz="0" w:space="0" w:color="auto"/>
            <w:right w:val="none" w:sz="0" w:space="0" w:color="auto"/>
          </w:divBdr>
        </w:div>
      </w:divsChild>
    </w:div>
    <w:div w:id="375744408">
      <w:bodyDiv w:val="1"/>
      <w:marLeft w:val="0"/>
      <w:marRight w:val="0"/>
      <w:marTop w:val="0"/>
      <w:marBottom w:val="0"/>
      <w:divBdr>
        <w:top w:val="none" w:sz="0" w:space="0" w:color="auto"/>
        <w:left w:val="none" w:sz="0" w:space="0" w:color="auto"/>
        <w:bottom w:val="none" w:sz="0" w:space="0" w:color="auto"/>
        <w:right w:val="none" w:sz="0" w:space="0" w:color="auto"/>
      </w:divBdr>
    </w:div>
    <w:div w:id="378894176">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427969001">
      <w:bodyDiv w:val="1"/>
      <w:marLeft w:val="0"/>
      <w:marRight w:val="0"/>
      <w:marTop w:val="0"/>
      <w:marBottom w:val="0"/>
      <w:divBdr>
        <w:top w:val="none" w:sz="0" w:space="0" w:color="auto"/>
        <w:left w:val="none" w:sz="0" w:space="0" w:color="auto"/>
        <w:bottom w:val="none" w:sz="0" w:space="0" w:color="auto"/>
        <w:right w:val="none" w:sz="0" w:space="0" w:color="auto"/>
      </w:divBdr>
    </w:div>
    <w:div w:id="463742396">
      <w:bodyDiv w:val="1"/>
      <w:marLeft w:val="0"/>
      <w:marRight w:val="0"/>
      <w:marTop w:val="0"/>
      <w:marBottom w:val="0"/>
      <w:divBdr>
        <w:top w:val="none" w:sz="0" w:space="0" w:color="auto"/>
        <w:left w:val="none" w:sz="0" w:space="0" w:color="auto"/>
        <w:bottom w:val="none" w:sz="0" w:space="0" w:color="auto"/>
        <w:right w:val="none" w:sz="0" w:space="0" w:color="auto"/>
      </w:divBdr>
    </w:div>
    <w:div w:id="649292010">
      <w:bodyDiv w:val="1"/>
      <w:marLeft w:val="0"/>
      <w:marRight w:val="0"/>
      <w:marTop w:val="0"/>
      <w:marBottom w:val="0"/>
      <w:divBdr>
        <w:top w:val="none" w:sz="0" w:space="0" w:color="auto"/>
        <w:left w:val="none" w:sz="0" w:space="0" w:color="auto"/>
        <w:bottom w:val="none" w:sz="0" w:space="0" w:color="auto"/>
        <w:right w:val="none" w:sz="0" w:space="0" w:color="auto"/>
      </w:divBdr>
    </w:div>
    <w:div w:id="658193626">
      <w:bodyDiv w:val="1"/>
      <w:marLeft w:val="0"/>
      <w:marRight w:val="0"/>
      <w:marTop w:val="0"/>
      <w:marBottom w:val="0"/>
      <w:divBdr>
        <w:top w:val="none" w:sz="0" w:space="0" w:color="auto"/>
        <w:left w:val="none" w:sz="0" w:space="0" w:color="auto"/>
        <w:bottom w:val="none" w:sz="0" w:space="0" w:color="auto"/>
        <w:right w:val="none" w:sz="0" w:space="0" w:color="auto"/>
      </w:divBdr>
      <w:divsChild>
        <w:div w:id="39019151">
          <w:marLeft w:val="0"/>
          <w:marRight w:val="0"/>
          <w:marTop w:val="0"/>
          <w:marBottom w:val="0"/>
          <w:divBdr>
            <w:top w:val="none" w:sz="0" w:space="0" w:color="auto"/>
            <w:left w:val="none" w:sz="0" w:space="0" w:color="auto"/>
            <w:bottom w:val="none" w:sz="0" w:space="0" w:color="auto"/>
            <w:right w:val="none" w:sz="0" w:space="0" w:color="auto"/>
          </w:divBdr>
          <w:divsChild>
            <w:div w:id="1690065773">
              <w:marLeft w:val="0"/>
              <w:marRight w:val="0"/>
              <w:marTop w:val="0"/>
              <w:marBottom w:val="0"/>
              <w:divBdr>
                <w:top w:val="none" w:sz="0" w:space="0" w:color="auto"/>
                <w:left w:val="none" w:sz="0" w:space="0" w:color="auto"/>
                <w:bottom w:val="none" w:sz="0" w:space="0" w:color="auto"/>
                <w:right w:val="none" w:sz="0" w:space="0" w:color="auto"/>
              </w:divBdr>
            </w:div>
          </w:divsChild>
        </w:div>
        <w:div w:id="1411003199">
          <w:marLeft w:val="0"/>
          <w:marRight w:val="0"/>
          <w:marTop w:val="0"/>
          <w:marBottom w:val="0"/>
          <w:divBdr>
            <w:top w:val="none" w:sz="0" w:space="0" w:color="auto"/>
            <w:left w:val="none" w:sz="0" w:space="0" w:color="auto"/>
            <w:bottom w:val="none" w:sz="0" w:space="0" w:color="auto"/>
            <w:right w:val="none" w:sz="0" w:space="0" w:color="auto"/>
          </w:divBdr>
          <w:divsChild>
            <w:div w:id="1874607878">
              <w:marLeft w:val="0"/>
              <w:marRight w:val="0"/>
              <w:marTop w:val="0"/>
              <w:marBottom w:val="0"/>
              <w:divBdr>
                <w:top w:val="none" w:sz="0" w:space="0" w:color="auto"/>
                <w:left w:val="none" w:sz="0" w:space="0" w:color="auto"/>
                <w:bottom w:val="none" w:sz="0" w:space="0" w:color="auto"/>
                <w:right w:val="none" w:sz="0" w:space="0" w:color="auto"/>
              </w:divBdr>
            </w:div>
          </w:divsChild>
        </w:div>
        <w:div w:id="1746800817">
          <w:marLeft w:val="0"/>
          <w:marRight w:val="0"/>
          <w:marTop w:val="0"/>
          <w:marBottom w:val="0"/>
          <w:divBdr>
            <w:top w:val="none" w:sz="0" w:space="0" w:color="auto"/>
            <w:left w:val="none" w:sz="0" w:space="0" w:color="auto"/>
            <w:bottom w:val="none" w:sz="0" w:space="0" w:color="auto"/>
            <w:right w:val="none" w:sz="0" w:space="0" w:color="auto"/>
          </w:divBdr>
          <w:divsChild>
            <w:div w:id="249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8602">
      <w:bodyDiv w:val="1"/>
      <w:marLeft w:val="0"/>
      <w:marRight w:val="0"/>
      <w:marTop w:val="0"/>
      <w:marBottom w:val="0"/>
      <w:divBdr>
        <w:top w:val="none" w:sz="0" w:space="0" w:color="auto"/>
        <w:left w:val="none" w:sz="0" w:space="0" w:color="auto"/>
        <w:bottom w:val="none" w:sz="0" w:space="0" w:color="auto"/>
        <w:right w:val="none" w:sz="0" w:space="0" w:color="auto"/>
      </w:divBdr>
    </w:div>
    <w:div w:id="706106811">
      <w:bodyDiv w:val="1"/>
      <w:marLeft w:val="0"/>
      <w:marRight w:val="0"/>
      <w:marTop w:val="0"/>
      <w:marBottom w:val="0"/>
      <w:divBdr>
        <w:top w:val="none" w:sz="0" w:space="0" w:color="auto"/>
        <w:left w:val="none" w:sz="0" w:space="0" w:color="auto"/>
        <w:bottom w:val="none" w:sz="0" w:space="0" w:color="auto"/>
        <w:right w:val="none" w:sz="0" w:space="0" w:color="auto"/>
      </w:divBdr>
    </w:div>
    <w:div w:id="79083116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02888683">
      <w:bodyDiv w:val="1"/>
      <w:marLeft w:val="0"/>
      <w:marRight w:val="0"/>
      <w:marTop w:val="0"/>
      <w:marBottom w:val="0"/>
      <w:divBdr>
        <w:top w:val="none" w:sz="0" w:space="0" w:color="auto"/>
        <w:left w:val="none" w:sz="0" w:space="0" w:color="auto"/>
        <w:bottom w:val="none" w:sz="0" w:space="0" w:color="auto"/>
        <w:right w:val="none" w:sz="0" w:space="0" w:color="auto"/>
      </w:divBdr>
    </w:div>
    <w:div w:id="805901146">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871914680">
      <w:bodyDiv w:val="1"/>
      <w:marLeft w:val="0"/>
      <w:marRight w:val="0"/>
      <w:marTop w:val="0"/>
      <w:marBottom w:val="0"/>
      <w:divBdr>
        <w:top w:val="none" w:sz="0" w:space="0" w:color="auto"/>
        <w:left w:val="none" w:sz="0" w:space="0" w:color="auto"/>
        <w:bottom w:val="none" w:sz="0" w:space="0" w:color="auto"/>
        <w:right w:val="none" w:sz="0" w:space="0" w:color="auto"/>
      </w:divBdr>
      <w:divsChild>
        <w:div w:id="1716734589">
          <w:marLeft w:val="0"/>
          <w:marRight w:val="0"/>
          <w:marTop w:val="0"/>
          <w:marBottom w:val="0"/>
          <w:divBdr>
            <w:top w:val="none" w:sz="0" w:space="0" w:color="auto"/>
            <w:left w:val="none" w:sz="0" w:space="0" w:color="auto"/>
            <w:bottom w:val="none" w:sz="0" w:space="0" w:color="auto"/>
            <w:right w:val="none" w:sz="0" w:space="0" w:color="auto"/>
          </w:divBdr>
          <w:divsChild>
            <w:div w:id="5881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1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058">
          <w:marLeft w:val="0"/>
          <w:marRight w:val="0"/>
          <w:marTop w:val="0"/>
          <w:marBottom w:val="0"/>
          <w:divBdr>
            <w:top w:val="none" w:sz="0" w:space="0" w:color="auto"/>
            <w:left w:val="none" w:sz="0" w:space="0" w:color="auto"/>
            <w:bottom w:val="none" w:sz="0" w:space="0" w:color="auto"/>
            <w:right w:val="none" w:sz="0" w:space="0" w:color="auto"/>
          </w:divBdr>
        </w:div>
      </w:divsChild>
    </w:div>
    <w:div w:id="1001155353">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27120312">
      <w:bodyDiv w:val="1"/>
      <w:marLeft w:val="0"/>
      <w:marRight w:val="0"/>
      <w:marTop w:val="0"/>
      <w:marBottom w:val="0"/>
      <w:divBdr>
        <w:top w:val="none" w:sz="0" w:space="0" w:color="auto"/>
        <w:left w:val="none" w:sz="0" w:space="0" w:color="auto"/>
        <w:bottom w:val="none" w:sz="0" w:space="0" w:color="auto"/>
        <w:right w:val="none" w:sz="0" w:space="0" w:color="auto"/>
      </w:divBdr>
    </w:div>
    <w:div w:id="1133525164">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298338917">
      <w:bodyDiv w:val="1"/>
      <w:marLeft w:val="0"/>
      <w:marRight w:val="0"/>
      <w:marTop w:val="0"/>
      <w:marBottom w:val="0"/>
      <w:divBdr>
        <w:top w:val="none" w:sz="0" w:space="0" w:color="auto"/>
        <w:left w:val="none" w:sz="0" w:space="0" w:color="auto"/>
        <w:bottom w:val="none" w:sz="0" w:space="0" w:color="auto"/>
        <w:right w:val="none" w:sz="0" w:space="0" w:color="auto"/>
      </w:divBdr>
    </w:div>
    <w:div w:id="1323239417">
      <w:bodyDiv w:val="1"/>
      <w:marLeft w:val="0"/>
      <w:marRight w:val="0"/>
      <w:marTop w:val="0"/>
      <w:marBottom w:val="0"/>
      <w:divBdr>
        <w:top w:val="none" w:sz="0" w:space="0" w:color="auto"/>
        <w:left w:val="none" w:sz="0" w:space="0" w:color="auto"/>
        <w:bottom w:val="none" w:sz="0" w:space="0" w:color="auto"/>
        <w:right w:val="none" w:sz="0" w:space="0" w:color="auto"/>
      </w:divBdr>
    </w:div>
    <w:div w:id="1351371084">
      <w:bodyDiv w:val="1"/>
      <w:marLeft w:val="0"/>
      <w:marRight w:val="0"/>
      <w:marTop w:val="0"/>
      <w:marBottom w:val="0"/>
      <w:divBdr>
        <w:top w:val="none" w:sz="0" w:space="0" w:color="auto"/>
        <w:left w:val="none" w:sz="0" w:space="0" w:color="auto"/>
        <w:bottom w:val="none" w:sz="0" w:space="0" w:color="auto"/>
        <w:right w:val="none" w:sz="0" w:space="0" w:color="auto"/>
      </w:divBdr>
      <w:divsChild>
        <w:div w:id="390813519">
          <w:marLeft w:val="0"/>
          <w:marRight w:val="0"/>
          <w:marTop w:val="0"/>
          <w:marBottom w:val="0"/>
          <w:divBdr>
            <w:top w:val="none" w:sz="0" w:space="0" w:color="auto"/>
            <w:left w:val="none" w:sz="0" w:space="0" w:color="auto"/>
            <w:bottom w:val="none" w:sz="0" w:space="0" w:color="auto"/>
            <w:right w:val="none" w:sz="0" w:space="0" w:color="auto"/>
          </w:divBdr>
        </w:div>
        <w:div w:id="355737634">
          <w:marLeft w:val="0"/>
          <w:marRight w:val="0"/>
          <w:marTop w:val="0"/>
          <w:marBottom w:val="0"/>
          <w:divBdr>
            <w:top w:val="none" w:sz="0" w:space="0" w:color="auto"/>
            <w:left w:val="none" w:sz="0" w:space="0" w:color="auto"/>
            <w:bottom w:val="none" w:sz="0" w:space="0" w:color="auto"/>
            <w:right w:val="none" w:sz="0" w:space="0" w:color="auto"/>
          </w:divBdr>
        </w:div>
      </w:divsChild>
    </w:div>
    <w:div w:id="1357467509">
      <w:bodyDiv w:val="1"/>
      <w:marLeft w:val="0"/>
      <w:marRight w:val="0"/>
      <w:marTop w:val="0"/>
      <w:marBottom w:val="0"/>
      <w:divBdr>
        <w:top w:val="none" w:sz="0" w:space="0" w:color="auto"/>
        <w:left w:val="none" w:sz="0" w:space="0" w:color="auto"/>
        <w:bottom w:val="none" w:sz="0" w:space="0" w:color="auto"/>
        <w:right w:val="none" w:sz="0" w:space="0" w:color="auto"/>
      </w:divBdr>
    </w:div>
    <w:div w:id="1380010866">
      <w:bodyDiv w:val="1"/>
      <w:marLeft w:val="0"/>
      <w:marRight w:val="0"/>
      <w:marTop w:val="0"/>
      <w:marBottom w:val="0"/>
      <w:divBdr>
        <w:top w:val="none" w:sz="0" w:space="0" w:color="auto"/>
        <w:left w:val="none" w:sz="0" w:space="0" w:color="auto"/>
        <w:bottom w:val="none" w:sz="0" w:space="0" w:color="auto"/>
        <w:right w:val="none" w:sz="0" w:space="0" w:color="auto"/>
      </w:divBdr>
    </w:div>
    <w:div w:id="1393191772">
      <w:bodyDiv w:val="1"/>
      <w:marLeft w:val="0"/>
      <w:marRight w:val="0"/>
      <w:marTop w:val="0"/>
      <w:marBottom w:val="0"/>
      <w:divBdr>
        <w:top w:val="none" w:sz="0" w:space="0" w:color="auto"/>
        <w:left w:val="none" w:sz="0" w:space="0" w:color="auto"/>
        <w:bottom w:val="none" w:sz="0" w:space="0" w:color="auto"/>
        <w:right w:val="none" w:sz="0" w:space="0" w:color="auto"/>
      </w:divBdr>
      <w:divsChild>
        <w:div w:id="808400285">
          <w:marLeft w:val="0"/>
          <w:marRight w:val="0"/>
          <w:marTop w:val="0"/>
          <w:marBottom w:val="0"/>
          <w:divBdr>
            <w:top w:val="none" w:sz="0" w:space="0" w:color="auto"/>
            <w:left w:val="none" w:sz="0" w:space="0" w:color="auto"/>
            <w:bottom w:val="none" w:sz="0" w:space="0" w:color="auto"/>
            <w:right w:val="none" w:sz="0" w:space="0" w:color="auto"/>
          </w:divBdr>
        </w:div>
      </w:divsChild>
    </w:div>
    <w:div w:id="1504468489">
      <w:bodyDiv w:val="1"/>
      <w:marLeft w:val="0"/>
      <w:marRight w:val="0"/>
      <w:marTop w:val="0"/>
      <w:marBottom w:val="0"/>
      <w:divBdr>
        <w:top w:val="none" w:sz="0" w:space="0" w:color="auto"/>
        <w:left w:val="none" w:sz="0" w:space="0" w:color="auto"/>
        <w:bottom w:val="none" w:sz="0" w:space="0" w:color="auto"/>
        <w:right w:val="none" w:sz="0" w:space="0" w:color="auto"/>
      </w:divBdr>
    </w:div>
    <w:div w:id="1549952501">
      <w:bodyDiv w:val="1"/>
      <w:marLeft w:val="0"/>
      <w:marRight w:val="0"/>
      <w:marTop w:val="0"/>
      <w:marBottom w:val="0"/>
      <w:divBdr>
        <w:top w:val="none" w:sz="0" w:space="0" w:color="auto"/>
        <w:left w:val="none" w:sz="0" w:space="0" w:color="auto"/>
        <w:bottom w:val="none" w:sz="0" w:space="0" w:color="auto"/>
        <w:right w:val="none" w:sz="0" w:space="0" w:color="auto"/>
      </w:divBdr>
    </w:div>
    <w:div w:id="1575777495">
      <w:bodyDiv w:val="1"/>
      <w:marLeft w:val="0"/>
      <w:marRight w:val="0"/>
      <w:marTop w:val="0"/>
      <w:marBottom w:val="0"/>
      <w:divBdr>
        <w:top w:val="none" w:sz="0" w:space="0" w:color="auto"/>
        <w:left w:val="none" w:sz="0" w:space="0" w:color="auto"/>
        <w:bottom w:val="none" w:sz="0" w:space="0" w:color="auto"/>
        <w:right w:val="none" w:sz="0" w:space="0" w:color="auto"/>
      </w:divBdr>
    </w:div>
    <w:div w:id="1599096399">
      <w:bodyDiv w:val="1"/>
      <w:marLeft w:val="0"/>
      <w:marRight w:val="0"/>
      <w:marTop w:val="0"/>
      <w:marBottom w:val="0"/>
      <w:divBdr>
        <w:top w:val="none" w:sz="0" w:space="0" w:color="auto"/>
        <w:left w:val="none" w:sz="0" w:space="0" w:color="auto"/>
        <w:bottom w:val="none" w:sz="0" w:space="0" w:color="auto"/>
        <w:right w:val="none" w:sz="0" w:space="0" w:color="auto"/>
      </w:divBdr>
    </w:div>
    <w:div w:id="1611007894">
      <w:bodyDiv w:val="1"/>
      <w:marLeft w:val="0"/>
      <w:marRight w:val="0"/>
      <w:marTop w:val="0"/>
      <w:marBottom w:val="0"/>
      <w:divBdr>
        <w:top w:val="none" w:sz="0" w:space="0" w:color="auto"/>
        <w:left w:val="none" w:sz="0" w:space="0" w:color="auto"/>
        <w:bottom w:val="none" w:sz="0" w:space="0" w:color="auto"/>
        <w:right w:val="none" w:sz="0" w:space="0" w:color="auto"/>
      </w:divBdr>
    </w:div>
    <w:div w:id="1719159734">
      <w:bodyDiv w:val="1"/>
      <w:marLeft w:val="0"/>
      <w:marRight w:val="0"/>
      <w:marTop w:val="0"/>
      <w:marBottom w:val="0"/>
      <w:divBdr>
        <w:top w:val="none" w:sz="0" w:space="0" w:color="auto"/>
        <w:left w:val="none" w:sz="0" w:space="0" w:color="auto"/>
        <w:bottom w:val="none" w:sz="0" w:space="0" w:color="auto"/>
        <w:right w:val="none" w:sz="0" w:space="0" w:color="auto"/>
      </w:divBdr>
      <w:divsChild>
        <w:div w:id="197164470">
          <w:marLeft w:val="0"/>
          <w:marRight w:val="0"/>
          <w:marTop w:val="0"/>
          <w:marBottom w:val="0"/>
          <w:divBdr>
            <w:top w:val="none" w:sz="0" w:space="0" w:color="auto"/>
            <w:left w:val="none" w:sz="0" w:space="0" w:color="auto"/>
            <w:bottom w:val="none" w:sz="0" w:space="0" w:color="auto"/>
            <w:right w:val="none" w:sz="0" w:space="0" w:color="auto"/>
          </w:divBdr>
          <w:divsChild>
            <w:div w:id="160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115">
      <w:bodyDiv w:val="1"/>
      <w:marLeft w:val="0"/>
      <w:marRight w:val="0"/>
      <w:marTop w:val="0"/>
      <w:marBottom w:val="0"/>
      <w:divBdr>
        <w:top w:val="none" w:sz="0" w:space="0" w:color="auto"/>
        <w:left w:val="none" w:sz="0" w:space="0" w:color="auto"/>
        <w:bottom w:val="none" w:sz="0" w:space="0" w:color="auto"/>
        <w:right w:val="none" w:sz="0" w:space="0" w:color="auto"/>
      </w:divBdr>
      <w:divsChild>
        <w:div w:id="794253794">
          <w:marLeft w:val="0"/>
          <w:marRight w:val="0"/>
          <w:marTop w:val="0"/>
          <w:marBottom w:val="0"/>
          <w:divBdr>
            <w:top w:val="none" w:sz="0" w:space="0" w:color="auto"/>
            <w:left w:val="none" w:sz="0" w:space="0" w:color="auto"/>
            <w:bottom w:val="none" w:sz="0" w:space="0" w:color="auto"/>
            <w:right w:val="none" w:sz="0" w:space="0" w:color="auto"/>
          </w:divBdr>
        </w:div>
        <w:div w:id="1325544407">
          <w:marLeft w:val="0"/>
          <w:marRight w:val="0"/>
          <w:marTop w:val="0"/>
          <w:marBottom w:val="0"/>
          <w:divBdr>
            <w:top w:val="none" w:sz="0" w:space="0" w:color="auto"/>
            <w:left w:val="none" w:sz="0" w:space="0" w:color="auto"/>
            <w:bottom w:val="none" w:sz="0" w:space="0" w:color="auto"/>
            <w:right w:val="none" w:sz="0" w:space="0" w:color="auto"/>
          </w:divBdr>
        </w:div>
      </w:divsChild>
    </w:div>
    <w:div w:id="1751344001">
      <w:bodyDiv w:val="1"/>
      <w:marLeft w:val="0"/>
      <w:marRight w:val="0"/>
      <w:marTop w:val="0"/>
      <w:marBottom w:val="0"/>
      <w:divBdr>
        <w:top w:val="none" w:sz="0" w:space="0" w:color="auto"/>
        <w:left w:val="none" w:sz="0" w:space="0" w:color="auto"/>
        <w:bottom w:val="none" w:sz="0" w:space="0" w:color="auto"/>
        <w:right w:val="none" w:sz="0" w:space="0" w:color="auto"/>
      </w:divBdr>
      <w:divsChild>
        <w:div w:id="1312056641">
          <w:marLeft w:val="0"/>
          <w:marRight w:val="0"/>
          <w:marTop w:val="0"/>
          <w:marBottom w:val="0"/>
          <w:divBdr>
            <w:top w:val="none" w:sz="0" w:space="0" w:color="auto"/>
            <w:left w:val="none" w:sz="0" w:space="0" w:color="auto"/>
            <w:bottom w:val="none" w:sz="0" w:space="0" w:color="auto"/>
            <w:right w:val="none" w:sz="0" w:space="0" w:color="auto"/>
          </w:divBdr>
          <w:divsChild>
            <w:div w:id="616331001">
              <w:marLeft w:val="0"/>
              <w:marRight w:val="0"/>
              <w:marTop w:val="120"/>
              <w:marBottom w:val="0"/>
              <w:divBdr>
                <w:top w:val="none" w:sz="0" w:space="0" w:color="auto"/>
                <w:left w:val="none" w:sz="0" w:space="0" w:color="auto"/>
                <w:bottom w:val="none" w:sz="0" w:space="0" w:color="auto"/>
                <w:right w:val="none" w:sz="0" w:space="0" w:color="auto"/>
              </w:divBdr>
            </w:div>
            <w:div w:id="1550385774">
              <w:marLeft w:val="0"/>
              <w:marRight w:val="0"/>
              <w:marTop w:val="0"/>
              <w:marBottom w:val="0"/>
              <w:divBdr>
                <w:top w:val="none" w:sz="0" w:space="0" w:color="auto"/>
                <w:left w:val="none" w:sz="0" w:space="0" w:color="auto"/>
                <w:bottom w:val="none" w:sz="0" w:space="0" w:color="auto"/>
                <w:right w:val="none" w:sz="0" w:space="0" w:color="auto"/>
              </w:divBdr>
            </w:div>
          </w:divsChild>
        </w:div>
        <w:div w:id="1152217495">
          <w:marLeft w:val="0"/>
          <w:marRight w:val="0"/>
          <w:marTop w:val="0"/>
          <w:marBottom w:val="0"/>
          <w:divBdr>
            <w:top w:val="none" w:sz="0" w:space="0" w:color="auto"/>
            <w:left w:val="none" w:sz="0" w:space="0" w:color="auto"/>
            <w:bottom w:val="none" w:sz="0" w:space="0" w:color="auto"/>
            <w:right w:val="none" w:sz="0" w:space="0" w:color="auto"/>
          </w:divBdr>
          <w:divsChild>
            <w:div w:id="239220322">
              <w:marLeft w:val="0"/>
              <w:marRight w:val="0"/>
              <w:marTop w:val="120"/>
              <w:marBottom w:val="0"/>
              <w:divBdr>
                <w:top w:val="none" w:sz="0" w:space="0" w:color="auto"/>
                <w:left w:val="none" w:sz="0" w:space="0" w:color="auto"/>
                <w:bottom w:val="none" w:sz="0" w:space="0" w:color="auto"/>
                <w:right w:val="none" w:sz="0" w:space="0" w:color="auto"/>
              </w:divBdr>
            </w:div>
            <w:div w:id="1814715901">
              <w:marLeft w:val="0"/>
              <w:marRight w:val="0"/>
              <w:marTop w:val="0"/>
              <w:marBottom w:val="0"/>
              <w:divBdr>
                <w:top w:val="none" w:sz="0" w:space="0" w:color="auto"/>
                <w:left w:val="none" w:sz="0" w:space="0" w:color="auto"/>
                <w:bottom w:val="none" w:sz="0" w:space="0" w:color="auto"/>
                <w:right w:val="none" w:sz="0" w:space="0" w:color="auto"/>
              </w:divBdr>
            </w:div>
          </w:divsChild>
        </w:div>
        <w:div w:id="1299267251">
          <w:marLeft w:val="0"/>
          <w:marRight w:val="0"/>
          <w:marTop w:val="0"/>
          <w:marBottom w:val="0"/>
          <w:divBdr>
            <w:top w:val="none" w:sz="0" w:space="0" w:color="auto"/>
            <w:left w:val="none" w:sz="0" w:space="0" w:color="auto"/>
            <w:bottom w:val="none" w:sz="0" w:space="0" w:color="auto"/>
            <w:right w:val="none" w:sz="0" w:space="0" w:color="auto"/>
          </w:divBdr>
          <w:divsChild>
            <w:div w:id="1151168019">
              <w:marLeft w:val="0"/>
              <w:marRight w:val="0"/>
              <w:marTop w:val="120"/>
              <w:marBottom w:val="0"/>
              <w:divBdr>
                <w:top w:val="none" w:sz="0" w:space="0" w:color="auto"/>
                <w:left w:val="none" w:sz="0" w:space="0" w:color="auto"/>
                <w:bottom w:val="none" w:sz="0" w:space="0" w:color="auto"/>
                <w:right w:val="none" w:sz="0" w:space="0" w:color="auto"/>
              </w:divBdr>
            </w:div>
            <w:div w:id="1875846058">
              <w:marLeft w:val="0"/>
              <w:marRight w:val="0"/>
              <w:marTop w:val="0"/>
              <w:marBottom w:val="0"/>
              <w:divBdr>
                <w:top w:val="none" w:sz="0" w:space="0" w:color="auto"/>
                <w:left w:val="none" w:sz="0" w:space="0" w:color="auto"/>
                <w:bottom w:val="none" w:sz="0" w:space="0" w:color="auto"/>
                <w:right w:val="none" w:sz="0" w:space="0" w:color="auto"/>
              </w:divBdr>
            </w:div>
          </w:divsChild>
        </w:div>
        <w:div w:id="955676773">
          <w:marLeft w:val="0"/>
          <w:marRight w:val="0"/>
          <w:marTop w:val="0"/>
          <w:marBottom w:val="0"/>
          <w:divBdr>
            <w:top w:val="none" w:sz="0" w:space="0" w:color="auto"/>
            <w:left w:val="none" w:sz="0" w:space="0" w:color="auto"/>
            <w:bottom w:val="none" w:sz="0" w:space="0" w:color="auto"/>
            <w:right w:val="none" w:sz="0" w:space="0" w:color="auto"/>
          </w:divBdr>
          <w:divsChild>
            <w:div w:id="1925217323">
              <w:marLeft w:val="0"/>
              <w:marRight w:val="0"/>
              <w:marTop w:val="120"/>
              <w:marBottom w:val="0"/>
              <w:divBdr>
                <w:top w:val="none" w:sz="0" w:space="0" w:color="auto"/>
                <w:left w:val="none" w:sz="0" w:space="0" w:color="auto"/>
                <w:bottom w:val="none" w:sz="0" w:space="0" w:color="auto"/>
                <w:right w:val="none" w:sz="0" w:space="0" w:color="auto"/>
              </w:divBdr>
            </w:div>
            <w:div w:id="722944193">
              <w:marLeft w:val="0"/>
              <w:marRight w:val="0"/>
              <w:marTop w:val="0"/>
              <w:marBottom w:val="0"/>
              <w:divBdr>
                <w:top w:val="none" w:sz="0" w:space="0" w:color="auto"/>
                <w:left w:val="none" w:sz="0" w:space="0" w:color="auto"/>
                <w:bottom w:val="none" w:sz="0" w:space="0" w:color="auto"/>
                <w:right w:val="none" w:sz="0" w:space="0" w:color="auto"/>
              </w:divBdr>
            </w:div>
          </w:divsChild>
        </w:div>
        <w:div w:id="1973830635">
          <w:marLeft w:val="0"/>
          <w:marRight w:val="0"/>
          <w:marTop w:val="0"/>
          <w:marBottom w:val="0"/>
          <w:divBdr>
            <w:top w:val="none" w:sz="0" w:space="0" w:color="auto"/>
            <w:left w:val="none" w:sz="0" w:space="0" w:color="auto"/>
            <w:bottom w:val="none" w:sz="0" w:space="0" w:color="auto"/>
            <w:right w:val="none" w:sz="0" w:space="0" w:color="auto"/>
          </w:divBdr>
          <w:divsChild>
            <w:div w:id="1862081827">
              <w:marLeft w:val="0"/>
              <w:marRight w:val="0"/>
              <w:marTop w:val="120"/>
              <w:marBottom w:val="0"/>
              <w:divBdr>
                <w:top w:val="none" w:sz="0" w:space="0" w:color="auto"/>
                <w:left w:val="none" w:sz="0" w:space="0" w:color="auto"/>
                <w:bottom w:val="none" w:sz="0" w:space="0" w:color="auto"/>
                <w:right w:val="none" w:sz="0" w:space="0" w:color="auto"/>
              </w:divBdr>
            </w:div>
            <w:div w:id="1555655794">
              <w:marLeft w:val="0"/>
              <w:marRight w:val="0"/>
              <w:marTop w:val="0"/>
              <w:marBottom w:val="0"/>
              <w:divBdr>
                <w:top w:val="none" w:sz="0" w:space="0" w:color="auto"/>
                <w:left w:val="none" w:sz="0" w:space="0" w:color="auto"/>
                <w:bottom w:val="none" w:sz="0" w:space="0" w:color="auto"/>
                <w:right w:val="none" w:sz="0" w:space="0" w:color="auto"/>
              </w:divBdr>
            </w:div>
          </w:divsChild>
        </w:div>
        <w:div w:id="1490751165">
          <w:marLeft w:val="0"/>
          <w:marRight w:val="0"/>
          <w:marTop w:val="0"/>
          <w:marBottom w:val="0"/>
          <w:divBdr>
            <w:top w:val="none" w:sz="0" w:space="0" w:color="auto"/>
            <w:left w:val="none" w:sz="0" w:space="0" w:color="auto"/>
            <w:bottom w:val="none" w:sz="0" w:space="0" w:color="auto"/>
            <w:right w:val="none" w:sz="0" w:space="0" w:color="auto"/>
          </w:divBdr>
          <w:divsChild>
            <w:div w:id="584606673">
              <w:marLeft w:val="0"/>
              <w:marRight w:val="0"/>
              <w:marTop w:val="120"/>
              <w:marBottom w:val="0"/>
              <w:divBdr>
                <w:top w:val="none" w:sz="0" w:space="0" w:color="auto"/>
                <w:left w:val="none" w:sz="0" w:space="0" w:color="auto"/>
                <w:bottom w:val="none" w:sz="0" w:space="0" w:color="auto"/>
                <w:right w:val="none" w:sz="0" w:space="0" w:color="auto"/>
              </w:divBdr>
            </w:div>
            <w:div w:id="2131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853">
      <w:bodyDiv w:val="1"/>
      <w:marLeft w:val="0"/>
      <w:marRight w:val="0"/>
      <w:marTop w:val="0"/>
      <w:marBottom w:val="0"/>
      <w:divBdr>
        <w:top w:val="none" w:sz="0" w:space="0" w:color="auto"/>
        <w:left w:val="none" w:sz="0" w:space="0" w:color="auto"/>
        <w:bottom w:val="none" w:sz="0" w:space="0" w:color="auto"/>
        <w:right w:val="none" w:sz="0" w:space="0" w:color="auto"/>
      </w:divBdr>
    </w:div>
    <w:div w:id="1827281227">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58488630">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06787814">
      <w:bodyDiv w:val="1"/>
      <w:marLeft w:val="0"/>
      <w:marRight w:val="0"/>
      <w:marTop w:val="0"/>
      <w:marBottom w:val="0"/>
      <w:divBdr>
        <w:top w:val="none" w:sz="0" w:space="0" w:color="auto"/>
        <w:left w:val="none" w:sz="0" w:space="0" w:color="auto"/>
        <w:bottom w:val="none" w:sz="0" w:space="0" w:color="auto"/>
        <w:right w:val="none" w:sz="0" w:space="0" w:color="auto"/>
      </w:divBdr>
      <w:divsChild>
        <w:div w:id="963192657">
          <w:marLeft w:val="0"/>
          <w:marRight w:val="0"/>
          <w:marTop w:val="120"/>
          <w:marBottom w:val="0"/>
          <w:divBdr>
            <w:top w:val="none" w:sz="0" w:space="0" w:color="auto"/>
            <w:left w:val="none" w:sz="0" w:space="0" w:color="auto"/>
            <w:bottom w:val="none" w:sz="0" w:space="0" w:color="auto"/>
            <w:right w:val="none" w:sz="0" w:space="0" w:color="auto"/>
          </w:divBdr>
        </w:div>
        <w:div w:id="1923491862">
          <w:marLeft w:val="0"/>
          <w:marRight w:val="0"/>
          <w:marTop w:val="0"/>
          <w:marBottom w:val="0"/>
          <w:divBdr>
            <w:top w:val="none" w:sz="0" w:space="0" w:color="auto"/>
            <w:left w:val="none" w:sz="0" w:space="0" w:color="auto"/>
            <w:bottom w:val="none" w:sz="0" w:space="0" w:color="auto"/>
            <w:right w:val="none" w:sz="0" w:space="0" w:color="auto"/>
          </w:divBdr>
        </w:div>
      </w:divsChild>
    </w:div>
    <w:div w:id="206787809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
    <w:div w:id="2089226084">
      <w:bodyDiv w:val="1"/>
      <w:marLeft w:val="0"/>
      <w:marRight w:val="0"/>
      <w:marTop w:val="0"/>
      <w:marBottom w:val="0"/>
      <w:divBdr>
        <w:top w:val="none" w:sz="0" w:space="0" w:color="auto"/>
        <w:left w:val="none" w:sz="0" w:space="0" w:color="auto"/>
        <w:bottom w:val="none" w:sz="0" w:space="0" w:color="auto"/>
        <w:right w:val="none" w:sz="0" w:space="0" w:color="auto"/>
      </w:divBdr>
      <w:divsChild>
        <w:div w:id="1856187882">
          <w:blockQuote w:val="1"/>
          <w:marLeft w:val="1050"/>
          <w:marRight w:val="0"/>
          <w:marTop w:val="192"/>
          <w:marBottom w:val="0"/>
          <w:divBdr>
            <w:top w:val="none" w:sz="0" w:space="0" w:color="auto"/>
            <w:left w:val="none" w:sz="0" w:space="0" w:color="auto"/>
            <w:bottom w:val="none" w:sz="0" w:space="0" w:color="auto"/>
            <w:right w:val="none" w:sz="0" w:space="0" w:color="auto"/>
          </w:divBdr>
        </w:div>
      </w:divsChild>
    </w:div>
    <w:div w:id="2089304101">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3.xml><?xml version="1.0" encoding="utf-8"?>
<ds:datastoreItem xmlns:ds="http://schemas.openxmlformats.org/officeDocument/2006/customXml" ds:itemID="{05716F78-C311-4872-8C4A-C603A696F179}">
  <ds:schemaRefs>
    <ds:schemaRef ds:uri="http://schemas.microsoft.com/sharepoint/v3/field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62e97ea9-7ea3-481f-81a3-2d45a5a9b393"/>
    <ds:schemaRef ds:uri="http://www.w3.org/XML/1998/namespace"/>
    <ds:schemaRef ds:uri="http://purl.org/dc/dcmitype/"/>
  </ds:schemaRefs>
</ds:datastoreItem>
</file>

<file path=customXml/itemProps4.xml><?xml version="1.0" encoding="utf-8"?>
<ds:datastoreItem xmlns:ds="http://schemas.openxmlformats.org/officeDocument/2006/customXml" ds:itemID="{6C7A9075-9D16-4313-BDE9-F87B9D6E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31</Pages>
  <Words>7825</Words>
  <Characters>48049</Characters>
  <Application>Microsoft Office Word</Application>
  <DocSecurity>0</DocSecurity>
  <Lines>1716</Lines>
  <Paragraphs>600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2022-06-28T18:06:00Z</dcterms:created>
  <dcterms:modified xsi:type="dcterms:W3CDTF">2022-07-01T10:13:00Z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8.0, Build 20220128</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MSIP_Label_6bd9ddd1-4d20-43f6-abfa-fc3c07406f94_Enabled">
    <vt:lpwstr>true</vt:lpwstr>
  </property>
  <property fmtid="{D5CDD505-2E9C-101B-9397-08002B2CF9AE}" pid="12" name="MSIP_Label_6bd9ddd1-4d20-43f6-abfa-fc3c07406f94_SetDate">
    <vt:lpwstr>2022-06-09T13:59:46Z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9f857206-ec98-44d0-a630-2030ad4220b9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