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6AE8C" w14:textId="77777777" w:rsidR="00EC6F8D" w:rsidRPr="00293C60" w:rsidRDefault="00EC6F8D" w:rsidP="00EC6F8D">
      <w:pPr>
        <w:spacing w:before="1440"/>
        <w:jc w:val="center"/>
        <w:rPr>
          <w:rFonts w:ascii="Arial" w:hAnsi="Arial" w:cs="Arial"/>
          <w:b/>
          <w:sz w:val="22"/>
          <w:szCs w:val="22"/>
          <w:lang w:val="en-GB"/>
        </w:rPr>
      </w:pPr>
      <w:r w:rsidRPr="00293C60">
        <w:rPr>
          <w:rFonts w:ascii="Arial" w:hAnsi="Arial" w:cs="Arial"/>
          <w:b/>
          <w:sz w:val="22"/>
          <w:szCs w:val="22"/>
          <w:lang w:val="en-GB"/>
        </w:rPr>
        <w:t xml:space="preserve">CONVENTION FOR THE SAFEGUARDING OF THE </w:t>
      </w:r>
      <w:r w:rsidRPr="00293C60">
        <w:rPr>
          <w:rFonts w:ascii="Arial" w:hAnsi="Arial" w:cs="Arial"/>
          <w:b/>
          <w:sz w:val="22"/>
          <w:szCs w:val="22"/>
          <w:lang w:val="en-GB"/>
        </w:rPr>
        <w:br/>
        <w:t>INTANGIBLE CULTURAL HERITAGE</w:t>
      </w:r>
    </w:p>
    <w:p w14:paraId="323315CA" w14:textId="77777777"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6CD7B38E" w14:textId="77777777" w:rsidR="00EC6F8D" w:rsidRPr="00293C60" w:rsidRDefault="00C7433F" w:rsidP="001D14FE">
      <w:pPr>
        <w:spacing w:before="840"/>
        <w:jc w:val="center"/>
        <w:rPr>
          <w:rFonts w:ascii="Arial" w:hAnsi="Arial" w:cs="Arial"/>
          <w:b/>
          <w:sz w:val="22"/>
          <w:szCs w:val="22"/>
          <w:lang w:val="en-GB"/>
        </w:rPr>
      </w:pPr>
      <w:r>
        <w:rPr>
          <w:rFonts w:ascii="Arial" w:eastAsiaTheme="minorEastAsia" w:hAnsi="Arial" w:cs="Arial" w:hint="eastAsia"/>
          <w:b/>
          <w:sz w:val="22"/>
          <w:szCs w:val="22"/>
          <w:lang w:val="en-GB" w:eastAsia="ko-KR"/>
        </w:rPr>
        <w:t>T</w:t>
      </w:r>
      <w:r w:rsidR="001D14FE">
        <w:rPr>
          <w:rFonts w:ascii="Arial" w:eastAsiaTheme="minorEastAsia" w:hAnsi="Arial" w:cs="Arial"/>
          <w:b/>
          <w:sz w:val="22"/>
          <w:szCs w:val="22"/>
          <w:lang w:val="en-GB" w:eastAsia="ko-KR"/>
        </w:rPr>
        <w:t>hirteen</w:t>
      </w:r>
      <w:r w:rsidR="00CB0542">
        <w:rPr>
          <w:rFonts w:ascii="Arial" w:hAnsi="Arial" w:cs="Arial"/>
          <w:b/>
          <w:sz w:val="22"/>
          <w:szCs w:val="22"/>
          <w:lang w:val="en-GB"/>
        </w:rPr>
        <w:t>th</w:t>
      </w:r>
      <w:r w:rsidR="00EC6F8D">
        <w:rPr>
          <w:rFonts w:ascii="Arial" w:hAnsi="Arial" w:cs="Arial"/>
          <w:b/>
          <w:sz w:val="22"/>
          <w:szCs w:val="22"/>
          <w:lang w:val="en-GB"/>
        </w:rPr>
        <w:t xml:space="preserve"> </w:t>
      </w:r>
      <w:r w:rsidR="00EC6F8D" w:rsidRPr="00293C60">
        <w:rPr>
          <w:rFonts w:ascii="Arial" w:hAnsi="Arial" w:cs="Arial"/>
          <w:b/>
          <w:sz w:val="22"/>
          <w:szCs w:val="22"/>
          <w:lang w:val="en-GB"/>
        </w:rPr>
        <w:t>session</w:t>
      </w:r>
    </w:p>
    <w:p w14:paraId="2A10523D" w14:textId="77777777" w:rsidR="009D5428" w:rsidRPr="00337CEB" w:rsidRDefault="001D14FE" w:rsidP="001D14FE">
      <w:pPr>
        <w:jc w:val="center"/>
        <w:rPr>
          <w:rFonts w:ascii="Arial" w:eastAsiaTheme="minorEastAsia" w:hAnsi="Arial" w:cs="Arial"/>
          <w:b/>
          <w:sz w:val="22"/>
          <w:szCs w:val="22"/>
          <w:lang w:val="en-GB" w:eastAsia="ko-KR"/>
        </w:rPr>
      </w:pPr>
      <w:r>
        <w:rPr>
          <w:rFonts w:ascii="Arial" w:eastAsiaTheme="minorEastAsia" w:hAnsi="Arial" w:cs="Arial"/>
          <w:b/>
          <w:sz w:val="22"/>
          <w:szCs w:val="22"/>
          <w:lang w:val="en-GB" w:eastAsia="ko-KR"/>
        </w:rPr>
        <w:t>Port Louis</w:t>
      </w:r>
      <w:r w:rsidR="00CB0542">
        <w:rPr>
          <w:rFonts w:ascii="Arial" w:hAnsi="Arial" w:cs="Arial"/>
          <w:b/>
          <w:sz w:val="22"/>
          <w:szCs w:val="22"/>
          <w:lang w:val="en-GB"/>
        </w:rPr>
        <w:t xml:space="preserve">, </w:t>
      </w:r>
      <w:r w:rsidR="00337CEB">
        <w:rPr>
          <w:rFonts w:ascii="Arial" w:eastAsiaTheme="minorEastAsia" w:hAnsi="Arial" w:cs="Arial" w:hint="eastAsia"/>
          <w:b/>
          <w:sz w:val="22"/>
          <w:szCs w:val="22"/>
          <w:lang w:val="en-GB" w:eastAsia="ko-KR"/>
        </w:rPr>
        <w:t xml:space="preserve">Republic of </w:t>
      </w:r>
      <w:r>
        <w:rPr>
          <w:rFonts w:ascii="Arial" w:eastAsiaTheme="minorEastAsia" w:hAnsi="Arial" w:cs="Arial"/>
          <w:b/>
          <w:sz w:val="22"/>
          <w:szCs w:val="22"/>
          <w:lang w:val="en-GB" w:eastAsia="ko-KR"/>
        </w:rPr>
        <w:t>Mauritius</w:t>
      </w:r>
    </w:p>
    <w:p w14:paraId="4F2FA72E" w14:textId="77777777" w:rsidR="00EC6F8D" w:rsidRPr="00337CEB" w:rsidRDefault="001D14FE" w:rsidP="001D14FE">
      <w:pPr>
        <w:jc w:val="center"/>
        <w:rPr>
          <w:rFonts w:ascii="Arial" w:eastAsiaTheme="minorEastAsia" w:hAnsi="Arial" w:cs="Arial"/>
          <w:b/>
          <w:sz w:val="22"/>
          <w:szCs w:val="22"/>
          <w:lang w:val="en-GB" w:eastAsia="ko-KR"/>
        </w:rPr>
      </w:pPr>
      <w:r>
        <w:rPr>
          <w:rFonts w:ascii="Arial" w:eastAsiaTheme="minorEastAsia" w:hAnsi="Arial" w:cs="Arial"/>
          <w:b/>
          <w:sz w:val="22"/>
          <w:szCs w:val="22"/>
          <w:lang w:val="en-GB" w:eastAsia="ko-KR"/>
        </w:rPr>
        <w:t xml:space="preserve">26 November </w:t>
      </w:r>
      <w:r w:rsidR="00EC6F8D" w:rsidRPr="00EC6F8D">
        <w:rPr>
          <w:rFonts w:ascii="Arial" w:hAnsi="Arial" w:cs="Arial"/>
          <w:b/>
          <w:sz w:val="22"/>
          <w:szCs w:val="22"/>
          <w:lang w:val="en-GB"/>
        </w:rPr>
        <w:t xml:space="preserve">to </w:t>
      </w:r>
      <w:r>
        <w:rPr>
          <w:rFonts w:ascii="Arial" w:hAnsi="Arial" w:cs="Arial"/>
          <w:b/>
          <w:sz w:val="22"/>
          <w:szCs w:val="22"/>
          <w:lang w:val="en-GB"/>
        </w:rPr>
        <w:t>1</w:t>
      </w:r>
      <w:r w:rsidR="00337CEB">
        <w:rPr>
          <w:rFonts w:ascii="Arial" w:hAnsi="Arial" w:cs="Arial"/>
          <w:b/>
          <w:sz w:val="22"/>
          <w:szCs w:val="22"/>
          <w:lang w:val="en-GB"/>
        </w:rPr>
        <w:t xml:space="preserve"> December 201</w:t>
      </w:r>
      <w:r>
        <w:rPr>
          <w:rFonts w:ascii="Arial" w:eastAsiaTheme="minorEastAsia" w:hAnsi="Arial" w:cs="Arial"/>
          <w:b/>
          <w:sz w:val="22"/>
          <w:szCs w:val="22"/>
          <w:lang w:val="en-GB" w:eastAsia="ko-KR"/>
        </w:rPr>
        <w:t>8</w:t>
      </w:r>
    </w:p>
    <w:p w14:paraId="722D7250" w14:textId="77777777" w:rsidR="00EC6F8D" w:rsidRPr="00293C60" w:rsidRDefault="00EC6F8D" w:rsidP="00EC6F8D">
      <w:pPr>
        <w:pStyle w:val="Sansinterligne2"/>
        <w:spacing w:before="1200"/>
        <w:jc w:val="center"/>
        <w:rPr>
          <w:rFonts w:ascii="Arial" w:hAnsi="Arial" w:cs="Arial"/>
          <w:b/>
          <w:sz w:val="22"/>
          <w:szCs w:val="22"/>
          <w:lang w:val="en-GB"/>
        </w:rPr>
      </w:pPr>
      <w:r w:rsidRPr="00293C60">
        <w:rPr>
          <w:rFonts w:ascii="Arial" w:hAnsi="Arial" w:cs="Arial"/>
          <w:b/>
          <w:sz w:val="22"/>
          <w:szCs w:val="22"/>
          <w:u w:val="single"/>
          <w:lang w:val="en-GB"/>
        </w:rPr>
        <w:t xml:space="preserve">Item </w:t>
      </w:r>
      <w:r w:rsidR="003950DF">
        <w:rPr>
          <w:rFonts w:ascii="Arial" w:hAnsi="Arial" w:cs="Arial"/>
          <w:b/>
          <w:sz w:val="22"/>
          <w:szCs w:val="22"/>
          <w:u w:val="single"/>
          <w:lang w:val="en-GB"/>
        </w:rPr>
        <w:t>10.d</w:t>
      </w:r>
      <w:r w:rsidRPr="00293C60">
        <w:rPr>
          <w:rFonts w:ascii="Arial" w:hAnsi="Arial" w:cs="Arial"/>
          <w:b/>
          <w:sz w:val="22"/>
          <w:szCs w:val="22"/>
          <w:u w:val="single"/>
          <w:lang w:val="en-GB"/>
        </w:rPr>
        <w:t xml:space="preserve"> of the Provisional Agenda</w:t>
      </w:r>
      <w:r w:rsidRPr="00293C60">
        <w:rPr>
          <w:rFonts w:ascii="Arial" w:hAnsi="Arial" w:cs="Arial"/>
          <w:b/>
          <w:sz w:val="22"/>
          <w:szCs w:val="22"/>
          <w:lang w:val="en-GB"/>
        </w:rPr>
        <w:t>:</w:t>
      </w:r>
    </w:p>
    <w:p w14:paraId="548768C3" w14:textId="77777777" w:rsidR="00EC6F8D" w:rsidRPr="00293C60" w:rsidRDefault="003950DF" w:rsidP="00EC6F8D">
      <w:pPr>
        <w:pStyle w:val="Sansinterligne2"/>
        <w:spacing w:after="1200"/>
        <w:jc w:val="center"/>
        <w:rPr>
          <w:rFonts w:ascii="Arial" w:hAnsi="Arial" w:cs="Arial"/>
          <w:b/>
          <w:sz w:val="22"/>
          <w:szCs w:val="22"/>
          <w:lang w:val="en-GB"/>
        </w:rPr>
      </w:pPr>
      <w:r>
        <w:rPr>
          <w:rFonts w:ascii="Arial" w:hAnsi="Arial" w:cs="Arial"/>
          <w:b/>
          <w:sz w:val="22"/>
          <w:szCs w:val="22"/>
          <w:lang w:val="en-GB"/>
        </w:rPr>
        <w:t>Examination of requests for International Assistance</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36579F" w14:paraId="0FC91CCD" w14:textId="77777777" w:rsidTr="00EC6F8D">
        <w:trPr>
          <w:jc w:val="center"/>
        </w:trPr>
        <w:tc>
          <w:tcPr>
            <w:tcW w:w="5670" w:type="dxa"/>
            <w:vAlign w:val="center"/>
          </w:tcPr>
          <w:p w14:paraId="69CAEADC" w14:textId="77777777" w:rsidR="00EC6F8D" w:rsidRPr="00293C60" w:rsidRDefault="00EC6F8D" w:rsidP="00CA56BB">
            <w:pPr>
              <w:pStyle w:val="Sansinterligne1"/>
              <w:spacing w:before="200" w:after="200"/>
              <w:jc w:val="center"/>
              <w:rPr>
                <w:rFonts w:ascii="Arial" w:hAnsi="Arial" w:cs="Arial"/>
                <w:b/>
                <w:sz w:val="22"/>
                <w:szCs w:val="22"/>
                <w:lang w:val="en-GB"/>
              </w:rPr>
            </w:pPr>
            <w:r w:rsidRPr="00293C60">
              <w:rPr>
                <w:rFonts w:ascii="Arial" w:hAnsi="Arial" w:cs="Arial"/>
                <w:b/>
                <w:sz w:val="22"/>
                <w:szCs w:val="22"/>
                <w:lang w:val="en-GB"/>
              </w:rPr>
              <w:t>Summary</w:t>
            </w:r>
          </w:p>
          <w:p w14:paraId="28A0FAF3" w14:textId="28F64E59" w:rsidR="003950DF" w:rsidRPr="00AE510F" w:rsidRDefault="003950DF" w:rsidP="003950DF">
            <w:pPr>
              <w:pStyle w:val="Sansinterligne2"/>
              <w:spacing w:before="200" w:after="200"/>
              <w:jc w:val="both"/>
              <w:rPr>
                <w:rFonts w:ascii="Arial" w:hAnsi="Arial" w:cs="Arial"/>
                <w:sz w:val="22"/>
                <w:szCs w:val="22"/>
                <w:lang w:val="en-GB"/>
              </w:rPr>
            </w:pPr>
            <w:r w:rsidRPr="00AE510F">
              <w:rPr>
                <w:rFonts w:ascii="Arial" w:hAnsi="Arial" w:cs="Arial"/>
                <w:sz w:val="22"/>
                <w:szCs w:val="22"/>
                <w:lang w:val="en-GB"/>
              </w:rPr>
              <w:t xml:space="preserve">The present document includes the recommendation of the Evaluation Body on </w:t>
            </w:r>
            <w:r>
              <w:rPr>
                <w:rFonts w:ascii="Arial" w:hAnsi="Arial" w:cs="Arial"/>
                <w:sz w:val="22"/>
                <w:szCs w:val="22"/>
                <w:lang w:val="en-GB"/>
              </w:rPr>
              <w:t>a request</w:t>
            </w:r>
            <w:r w:rsidRPr="00AE510F">
              <w:rPr>
                <w:rFonts w:ascii="Arial" w:hAnsi="Arial" w:cs="Arial"/>
                <w:sz w:val="22"/>
                <w:szCs w:val="22"/>
                <w:lang w:val="en-GB"/>
              </w:rPr>
              <w:t xml:space="preserve"> for International Assistance (Part A) and a draft decision for the Committee’s consideration (</w:t>
            </w:r>
            <w:r>
              <w:rPr>
                <w:rFonts w:ascii="Arial" w:hAnsi="Arial" w:cs="Arial"/>
                <w:sz w:val="22"/>
                <w:szCs w:val="22"/>
                <w:lang w:val="en-GB"/>
              </w:rPr>
              <w:t>Part B). An overview of the 2018</w:t>
            </w:r>
            <w:r w:rsidRPr="00AE510F">
              <w:rPr>
                <w:rFonts w:ascii="Arial" w:hAnsi="Arial" w:cs="Arial"/>
                <w:sz w:val="22"/>
                <w:szCs w:val="22"/>
                <w:lang w:val="en-GB"/>
              </w:rPr>
              <w:t xml:space="preserve"> files and the working methods of the Evaluation Body is included in </w:t>
            </w:r>
            <w:r>
              <w:rPr>
                <w:rFonts w:ascii="Arial" w:hAnsi="Arial" w:cs="Arial"/>
                <w:sz w:val="22"/>
                <w:szCs w:val="22"/>
                <w:lang w:val="en-GB"/>
              </w:rPr>
              <w:t>d</w:t>
            </w:r>
            <w:r w:rsidRPr="00AE510F">
              <w:rPr>
                <w:rFonts w:ascii="Arial" w:hAnsi="Arial" w:cs="Arial"/>
                <w:sz w:val="22"/>
                <w:szCs w:val="22"/>
                <w:lang w:val="en-GB"/>
              </w:rPr>
              <w:t xml:space="preserve">ocument </w:t>
            </w:r>
            <w:hyperlink r:id="rId8" w:history="1">
              <w:r w:rsidRPr="00F16BBB">
                <w:rPr>
                  <w:rStyle w:val="Hyperlink"/>
                  <w:rFonts w:ascii="Arial" w:hAnsi="Arial" w:cs="Arial"/>
                  <w:sz w:val="22"/>
                  <w:szCs w:val="22"/>
                  <w:lang w:val="en-GB"/>
                </w:rPr>
                <w:t>ITH/1</w:t>
              </w:r>
              <w:r w:rsidR="005E699A" w:rsidRPr="00F16BBB">
                <w:rPr>
                  <w:rStyle w:val="Hyperlink"/>
                  <w:rFonts w:ascii="Arial" w:hAnsi="Arial" w:cs="Arial"/>
                  <w:sz w:val="22"/>
                  <w:szCs w:val="22"/>
                  <w:lang w:val="en-GB"/>
                </w:rPr>
                <w:t>8</w:t>
              </w:r>
              <w:r w:rsidRPr="00F16BBB">
                <w:rPr>
                  <w:rStyle w:val="Hyperlink"/>
                  <w:rFonts w:ascii="Arial" w:hAnsi="Arial" w:cs="Arial"/>
                  <w:sz w:val="22"/>
                  <w:szCs w:val="22"/>
                  <w:lang w:val="en-GB"/>
                </w:rPr>
                <w:t>/13.COM/10</w:t>
              </w:r>
            </w:hyperlink>
            <w:r w:rsidRPr="00AE510F">
              <w:rPr>
                <w:rFonts w:ascii="Arial" w:hAnsi="Arial" w:cs="Arial"/>
                <w:sz w:val="22"/>
                <w:szCs w:val="22"/>
                <w:lang w:val="en-GB"/>
              </w:rPr>
              <w:t>.</w:t>
            </w:r>
          </w:p>
          <w:p w14:paraId="42C80DE0" w14:textId="77777777" w:rsidR="00EC6F8D" w:rsidRPr="00293C60" w:rsidRDefault="00EC6F8D" w:rsidP="003950DF">
            <w:pPr>
              <w:pStyle w:val="Sansinterligne2"/>
              <w:spacing w:before="200" w:after="200"/>
              <w:jc w:val="both"/>
              <w:rPr>
                <w:rFonts w:ascii="Arial" w:hAnsi="Arial" w:cs="Arial"/>
                <w:b/>
                <w:sz w:val="22"/>
                <w:szCs w:val="22"/>
                <w:lang w:val="en-GB"/>
              </w:rPr>
            </w:pPr>
            <w:r w:rsidRPr="00293C60">
              <w:rPr>
                <w:rFonts w:ascii="Arial" w:hAnsi="Arial" w:cs="Arial"/>
                <w:b/>
                <w:sz w:val="22"/>
                <w:szCs w:val="22"/>
                <w:lang w:val="en-GB"/>
              </w:rPr>
              <w:t xml:space="preserve">Decision required: </w:t>
            </w:r>
            <w:r w:rsidRPr="00293C60">
              <w:rPr>
                <w:rFonts w:ascii="Arial" w:hAnsi="Arial" w:cs="Arial"/>
                <w:bCs/>
                <w:sz w:val="22"/>
                <w:szCs w:val="22"/>
                <w:lang w:val="en-GB"/>
              </w:rPr>
              <w:t xml:space="preserve">paragraph </w:t>
            </w:r>
            <w:r w:rsidR="003950DF">
              <w:rPr>
                <w:rFonts w:ascii="Arial" w:hAnsi="Arial" w:cs="Arial"/>
                <w:bCs/>
                <w:sz w:val="22"/>
                <w:szCs w:val="22"/>
                <w:lang w:val="en-GB"/>
              </w:rPr>
              <w:t>2</w:t>
            </w:r>
          </w:p>
        </w:tc>
      </w:tr>
    </w:tbl>
    <w:p w14:paraId="31629075" w14:textId="77777777" w:rsidR="003950DF" w:rsidRPr="00AE510F" w:rsidRDefault="00655736" w:rsidP="00F16BBB">
      <w:pPr>
        <w:pStyle w:val="NoSpacing1"/>
        <w:keepNext/>
        <w:numPr>
          <w:ilvl w:val="0"/>
          <w:numId w:val="14"/>
        </w:numPr>
        <w:tabs>
          <w:tab w:val="left" w:pos="567"/>
        </w:tabs>
        <w:spacing w:before="360" w:after="240"/>
        <w:ind w:left="567" w:hanging="567"/>
        <w:jc w:val="both"/>
        <w:rPr>
          <w:rFonts w:ascii="Arial" w:hAnsi="Arial" w:cs="Arial"/>
          <w:b/>
          <w:lang w:val="en-GB"/>
        </w:rPr>
      </w:pPr>
      <w:r w:rsidRPr="003950DF">
        <w:rPr>
          <w:lang w:val="en-US"/>
        </w:rPr>
        <w:br w:type="page"/>
      </w:r>
      <w:r w:rsidR="003950DF">
        <w:rPr>
          <w:rFonts w:ascii="Arial" w:hAnsi="Arial" w:cs="Arial"/>
          <w:b/>
          <w:lang w:val="en-GB"/>
        </w:rPr>
        <w:lastRenderedPageBreak/>
        <w:t>Recommendation</w:t>
      </w:r>
    </w:p>
    <w:p w14:paraId="2D4CA3E2" w14:textId="77777777" w:rsidR="003950DF" w:rsidRPr="00AE510F" w:rsidRDefault="003950DF" w:rsidP="003950DF">
      <w:pPr>
        <w:pStyle w:val="COMPara"/>
        <w:spacing w:before="240"/>
        <w:jc w:val="both"/>
      </w:pPr>
      <w:bookmarkStart w:id="0" w:name="Recommends_that_the_committee_approve"/>
      <w:bookmarkStart w:id="1" w:name="Recommends_that_the_committee_refer"/>
      <w:bookmarkEnd w:id="0"/>
      <w:bookmarkEnd w:id="1"/>
      <w:r w:rsidRPr="00AE510F">
        <w:t>The Evaluation Body recommends that the Committee refer the following International Assistance request to the submitting State:</w:t>
      </w:r>
    </w:p>
    <w:tbl>
      <w:tblPr>
        <w:tblW w:w="9072" w:type="dxa"/>
        <w:tblInd w:w="56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A0" w:firstRow="1" w:lastRow="0" w:firstColumn="1" w:lastColumn="0" w:noHBand="0" w:noVBand="0"/>
      </w:tblPr>
      <w:tblGrid>
        <w:gridCol w:w="1702"/>
        <w:gridCol w:w="1417"/>
        <w:gridCol w:w="3687"/>
        <w:gridCol w:w="1417"/>
        <w:gridCol w:w="849"/>
      </w:tblGrid>
      <w:tr w:rsidR="003950DF" w:rsidRPr="00AE510F" w14:paraId="664B1507" w14:textId="77777777" w:rsidTr="00F16BBB">
        <w:trPr>
          <w:cantSplit/>
          <w:tblHeader/>
        </w:trPr>
        <w:tc>
          <w:tcPr>
            <w:tcW w:w="938" w:type="pct"/>
            <w:tcBorders>
              <w:top w:val="single" w:sz="4" w:space="0" w:color="auto"/>
              <w:bottom w:val="single" w:sz="4" w:space="0" w:color="auto"/>
              <w:right w:val="nil"/>
            </w:tcBorders>
            <w:shd w:val="clear" w:color="auto" w:fill="BFBFBF"/>
            <w:vAlign w:val="center"/>
          </w:tcPr>
          <w:p w14:paraId="7037E499" w14:textId="77777777" w:rsidR="003950DF" w:rsidRPr="00AE510F" w:rsidRDefault="003950DF" w:rsidP="00301734">
            <w:pPr>
              <w:spacing w:before="120" w:after="120"/>
              <w:jc w:val="center"/>
              <w:rPr>
                <w:rFonts w:ascii="Arial" w:hAnsi="Arial" w:cs="Arial"/>
                <w:sz w:val="22"/>
                <w:szCs w:val="22"/>
                <w:lang w:val="en-GB"/>
              </w:rPr>
            </w:pPr>
            <w:r w:rsidRPr="00AE510F">
              <w:rPr>
                <w:rFonts w:ascii="Arial" w:hAnsi="Arial" w:cs="Arial"/>
                <w:b/>
                <w:bCs/>
                <w:sz w:val="22"/>
                <w:szCs w:val="22"/>
                <w:lang w:val="en-GB" w:eastAsia="en-GB"/>
              </w:rPr>
              <w:t>Draft Decision</w:t>
            </w:r>
          </w:p>
        </w:tc>
        <w:tc>
          <w:tcPr>
            <w:tcW w:w="781" w:type="pct"/>
            <w:tcBorders>
              <w:top w:val="single" w:sz="4" w:space="0" w:color="auto"/>
              <w:left w:val="nil"/>
              <w:bottom w:val="single" w:sz="4" w:space="0" w:color="auto"/>
            </w:tcBorders>
            <w:shd w:val="clear" w:color="auto" w:fill="BFBFBF"/>
            <w:vAlign w:val="center"/>
          </w:tcPr>
          <w:p w14:paraId="2B49B712" w14:textId="77777777" w:rsidR="003950DF" w:rsidRPr="00AE510F" w:rsidRDefault="003950DF" w:rsidP="00301734">
            <w:pPr>
              <w:spacing w:before="120" w:after="120"/>
              <w:jc w:val="center"/>
              <w:rPr>
                <w:rFonts w:ascii="Arial" w:hAnsi="Arial" w:cs="Arial"/>
                <w:sz w:val="22"/>
                <w:szCs w:val="22"/>
                <w:lang w:val="en-GB"/>
              </w:rPr>
            </w:pPr>
            <w:r w:rsidRPr="00AE510F">
              <w:rPr>
                <w:rFonts w:ascii="Arial" w:hAnsi="Arial" w:cs="Arial"/>
                <w:b/>
                <w:bCs/>
                <w:sz w:val="22"/>
                <w:szCs w:val="22"/>
                <w:lang w:val="en-GB" w:eastAsia="en-GB"/>
              </w:rPr>
              <w:t>Requesting State</w:t>
            </w:r>
          </w:p>
        </w:tc>
        <w:tc>
          <w:tcPr>
            <w:tcW w:w="2032" w:type="pct"/>
            <w:tcBorders>
              <w:top w:val="single" w:sz="4" w:space="0" w:color="auto"/>
              <w:bottom w:val="single" w:sz="4" w:space="0" w:color="auto"/>
            </w:tcBorders>
            <w:shd w:val="clear" w:color="auto" w:fill="BFBFBF"/>
            <w:vAlign w:val="center"/>
          </w:tcPr>
          <w:p w14:paraId="4601002F" w14:textId="77777777" w:rsidR="003950DF" w:rsidRPr="00AE510F" w:rsidRDefault="003950DF" w:rsidP="00301734">
            <w:pPr>
              <w:spacing w:before="120" w:after="120"/>
              <w:jc w:val="center"/>
              <w:rPr>
                <w:rFonts w:ascii="Arial" w:hAnsi="Arial" w:cs="Arial"/>
                <w:sz w:val="22"/>
                <w:szCs w:val="22"/>
                <w:lang w:val="en-GB"/>
              </w:rPr>
            </w:pPr>
            <w:r w:rsidRPr="00AE510F">
              <w:rPr>
                <w:rFonts w:ascii="Arial" w:hAnsi="Arial" w:cs="Arial"/>
                <w:b/>
                <w:bCs/>
                <w:sz w:val="22"/>
                <w:szCs w:val="22"/>
                <w:lang w:val="en-GB" w:eastAsia="en-GB"/>
              </w:rPr>
              <w:t>Title</w:t>
            </w:r>
          </w:p>
        </w:tc>
        <w:tc>
          <w:tcPr>
            <w:tcW w:w="781" w:type="pct"/>
            <w:tcBorders>
              <w:top w:val="single" w:sz="4" w:space="0" w:color="auto"/>
              <w:bottom w:val="single" w:sz="4" w:space="0" w:color="auto"/>
            </w:tcBorders>
            <w:shd w:val="clear" w:color="auto" w:fill="BFBFBF"/>
            <w:vAlign w:val="center"/>
          </w:tcPr>
          <w:p w14:paraId="2F70F254" w14:textId="77777777" w:rsidR="003950DF" w:rsidRPr="00AE510F" w:rsidRDefault="003950DF" w:rsidP="00301734">
            <w:pPr>
              <w:spacing w:before="120" w:after="120"/>
              <w:jc w:val="center"/>
              <w:rPr>
                <w:rFonts w:ascii="Arial" w:hAnsi="Arial" w:cs="Arial"/>
                <w:b/>
                <w:bCs/>
                <w:sz w:val="22"/>
                <w:szCs w:val="22"/>
                <w:lang w:val="en-GB" w:eastAsia="en-GB"/>
              </w:rPr>
            </w:pPr>
            <w:r w:rsidRPr="00AE510F">
              <w:rPr>
                <w:rFonts w:ascii="Arial" w:hAnsi="Arial" w:cs="Arial"/>
                <w:b/>
                <w:bCs/>
                <w:sz w:val="22"/>
                <w:szCs w:val="22"/>
                <w:lang w:val="en-GB" w:eastAsia="en-GB"/>
              </w:rPr>
              <w:t>Amount requested</w:t>
            </w:r>
          </w:p>
        </w:tc>
        <w:tc>
          <w:tcPr>
            <w:tcW w:w="468" w:type="pct"/>
            <w:tcBorders>
              <w:top w:val="single" w:sz="4" w:space="0" w:color="auto"/>
              <w:bottom w:val="single" w:sz="4" w:space="0" w:color="auto"/>
            </w:tcBorders>
            <w:shd w:val="clear" w:color="auto" w:fill="BFBFBF"/>
            <w:vAlign w:val="center"/>
          </w:tcPr>
          <w:p w14:paraId="1B0D3F88" w14:textId="77777777" w:rsidR="003950DF" w:rsidRPr="00AE510F" w:rsidRDefault="003950DF" w:rsidP="00301734">
            <w:pPr>
              <w:spacing w:before="120" w:after="120"/>
              <w:jc w:val="center"/>
              <w:rPr>
                <w:rFonts w:ascii="Arial" w:hAnsi="Arial" w:cs="Arial"/>
                <w:sz w:val="22"/>
                <w:szCs w:val="22"/>
                <w:lang w:val="en-GB"/>
              </w:rPr>
            </w:pPr>
            <w:r w:rsidRPr="00AE510F">
              <w:rPr>
                <w:rFonts w:ascii="Arial" w:hAnsi="Arial" w:cs="Arial"/>
                <w:b/>
                <w:bCs/>
                <w:sz w:val="22"/>
                <w:szCs w:val="22"/>
                <w:lang w:val="en-GB" w:eastAsia="en-GB"/>
              </w:rPr>
              <w:t>File No.</w:t>
            </w:r>
          </w:p>
        </w:tc>
      </w:tr>
      <w:tr w:rsidR="003950DF" w:rsidRPr="00AE510F" w14:paraId="67C5434A" w14:textId="77777777" w:rsidTr="00F16BBB">
        <w:trPr>
          <w:cantSplit/>
          <w:tblHeader/>
        </w:trPr>
        <w:tc>
          <w:tcPr>
            <w:tcW w:w="938" w:type="pct"/>
            <w:tcBorders>
              <w:top w:val="single" w:sz="4" w:space="0" w:color="auto"/>
              <w:bottom w:val="single" w:sz="4" w:space="0" w:color="auto"/>
              <w:right w:val="nil"/>
            </w:tcBorders>
          </w:tcPr>
          <w:p w14:paraId="69729877" w14:textId="77777777" w:rsidR="003950DF" w:rsidRPr="00E20425" w:rsidRDefault="004C665F" w:rsidP="00E20425">
            <w:pPr>
              <w:spacing w:before="120" w:after="120"/>
              <w:rPr>
                <w:rFonts w:ascii="Arial" w:hAnsi="Arial" w:cs="Arial"/>
                <w:sz w:val="22"/>
                <w:szCs w:val="22"/>
                <w:lang w:val="en-GB"/>
              </w:rPr>
            </w:pPr>
            <w:hyperlink w:anchor="Decision_10d" w:history="1">
              <w:r w:rsidR="003950DF" w:rsidRPr="00E20425">
                <w:rPr>
                  <w:rStyle w:val="Hyperlink"/>
                  <w:rFonts w:ascii="Arial" w:hAnsi="Arial" w:cs="Arial"/>
                  <w:sz w:val="22"/>
                  <w:szCs w:val="22"/>
                  <w:lang w:val="en-GB"/>
                </w:rPr>
                <w:t>13.COM 10.d</w:t>
              </w:r>
            </w:hyperlink>
          </w:p>
        </w:tc>
        <w:tc>
          <w:tcPr>
            <w:tcW w:w="781" w:type="pct"/>
            <w:tcBorders>
              <w:top w:val="single" w:sz="4" w:space="0" w:color="auto"/>
              <w:left w:val="nil"/>
              <w:bottom w:val="single" w:sz="4" w:space="0" w:color="auto"/>
            </w:tcBorders>
          </w:tcPr>
          <w:p w14:paraId="6C4FEEC9" w14:textId="77777777" w:rsidR="003950DF" w:rsidRPr="00E20425" w:rsidRDefault="003950DF" w:rsidP="00301734">
            <w:pPr>
              <w:spacing w:before="120" w:after="120"/>
              <w:jc w:val="center"/>
              <w:rPr>
                <w:rFonts w:ascii="Arial" w:hAnsi="Arial" w:cs="Arial"/>
                <w:sz w:val="22"/>
                <w:szCs w:val="22"/>
                <w:lang w:val="en-GB"/>
              </w:rPr>
            </w:pPr>
            <w:r w:rsidRPr="00E20425">
              <w:rPr>
                <w:rFonts w:ascii="Arial" w:hAnsi="Arial" w:cs="Arial"/>
                <w:sz w:val="22"/>
                <w:szCs w:val="22"/>
                <w:lang w:val="en-GB"/>
              </w:rPr>
              <w:t>Albania</w:t>
            </w:r>
          </w:p>
        </w:tc>
        <w:tc>
          <w:tcPr>
            <w:tcW w:w="2032" w:type="pct"/>
            <w:tcBorders>
              <w:top w:val="single" w:sz="4" w:space="0" w:color="auto"/>
              <w:bottom w:val="single" w:sz="4" w:space="0" w:color="auto"/>
            </w:tcBorders>
          </w:tcPr>
          <w:p w14:paraId="518881E4" w14:textId="77777777" w:rsidR="003950DF" w:rsidRPr="00E20425" w:rsidRDefault="003950DF" w:rsidP="00301734">
            <w:pPr>
              <w:spacing w:before="120" w:after="120"/>
              <w:rPr>
                <w:rFonts w:ascii="Arial" w:hAnsi="Arial" w:cs="Arial"/>
                <w:sz w:val="22"/>
                <w:szCs w:val="22"/>
                <w:lang w:val="en-GB"/>
              </w:rPr>
            </w:pPr>
            <w:r w:rsidRPr="00E20425">
              <w:rPr>
                <w:rFonts w:ascii="Arial" w:hAnsi="Arial" w:cs="Arial"/>
                <w:sz w:val="22"/>
                <w:szCs w:val="22"/>
                <w:lang w:val="en-GB"/>
              </w:rPr>
              <w:t>Community based Inventory of ICH in Albania with a view to safeguarding and transmitting to future generations</w:t>
            </w:r>
          </w:p>
        </w:tc>
        <w:tc>
          <w:tcPr>
            <w:tcW w:w="781" w:type="pct"/>
            <w:tcBorders>
              <w:top w:val="single" w:sz="4" w:space="0" w:color="auto"/>
              <w:bottom w:val="single" w:sz="4" w:space="0" w:color="auto"/>
            </w:tcBorders>
          </w:tcPr>
          <w:p w14:paraId="7CEBDED1" w14:textId="77777777" w:rsidR="003950DF" w:rsidRPr="00E20425" w:rsidRDefault="003950DF" w:rsidP="00301734">
            <w:pPr>
              <w:spacing w:before="120" w:after="120"/>
              <w:jc w:val="center"/>
              <w:rPr>
                <w:rFonts w:ascii="Arial" w:hAnsi="Arial" w:cs="Arial"/>
                <w:sz w:val="22"/>
                <w:szCs w:val="22"/>
                <w:lang w:val="en-GB"/>
              </w:rPr>
            </w:pPr>
            <w:r w:rsidRPr="00E20425">
              <w:rPr>
                <w:rFonts w:ascii="Arial" w:hAnsi="Arial" w:cs="Arial"/>
                <w:sz w:val="22"/>
                <w:szCs w:val="22"/>
                <w:lang w:val="en-GB"/>
              </w:rPr>
              <w:t>US$</w:t>
            </w:r>
            <w:r w:rsidR="00711D1B" w:rsidRPr="00E20425">
              <w:rPr>
                <w:rFonts w:ascii="Arial" w:hAnsi="Arial" w:cs="Arial"/>
                <w:sz w:val="22"/>
                <w:szCs w:val="22"/>
                <w:lang w:val="en-GB"/>
              </w:rPr>
              <w:t>213,260</w:t>
            </w:r>
          </w:p>
        </w:tc>
        <w:tc>
          <w:tcPr>
            <w:tcW w:w="468" w:type="pct"/>
            <w:tcBorders>
              <w:top w:val="single" w:sz="4" w:space="0" w:color="auto"/>
              <w:bottom w:val="single" w:sz="4" w:space="0" w:color="auto"/>
            </w:tcBorders>
          </w:tcPr>
          <w:p w14:paraId="7FCFF3B4" w14:textId="77777777" w:rsidR="003950DF" w:rsidRPr="00AE510F" w:rsidRDefault="004C665F" w:rsidP="003950DF">
            <w:pPr>
              <w:spacing w:before="120" w:after="120"/>
              <w:jc w:val="center"/>
              <w:rPr>
                <w:rFonts w:ascii="Arial" w:hAnsi="Arial" w:cs="Arial"/>
                <w:bCs/>
                <w:sz w:val="22"/>
                <w:szCs w:val="22"/>
                <w:lang w:val="en-GB" w:eastAsia="en-GB"/>
              </w:rPr>
            </w:pPr>
            <w:hyperlink r:id="rId9" w:anchor="10.d" w:history="1">
              <w:r w:rsidR="003950DF" w:rsidRPr="00E20425">
                <w:rPr>
                  <w:rStyle w:val="Hyperlink"/>
                  <w:rFonts w:ascii="Arial" w:hAnsi="Arial" w:cs="Arial"/>
                  <w:sz w:val="22"/>
                  <w:szCs w:val="22"/>
                  <w:lang w:val="en-GB"/>
                </w:rPr>
                <w:t>01253</w:t>
              </w:r>
            </w:hyperlink>
          </w:p>
        </w:tc>
      </w:tr>
    </w:tbl>
    <w:p w14:paraId="15B35450" w14:textId="77777777" w:rsidR="003950DF" w:rsidRPr="00AE510F" w:rsidRDefault="003950DF" w:rsidP="003950DF">
      <w:pPr>
        <w:pStyle w:val="NoSpacing1"/>
        <w:keepNext/>
        <w:numPr>
          <w:ilvl w:val="0"/>
          <w:numId w:val="14"/>
        </w:numPr>
        <w:tabs>
          <w:tab w:val="left" w:pos="567"/>
        </w:tabs>
        <w:spacing w:before="360" w:after="240"/>
        <w:ind w:hanging="930"/>
        <w:jc w:val="both"/>
        <w:rPr>
          <w:rFonts w:ascii="Arial" w:hAnsi="Arial" w:cs="Arial"/>
          <w:b/>
          <w:lang w:val="en-GB"/>
        </w:rPr>
      </w:pPr>
      <w:r>
        <w:rPr>
          <w:rFonts w:ascii="Arial" w:hAnsi="Arial" w:cs="Arial"/>
          <w:b/>
          <w:lang w:val="en-GB"/>
        </w:rPr>
        <w:t>Draft decision</w:t>
      </w:r>
    </w:p>
    <w:p w14:paraId="1BB64028" w14:textId="77777777" w:rsidR="003950DF" w:rsidRPr="00AE510F" w:rsidRDefault="003950DF" w:rsidP="003950DF">
      <w:pPr>
        <w:pStyle w:val="DocMain"/>
        <w:keepNext/>
        <w:numPr>
          <w:ilvl w:val="0"/>
          <w:numId w:val="9"/>
        </w:numPr>
        <w:tabs>
          <w:tab w:val="left" w:pos="567"/>
        </w:tabs>
        <w:ind w:left="567" w:hanging="567"/>
        <w:rPr>
          <w:lang w:val="en-GB"/>
        </w:rPr>
      </w:pPr>
      <w:bookmarkStart w:id="2" w:name="_DRAFT_DECISION_10.COM"/>
      <w:bookmarkEnd w:id="2"/>
      <w:r w:rsidRPr="00AE510F">
        <w:rPr>
          <w:lang w:val="en-GB"/>
        </w:rPr>
        <w:t>The Committee may wish to adopt the following decision:</w:t>
      </w:r>
    </w:p>
    <w:p w14:paraId="39C7EFC3" w14:textId="20FF887C" w:rsidR="003950DF" w:rsidRPr="00711D1B" w:rsidRDefault="003950DF" w:rsidP="00FF1762">
      <w:pPr>
        <w:pStyle w:val="Heading2"/>
        <w:spacing w:before="360" w:after="120"/>
        <w:ind w:left="567"/>
        <w:rPr>
          <w:rFonts w:ascii="Arial" w:hAnsi="Arial" w:cs="Arial"/>
          <w:bCs w:val="0"/>
          <w:i w:val="0"/>
          <w:iCs w:val="0"/>
          <w:sz w:val="22"/>
          <w:szCs w:val="22"/>
          <w:lang w:val="en-GB"/>
        </w:rPr>
      </w:pPr>
      <w:bookmarkStart w:id="3" w:name="Decision_10d"/>
      <w:bookmarkEnd w:id="3"/>
      <w:r w:rsidRPr="00711D1B">
        <w:rPr>
          <w:rFonts w:ascii="Arial" w:hAnsi="Arial" w:cs="Arial"/>
          <w:bCs w:val="0"/>
          <w:i w:val="0"/>
          <w:iCs w:val="0"/>
          <w:sz w:val="22"/>
          <w:szCs w:val="22"/>
          <w:lang w:val="en-GB"/>
        </w:rPr>
        <w:t>DRAFT DECISION 13.COM 10.d</w:t>
      </w:r>
      <w:r w:rsidR="004F01FE">
        <w:rPr>
          <w:rFonts w:ascii="Arial" w:hAnsi="Arial" w:cs="Arial"/>
          <w:bCs w:val="0"/>
          <w:i w:val="0"/>
          <w:iCs w:val="0"/>
          <w:sz w:val="22"/>
          <w:szCs w:val="22"/>
          <w:lang w:val="en-GB"/>
        </w:rPr>
        <w:tab/>
      </w:r>
      <w:r w:rsidR="004F01FE" w:rsidRPr="008159CE">
        <w:rPr>
          <w:rFonts w:ascii="Arial" w:hAnsi="Arial" w:cs="Arial"/>
          <w:noProof/>
          <w:color w:val="0000FF"/>
          <w:sz w:val="22"/>
          <w:szCs w:val="22"/>
          <w:lang w:val="en-US" w:eastAsia="ko-KR"/>
        </w:rPr>
        <w:drawing>
          <wp:inline distT="0" distB="0" distL="0" distR="0" wp14:anchorId="133E7DAE" wp14:editId="5F683348">
            <wp:extent cx="104775" cy="104775"/>
            <wp:effectExtent l="0" t="0" r="9525" b="9525"/>
            <wp:docPr id="2"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645CC47" w14:textId="77777777" w:rsidR="003950DF" w:rsidRPr="003950DF" w:rsidRDefault="003950DF" w:rsidP="003950DF">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3950DF">
        <w:rPr>
          <w:rFonts w:ascii="Arial" w:eastAsia="SimSun" w:hAnsi="Arial" w:cs="Arial"/>
          <w:sz w:val="22"/>
          <w:szCs w:val="22"/>
          <w:lang w:val="en-GB" w:eastAsia="zh-CN"/>
        </w:rPr>
        <w:t>The Committee,</w:t>
      </w:r>
    </w:p>
    <w:p w14:paraId="7EBAA1B9" w14:textId="77777777" w:rsidR="003950DF" w:rsidRPr="003950DF" w:rsidRDefault="003950DF" w:rsidP="003950DF">
      <w:pPr>
        <w:numPr>
          <w:ilvl w:val="0"/>
          <w:numId w:val="13"/>
        </w:numPr>
        <w:spacing w:before="120" w:after="120" w:line="259" w:lineRule="auto"/>
        <w:ind w:left="1134" w:hanging="567"/>
        <w:jc w:val="both"/>
        <w:rPr>
          <w:rFonts w:ascii="Arial" w:hAnsi="Arial" w:cs="Arial"/>
          <w:sz w:val="22"/>
          <w:szCs w:val="22"/>
          <w:lang w:val="en-GB" w:eastAsia="en-US"/>
        </w:rPr>
      </w:pPr>
      <w:r w:rsidRPr="003950DF">
        <w:rPr>
          <w:rFonts w:ascii="Arial" w:hAnsi="Arial" w:cs="Arial"/>
          <w:sz w:val="22"/>
          <w:szCs w:val="22"/>
          <w:u w:val="single"/>
          <w:lang w:val="en-GB" w:eastAsia="en-US"/>
        </w:rPr>
        <w:t>Recalling</w:t>
      </w:r>
      <w:r w:rsidRPr="003950DF">
        <w:rPr>
          <w:rFonts w:ascii="Arial" w:hAnsi="Arial" w:cs="Arial"/>
          <w:sz w:val="22"/>
          <w:szCs w:val="22"/>
          <w:lang w:val="en-GB" w:eastAsia="en-US"/>
        </w:rPr>
        <w:t xml:space="preserve"> Article 23 of the Convention as well as Chapter I.4 of the Operational Directives relating to the eligibility and criteria of International Assistance requests,</w:t>
      </w:r>
    </w:p>
    <w:p w14:paraId="58DB1F8E" w14:textId="77777777" w:rsidR="003950DF" w:rsidRPr="003950DF" w:rsidRDefault="003950DF" w:rsidP="003950DF">
      <w:pPr>
        <w:numPr>
          <w:ilvl w:val="0"/>
          <w:numId w:val="13"/>
        </w:numPr>
        <w:spacing w:before="120" w:after="120" w:line="259" w:lineRule="auto"/>
        <w:ind w:left="1134" w:hanging="567"/>
        <w:jc w:val="both"/>
        <w:rPr>
          <w:rFonts w:ascii="Arial" w:hAnsi="Arial" w:cs="Arial"/>
          <w:sz w:val="22"/>
          <w:szCs w:val="22"/>
          <w:lang w:val="en-GB"/>
        </w:rPr>
      </w:pPr>
      <w:r w:rsidRPr="003950DF">
        <w:rPr>
          <w:rFonts w:ascii="Arial" w:hAnsi="Arial" w:cs="Arial"/>
          <w:sz w:val="22"/>
          <w:szCs w:val="22"/>
          <w:u w:val="single"/>
          <w:lang w:val="en-GB"/>
        </w:rPr>
        <w:t>Having examined</w:t>
      </w:r>
      <w:r w:rsidRPr="003950DF">
        <w:rPr>
          <w:rFonts w:ascii="Arial" w:hAnsi="Arial" w:cs="Arial"/>
          <w:sz w:val="22"/>
          <w:szCs w:val="22"/>
          <w:lang w:val="en-GB"/>
        </w:rPr>
        <w:t xml:space="preserve"> Document ITH/18/13.COM/11.d as well as International Assistance request no. 01253 submitted by Albania,</w:t>
      </w:r>
    </w:p>
    <w:p w14:paraId="69567369" w14:textId="77777777" w:rsidR="003950DF" w:rsidRPr="003950DF" w:rsidRDefault="003950DF" w:rsidP="003950DF">
      <w:pPr>
        <w:numPr>
          <w:ilvl w:val="0"/>
          <w:numId w:val="13"/>
        </w:numPr>
        <w:tabs>
          <w:tab w:val="left" w:pos="1134"/>
          <w:tab w:val="left" w:pos="1701"/>
          <w:tab w:val="left" w:pos="2268"/>
        </w:tabs>
        <w:spacing w:before="120" w:after="120"/>
        <w:ind w:left="1134" w:hanging="567"/>
        <w:jc w:val="both"/>
        <w:rPr>
          <w:rFonts w:ascii="Arial" w:hAnsi="Arial" w:cs="Arial"/>
          <w:sz w:val="22"/>
          <w:szCs w:val="22"/>
          <w:lang w:val="en-GB"/>
        </w:rPr>
      </w:pPr>
      <w:r w:rsidRPr="003950DF">
        <w:rPr>
          <w:rFonts w:ascii="Arial" w:hAnsi="Arial" w:cs="Arial"/>
          <w:sz w:val="22"/>
          <w:szCs w:val="22"/>
          <w:u w:val="single"/>
          <w:lang w:val="en-GB"/>
        </w:rPr>
        <w:t>Takes note</w:t>
      </w:r>
      <w:r w:rsidRPr="003950DF">
        <w:rPr>
          <w:rFonts w:ascii="Arial" w:hAnsi="Arial" w:cs="Arial"/>
          <w:sz w:val="22"/>
          <w:szCs w:val="22"/>
          <w:lang w:val="en-GB"/>
        </w:rPr>
        <w:t xml:space="preserve"> that Albania has requested International Assistance for the project entitled </w:t>
      </w:r>
      <w:r w:rsidRPr="003950DF">
        <w:rPr>
          <w:rFonts w:ascii="Arial" w:hAnsi="Arial" w:cs="Arial"/>
          <w:b/>
          <w:sz w:val="22"/>
          <w:szCs w:val="22"/>
          <w:lang w:val="en-GB"/>
        </w:rPr>
        <w:t>Community based Inventory of ICH in Albania with a view to safeguarding and transmitting to future generations</w:t>
      </w:r>
      <w:r w:rsidRPr="003950DF">
        <w:rPr>
          <w:rFonts w:ascii="Arial" w:hAnsi="Arial" w:cs="Arial"/>
          <w:sz w:val="22"/>
          <w:szCs w:val="22"/>
          <w:lang w:val="en-GB"/>
        </w:rPr>
        <w:t>:</w:t>
      </w:r>
    </w:p>
    <w:p w14:paraId="34966168" w14:textId="77777777" w:rsidR="003950DF" w:rsidRPr="003950DF" w:rsidRDefault="003950DF" w:rsidP="003950DF">
      <w:pPr>
        <w:tabs>
          <w:tab w:val="left" w:pos="1134"/>
          <w:tab w:val="left" w:pos="1701"/>
          <w:tab w:val="left" w:pos="2268"/>
        </w:tabs>
        <w:spacing w:before="120" w:after="120"/>
        <w:ind w:left="1134"/>
        <w:jc w:val="both"/>
        <w:rPr>
          <w:rFonts w:ascii="Arial" w:hAnsi="Arial" w:cs="Arial"/>
          <w:sz w:val="22"/>
          <w:szCs w:val="22"/>
          <w:lang w:val="en-GB"/>
        </w:rPr>
      </w:pPr>
      <w:r w:rsidRPr="003950DF">
        <w:rPr>
          <w:rFonts w:ascii="Arial" w:hAnsi="Arial" w:cs="Arial"/>
          <w:sz w:val="22"/>
          <w:szCs w:val="22"/>
          <w:lang w:val="en-GB"/>
        </w:rPr>
        <w:t xml:space="preserve">To </w:t>
      </w:r>
      <w:proofErr w:type="gramStart"/>
      <w:r w:rsidRPr="003950DF">
        <w:rPr>
          <w:rFonts w:ascii="Arial" w:hAnsi="Arial" w:cs="Arial"/>
          <w:sz w:val="22"/>
          <w:szCs w:val="22"/>
          <w:lang w:val="en-GB"/>
        </w:rPr>
        <w:t>be implemented</w:t>
      </w:r>
      <w:proofErr w:type="gramEnd"/>
      <w:r w:rsidRPr="003950DF">
        <w:rPr>
          <w:rFonts w:ascii="Arial" w:hAnsi="Arial" w:cs="Arial"/>
          <w:sz w:val="22"/>
          <w:szCs w:val="22"/>
          <w:lang w:val="en-GB"/>
        </w:rPr>
        <w:t xml:space="preserve"> by the Ministry of Culture, the proposed 26-month project is aimed at carrying out a community-based inventory of intangible cultural heritage in Albania, with a view to drawing up tailored action plans for its safeguarding and transmission to future generations. Though considerable efforts have already been undertaken to safeguard living heritage in Albania, a thorough national inventory of intangible cultural heritage including communities is yet to </w:t>
      </w:r>
      <w:proofErr w:type="gramStart"/>
      <w:r w:rsidRPr="003950DF">
        <w:rPr>
          <w:rFonts w:ascii="Arial" w:hAnsi="Arial" w:cs="Arial"/>
          <w:sz w:val="22"/>
          <w:szCs w:val="22"/>
          <w:lang w:val="en-GB"/>
        </w:rPr>
        <w:t>be compiled</w:t>
      </w:r>
      <w:proofErr w:type="gramEnd"/>
      <w:r w:rsidRPr="003950DF">
        <w:rPr>
          <w:rFonts w:ascii="Arial" w:hAnsi="Arial" w:cs="Arial"/>
          <w:sz w:val="22"/>
          <w:szCs w:val="22"/>
          <w:lang w:val="en-GB"/>
        </w:rPr>
        <w:t xml:space="preserve">. To address this situation, the proposed project involves drawing up an inventorying methodology and initiating inventorying work in three selected districts of Albania. As a first step, a tailored methodology </w:t>
      </w:r>
      <w:proofErr w:type="gramStart"/>
      <w:r w:rsidRPr="003950DF">
        <w:rPr>
          <w:rFonts w:ascii="Arial" w:hAnsi="Arial" w:cs="Arial"/>
          <w:sz w:val="22"/>
          <w:szCs w:val="22"/>
          <w:lang w:val="en-GB"/>
        </w:rPr>
        <w:t>will be compiled</w:t>
      </w:r>
      <w:proofErr w:type="gramEnd"/>
      <w:r w:rsidRPr="003950DF">
        <w:rPr>
          <w:rFonts w:ascii="Arial" w:hAnsi="Arial" w:cs="Arial"/>
          <w:sz w:val="22"/>
          <w:szCs w:val="22"/>
          <w:lang w:val="en-GB"/>
        </w:rPr>
        <w:t xml:space="preserve"> through a scheme of training and workshops; secondly, living heritage elements in the selected regions will be inventoried, including those of five ethno-linguistic minorities. Specifically, the project aims </w:t>
      </w:r>
      <w:proofErr w:type="gramStart"/>
      <w:r w:rsidR="00F146AD">
        <w:rPr>
          <w:rFonts w:ascii="Arial" w:hAnsi="Arial" w:cs="Arial"/>
          <w:sz w:val="22"/>
          <w:szCs w:val="22"/>
          <w:lang w:val="en-GB"/>
        </w:rPr>
        <w:t>at</w:t>
      </w:r>
      <w:r w:rsidRPr="003950DF">
        <w:rPr>
          <w:rFonts w:ascii="Arial" w:hAnsi="Arial" w:cs="Arial"/>
          <w:sz w:val="22"/>
          <w:szCs w:val="22"/>
          <w:lang w:val="en-GB"/>
        </w:rPr>
        <w:t>:</w:t>
      </w:r>
      <w:proofErr w:type="gramEnd"/>
      <w:r w:rsidRPr="003950DF">
        <w:rPr>
          <w:rFonts w:ascii="Arial" w:hAnsi="Arial" w:cs="Arial"/>
          <w:sz w:val="22"/>
          <w:szCs w:val="22"/>
          <w:lang w:val="en-GB"/>
        </w:rPr>
        <w:t xml:space="preserve"> </w:t>
      </w:r>
      <w:r w:rsidR="00F146AD" w:rsidRPr="003950DF">
        <w:rPr>
          <w:rFonts w:ascii="Arial" w:hAnsi="Arial" w:cs="Arial"/>
          <w:sz w:val="22"/>
          <w:szCs w:val="22"/>
          <w:lang w:val="en-GB"/>
        </w:rPr>
        <w:t>creat</w:t>
      </w:r>
      <w:r w:rsidR="00F146AD">
        <w:rPr>
          <w:rFonts w:ascii="Arial" w:hAnsi="Arial" w:cs="Arial"/>
          <w:sz w:val="22"/>
          <w:szCs w:val="22"/>
          <w:lang w:val="en-GB"/>
        </w:rPr>
        <w:t>ing</w:t>
      </w:r>
      <w:r w:rsidR="00F146AD" w:rsidRPr="003950DF">
        <w:rPr>
          <w:rFonts w:ascii="Arial" w:hAnsi="Arial" w:cs="Arial"/>
          <w:sz w:val="22"/>
          <w:szCs w:val="22"/>
          <w:lang w:val="en-GB"/>
        </w:rPr>
        <w:t xml:space="preserve"> </w:t>
      </w:r>
      <w:r w:rsidRPr="003950DF">
        <w:rPr>
          <w:rFonts w:ascii="Arial" w:hAnsi="Arial" w:cs="Arial"/>
          <w:sz w:val="22"/>
          <w:szCs w:val="22"/>
          <w:lang w:val="en-GB"/>
        </w:rPr>
        <w:t xml:space="preserve">a mechanism to better involve communities in the safeguarding process; </w:t>
      </w:r>
      <w:r w:rsidR="00556460" w:rsidRPr="003950DF">
        <w:rPr>
          <w:rFonts w:ascii="Arial" w:hAnsi="Arial" w:cs="Arial"/>
          <w:sz w:val="22"/>
          <w:szCs w:val="22"/>
          <w:lang w:val="en-GB"/>
        </w:rPr>
        <w:t>improv</w:t>
      </w:r>
      <w:r w:rsidR="00556460">
        <w:rPr>
          <w:rFonts w:ascii="Arial" w:hAnsi="Arial" w:cs="Arial"/>
          <w:sz w:val="22"/>
          <w:szCs w:val="22"/>
          <w:lang w:val="en-GB"/>
        </w:rPr>
        <w:t>ing</w:t>
      </w:r>
      <w:r w:rsidR="00556460" w:rsidRPr="003950DF">
        <w:rPr>
          <w:rFonts w:ascii="Arial" w:hAnsi="Arial" w:cs="Arial"/>
          <w:sz w:val="22"/>
          <w:szCs w:val="22"/>
          <w:lang w:val="en-GB"/>
        </w:rPr>
        <w:t xml:space="preserve"> </w:t>
      </w:r>
      <w:r w:rsidRPr="003950DF">
        <w:rPr>
          <w:rFonts w:ascii="Arial" w:hAnsi="Arial" w:cs="Arial"/>
          <w:sz w:val="22"/>
          <w:szCs w:val="22"/>
          <w:lang w:val="en-GB"/>
        </w:rPr>
        <w:t>and expand</w:t>
      </w:r>
      <w:r w:rsidR="00556460">
        <w:rPr>
          <w:rFonts w:ascii="Arial" w:hAnsi="Arial" w:cs="Arial"/>
          <w:sz w:val="22"/>
          <w:szCs w:val="22"/>
          <w:lang w:val="en-GB"/>
        </w:rPr>
        <w:t>ing</w:t>
      </w:r>
      <w:r w:rsidRPr="003950DF">
        <w:rPr>
          <w:rFonts w:ascii="Arial" w:hAnsi="Arial" w:cs="Arial"/>
          <w:sz w:val="22"/>
          <w:szCs w:val="22"/>
          <w:lang w:val="en-GB"/>
        </w:rPr>
        <w:t xml:space="preserve"> upon the limited national inventory in the selected regions; and strengthen</w:t>
      </w:r>
      <w:r w:rsidR="00556460">
        <w:rPr>
          <w:rFonts w:ascii="Arial" w:hAnsi="Arial" w:cs="Arial"/>
          <w:sz w:val="22"/>
          <w:szCs w:val="22"/>
          <w:lang w:val="en-GB"/>
        </w:rPr>
        <w:t>ing</w:t>
      </w:r>
      <w:r w:rsidRPr="003950DF">
        <w:rPr>
          <w:rFonts w:ascii="Arial" w:hAnsi="Arial" w:cs="Arial"/>
          <w:sz w:val="22"/>
          <w:szCs w:val="22"/>
          <w:lang w:val="en-GB"/>
        </w:rPr>
        <w:t xml:space="preserve"> the transmission of living heritage-related knowledge and skills in the three regions. The communities and bearers will be the focus of the project, which distinguishes it from previous inventory-making activities undertaken in the country, and the project </w:t>
      </w:r>
      <w:proofErr w:type="gramStart"/>
      <w:r w:rsidRPr="003950DF">
        <w:rPr>
          <w:rFonts w:ascii="Arial" w:hAnsi="Arial" w:cs="Arial"/>
          <w:sz w:val="22"/>
          <w:szCs w:val="22"/>
          <w:lang w:val="en-GB"/>
        </w:rPr>
        <w:t>is expected</w:t>
      </w:r>
      <w:proofErr w:type="gramEnd"/>
      <w:r w:rsidRPr="003950DF">
        <w:rPr>
          <w:rFonts w:ascii="Arial" w:hAnsi="Arial" w:cs="Arial"/>
          <w:sz w:val="22"/>
          <w:szCs w:val="22"/>
          <w:lang w:val="en-GB"/>
        </w:rPr>
        <w:t xml:space="preserve"> to lead to the compilation of a complete national inventory by the end of 2022.</w:t>
      </w:r>
    </w:p>
    <w:p w14:paraId="08239998" w14:textId="77777777" w:rsidR="003950DF" w:rsidRPr="003950DF" w:rsidRDefault="003950DF" w:rsidP="003950DF">
      <w:pPr>
        <w:numPr>
          <w:ilvl w:val="0"/>
          <w:numId w:val="13"/>
        </w:numPr>
        <w:autoSpaceDE w:val="0"/>
        <w:autoSpaceDN w:val="0"/>
        <w:adjustRightInd w:val="0"/>
        <w:spacing w:before="120" w:after="120"/>
        <w:ind w:left="1134" w:hanging="567"/>
        <w:jc w:val="both"/>
        <w:rPr>
          <w:rFonts w:ascii="Arial" w:eastAsia="SimSun" w:hAnsi="Arial" w:cs="Arial"/>
          <w:sz w:val="22"/>
          <w:szCs w:val="22"/>
          <w:lang w:val="en-GB"/>
        </w:rPr>
      </w:pPr>
      <w:r w:rsidRPr="003950DF">
        <w:rPr>
          <w:rFonts w:ascii="Arial" w:eastAsia="SimSun" w:hAnsi="Arial" w:cs="Arial"/>
          <w:sz w:val="22"/>
          <w:szCs w:val="22"/>
          <w:u w:val="single"/>
          <w:lang w:val="en-GB"/>
        </w:rPr>
        <w:t>Further takes note</w:t>
      </w:r>
      <w:r w:rsidRPr="003950DF">
        <w:rPr>
          <w:rFonts w:ascii="Arial" w:eastAsia="SimSun" w:hAnsi="Arial" w:cs="Arial"/>
          <w:sz w:val="22"/>
          <w:szCs w:val="22"/>
          <w:lang w:val="en-GB"/>
        </w:rPr>
        <w:t xml:space="preserve"> that this assistance is to support a project implemented at the national level, in accordance with Article 20 (c) of the Convention, and that it takes the form of the </w:t>
      </w:r>
      <w:r w:rsidRPr="003950DF">
        <w:rPr>
          <w:rFonts w:ascii="Arial" w:eastAsia="SimSun" w:hAnsi="Arial" w:cs="Arial"/>
          <w:b/>
          <w:sz w:val="22"/>
          <w:szCs w:val="22"/>
          <w:lang w:val="en-GB"/>
        </w:rPr>
        <w:t>provision of a grant</w:t>
      </w:r>
      <w:r w:rsidRPr="003950DF">
        <w:rPr>
          <w:rFonts w:ascii="Arial" w:eastAsia="SimSun" w:hAnsi="Arial" w:cs="Arial"/>
          <w:sz w:val="22"/>
          <w:szCs w:val="22"/>
          <w:lang w:val="en-GB"/>
        </w:rPr>
        <w:t>, pursuant to Article 21 (g) of the Convention;</w:t>
      </w:r>
    </w:p>
    <w:p w14:paraId="58C80248" w14:textId="77777777" w:rsidR="003950DF" w:rsidRPr="003950DF" w:rsidRDefault="003950DF" w:rsidP="003950DF">
      <w:pPr>
        <w:numPr>
          <w:ilvl w:val="0"/>
          <w:numId w:val="13"/>
        </w:numPr>
        <w:autoSpaceDE w:val="0"/>
        <w:autoSpaceDN w:val="0"/>
        <w:adjustRightInd w:val="0"/>
        <w:spacing w:before="120" w:after="120"/>
        <w:ind w:left="1134" w:hanging="567"/>
        <w:jc w:val="both"/>
        <w:rPr>
          <w:rFonts w:ascii="Arial" w:hAnsi="Arial" w:cs="Arial"/>
          <w:color w:val="000000"/>
          <w:sz w:val="22"/>
          <w:szCs w:val="22"/>
          <w:lang w:val="en-GB"/>
        </w:rPr>
      </w:pPr>
      <w:r w:rsidRPr="003950DF">
        <w:rPr>
          <w:rFonts w:ascii="Arial" w:hAnsi="Arial" w:cs="Arial"/>
          <w:sz w:val="22"/>
          <w:szCs w:val="22"/>
          <w:u w:val="single"/>
          <w:lang w:val="en-GB"/>
        </w:rPr>
        <w:t>Also takes note</w:t>
      </w:r>
      <w:r w:rsidRPr="003950DF">
        <w:rPr>
          <w:rFonts w:ascii="Arial" w:hAnsi="Arial" w:cs="Arial"/>
          <w:sz w:val="22"/>
          <w:szCs w:val="22"/>
          <w:lang w:val="en-GB"/>
        </w:rPr>
        <w:t xml:space="preserve"> that Albania has requested assistance in the amount of US$213,260 </w:t>
      </w:r>
      <w:r w:rsidRPr="003950DF">
        <w:rPr>
          <w:rFonts w:ascii="Arial" w:hAnsi="Arial" w:cs="Arial"/>
          <w:color w:val="000000"/>
          <w:sz w:val="22"/>
          <w:szCs w:val="22"/>
          <w:lang w:val="en-GB"/>
        </w:rPr>
        <w:t>from the Intangible Cultural Heritage Fund for the implementation of this project;</w:t>
      </w:r>
    </w:p>
    <w:p w14:paraId="0C0C687D" w14:textId="0420C996" w:rsidR="003950DF" w:rsidRPr="00AC0AD2" w:rsidRDefault="003950DF" w:rsidP="003950DF">
      <w:pPr>
        <w:keepNext/>
        <w:numPr>
          <w:ilvl w:val="0"/>
          <w:numId w:val="13"/>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3950DF">
        <w:rPr>
          <w:rFonts w:ascii="Arial" w:hAnsi="Arial" w:cs="Arial"/>
          <w:sz w:val="22"/>
          <w:szCs w:val="22"/>
          <w:u w:val="single"/>
          <w:lang w:val="en-GB"/>
        </w:rPr>
        <w:lastRenderedPageBreak/>
        <w:t>Decides</w:t>
      </w:r>
      <w:r w:rsidRPr="003950DF">
        <w:rPr>
          <w:rFonts w:ascii="Arial" w:hAnsi="Arial" w:cs="Arial"/>
          <w:sz w:val="22"/>
          <w:szCs w:val="22"/>
          <w:lang w:val="en-GB"/>
        </w:rPr>
        <w:t xml:space="preserve"> that, from the information provided in the file, the request responds as follows to the criteria for granting International Assistance given in paragraphs 10 and 12 of the Operational </w:t>
      </w:r>
      <w:r w:rsidRPr="00AC0AD2">
        <w:rPr>
          <w:rFonts w:ascii="Arial" w:hAnsi="Arial" w:cs="Arial"/>
          <w:sz w:val="22"/>
          <w:szCs w:val="22"/>
          <w:lang w:val="en-GB"/>
        </w:rPr>
        <w:t>Directives</w:t>
      </w:r>
      <w:r w:rsidR="005D2F74" w:rsidRPr="00AC0AD2">
        <w:rPr>
          <w:rFonts w:ascii="Arial" w:hAnsi="Arial" w:cs="Arial"/>
          <w:sz w:val="22"/>
          <w:szCs w:val="22"/>
          <w:lang w:val="en-GB"/>
        </w:rPr>
        <w:t>:</w:t>
      </w:r>
    </w:p>
    <w:p w14:paraId="53113F34" w14:textId="0A85E543" w:rsidR="003950DF" w:rsidRPr="003950DF" w:rsidRDefault="003950DF" w:rsidP="00F16BBB">
      <w:pPr>
        <w:tabs>
          <w:tab w:val="left" w:pos="567"/>
          <w:tab w:val="left" w:pos="1701"/>
          <w:tab w:val="left" w:pos="2268"/>
        </w:tabs>
        <w:spacing w:before="120" w:after="120"/>
        <w:ind w:left="1134"/>
        <w:jc w:val="both"/>
        <w:rPr>
          <w:rFonts w:ascii="Arial" w:hAnsi="Arial" w:cs="Arial"/>
          <w:sz w:val="22"/>
          <w:szCs w:val="22"/>
          <w:lang w:val="en-GB"/>
        </w:rPr>
      </w:pPr>
      <w:r w:rsidRPr="003950DF">
        <w:rPr>
          <w:rFonts w:ascii="Arial" w:hAnsi="Arial" w:cs="Arial"/>
          <w:b/>
          <w:sz w:val="22"/>
          <w:szCs w:val="22"/>
          <w:lang w:val="en-GB"/>
        </w:rPr>
        <w:t>Criterion A.1</w:t>
      </w:r>
      <w:r w:rsidRPr="003950DF">
        <w:rPr>
          <w:rFonts w:ascii="Arial" w:hAnsi="Arial" w:cs="Arial"/>
          <w:sz w:val="22"/>
          <w:szCs w:val="22"/>
          <w:lang w:val="en-GB"/>
        </w:rPr>
        <w:t xml:space="preserve">: The project places the communities concerned at the centre of the inventorying process: they will not be directly involved in its management, but their knowledge of the local circumstances and intangible cultural heritage in question </w:t>
      </w:r>
      <w:proofErr w:type="gramStart"/>
      <w:r w:rsidRPr="003950DF">
        <w:rPr>
          <w:rFonts w:ascii="Arial" w:hAnsi="Arial" w:cs="Arial"/>
          <w:sz w:val="22"/>
          <w:szCs w:val="22"/>
          <w:lang w:val="en-GB"/>
        </w:rPr>
        <w:t>will be fully utilized</w:t>
      </w:r>
      <w:proofErr w:type="gramEnd"/>
      <w:r w:rsidRPr="003950DF">
        <w:rPr>
          <w:rFonts w:ascii="Arial" w:hAnsi="Arial" w:cs="Arial"/>
          <w:sz w:val="22"/>
          <w:szCs w:val="22"/>
          <w:lang w:val="en-GB"/>
        </w:rPr>
        <w:t xml:space="preserve">. The communities will also play an important role in monitoring and validating the results of the inventorying process. Their views, experience and preferences </w:t>
      </w:r>
      <w:proofErr w:type="gramStart"/>
      <w:r w:rsidRPr="003950DF">
        <w:rPr>
          <w:rFonts w:ascii="Arial" w:hAnsi="Arial" w:cs="Arial"/>
          <w:sz w:val="22"/>
          <w:szCs w:val="22"/>
          <w:lang w:val="en-GB"/>
        </w:rPr>
        <w:t>will be taken</w:t>
      </w:r>
      <w:proofErr w:type="gramEnd"/>
      <w:r w:rsidRPr="003950DF">
        <w:rPr>
          <w:rFonts w:ascii="Arial" w:hAnsi="Arial" w:cs="Arial"/>
          <w:sz w:val="22"/>
          <w:szCs w:val="22"/>
          <w:lang w:val="en-GB"/>
        </w:rPr>
        <w:t xml:space="preserve"> into account, as will their reflections on the meaning and significance of the intangible cultural heritage inventoried.</w:t>
      </w:r>
    </w:p>
    <w:p w14:paraId="57B285C8" w14:textId="77777777" w:rsidR="003950DF" w:rsidRPr="003950DF" w:rsidRDefault="003950DF" w:rsidP="003950DF">
      <w:pPr>
        <w:tabs>
          <w:tab w:val="left" w:pos="567"/>
          <w:tab w:val="left" w:pos="1701"/>
          <w:tab w:val="left" w:pos="2268"/>
        </w:tabs>
        <w:spacing w:before="120" w:after="120"/>
        <w:ind w:left="1134"/>
        <w:jc w:val="both"/>
        <w:rPr>
          <w:rFonts w:ascii="Arial" w:hAnsi="Arial" w:cs="Arial"/>
          <w:sz w:val="22"/>
          <w:szCs w:val="22"/>
          <w:lang w:val="en-GB"/>
        </w:rPr>
      </w:pPr>
      <w:r w:rsidRPr="003950DF">
        <w:rPr>
          <w:rFonts w:ascii="Arial" w:hAnsi="Arial" w:cs="Arial"/>
          <w:b/>
          <w:sz w:val="22"/>
          <w:szCs w:val="22"/>
          <w:lang w:val="en-GB"/>
        </w:rPr>
        <w:t>Criterion A.2</w:t>
      </w:r>
      <w:r w:rsidRPr="003950DF">
        <w:rPr>
          <w:rFonts w:ascii="Arial" w:hAnsi="Arial" w:cs="Arial"/>
          <w:sz w:val="22"/>
          <w:szCs w:val="22"/>
          <w:lang w:val="en-GB"/>
        </w:rPr>
        <w:t xml:space="preserve">: The budget breakdown and timetable are </w:t>
      </w:r>
      <w:proofErr w:type="gramStart"/>
      <w:r w:rsidRPr="003950DF">
        <w:rPr>
          <w:rFonts w:ascii="Arial" w:hAnsi="Arial" w:cs="Arial"/>
          <w:sz w:val="22"/>
          <w:szCs w:val="22"/>
          <w:lang w:val="en-GB"/>
        </w:rPr>
        <w:t>well-structured</w:t>
      </w:r>
      <w:proofErr w:type="gramEnd"/>
      <w:r w:rsidRPr="003950DF">
        <w:rPr>
          <w:rFonts w:ascii="Arial" w:hAnsi="Arial" w:cs="Arial"/>
          <w:sz w:val="22"/>
          <w:szCs w:val="22"/>
          <w:lang w:val="en-GB"/>
        </w:rPr>
        <w:t xml:space="preserve">. However, the lack of coherency between the request, the budget and the timetable does not allow the assessment of the appropriateness of the requested amount. More specifically: the numberings of the budget and timetable do not fully correspond with each other or with the list of activities set out in the request form; the total budget of the project is not consistent throughout all documents and several items included in the request are not reflected in the budget, especially concerning technical equipment. This may suggest that these items </w:t>
      </w:r>
      <w:proofErr w:type="gramStart"/>
      <w:r w:rsidRPr="003950DF">
        <w:rPr>
          <w:rFonts w:ascii="Arial" w:hAnsi="Arial" w:cs="Arial"/>
          <w:sz w:val="22"/>
          <w:szCs w:val="22"/>
          <w:lang w:val="en-GB"/>
        </w:rPr>
        <w:t>will be covered</w:t>
      </w:r>
      <w:proofErr w:type="gramEnd"/>
      <w:r w:rsidRPr="003950DF">
        <w:rPr>
          <w:rFonts w:ascii="Arial" w:hAnsi="Arial" w:cs="Arial"/>
          <w:sz w:val="22"/>
          <w:szCs w:val="22"/>
          <w:lang w:val="en-GB"/>
        </w:rPr>
        <w:t xml:space="preserve"> by other sources, in which case the additional source of funding should have been duly stated in the budget breakdown. The timetable is feasible, although minor discrepancies appear there as well (for instance, the digitalization of data is budgeted for twelve months but </w:t>
      </w:r>
      <w:proofErr w:type="gramStart"/>
      <w:r w:rsidRPr="003950DF">
        <w:rPr>
          <w:rFonts w:ascii="Arial" w:hAnsi="Arial" w:cs="Arial"/>
          <w:sz w:val="22"/>
          <w:szCs w:val="22"/>
          <w:lang w:val="en-GB"/>
        </w:rPr>
        <w:t>is scheduled</w:t>
      </w:r>
      <w:proofErr w:type="gramEnd"/>
      <w:r w:rsidRPr="003950DF">
        <w:rPr>
          <w:rFonts w:ascii="Arial" w:hAnsi="Arial" w:cs="Arial"/>
          <w:sz w:val="22"/>
          <w:szCs w:val="22"/>
          <w:lang w:val="en-GB"/>
        </w:rPr>
        <w:t xml:space="preserve"> to last fifteen months according to the timetable).</w:t>
      </w:r>
    </w:p>
    <w:p w14:paraId="76C325F7" w14:textId="77777777" w:rsidR="003950DF" w:rsidRPr="003950DF" w:rsidRDefault="003950DF" w:rsidP="003950DF">
      <w:pPr>
        <w:tabs>
          <w:tab w:val="left" w:pos="567"/>
          <w:tab w:val="left" w:pos="709"/>
          <w:tab w:val="left" w:pos="1701"/>
          <w:tab w:val="left" w:pos="2268"/>
        </w:tabs>
        <w:spacing w:before="120" w:after="120"/>
        <w:ind w:left="1134"/>
        <w:jc w:val="both"/>
        <w:rPr>
          <w:rFonts w:ascii="Arial" w:hAnsi="Arial" w:cs="Arial"/>
          <w:sz w:val="22"/>
          <w:szCs w:val="22"/>
          <w:lang w:val="en-GB"/>
        </w:rPr>
      </w:pPr>
      <w:r w:rsidRPr="003950DF">
        <w:rPr>
          <w:rFonts w:ascii="Arial" w:hAnsi="Arial" w:cs="Arial"/>
          <w:b/>
          <w:sz w:val="22"/>
          <w:szCs w:val="22"/>
          <w:lang w:val="en-GB"/>
        </w:rPr>
        <w:t>Criterion A.3</w:t>
      </w:r>
      <w:r w:rsidRPr="003950DF">
        <w:rPr>
          <w:rFonts w:ascii="Arial" w:hAnsi="Arial" w:cs="Arial"/>
          <w:sz w:val="22"/>
          <w:szCs w:val="22"/>
          <w:lang w:val="en-GB"/>
        </w:rPr>
        <w:t>: The project involves a suitable set of activities based on thorough methodological groundwork, which guarantees its feasibility. Its strength lies in training a large number of community members and experts in community-based inventorying and in the wide dissemination of the principles and working methods of the 2003 Convention. By establishing sustainable, viable communication channels and partnerships among public and private actors, the project will help achieve intercultural dialogue and strengthen social cohesion.</w:t>
      </w:r>
    </w:p>
    <w:p w14:paraId="37946C8B" w14:textId="77777777" w:rsidR="003950DF" w:rsidRPr="003950DF" w:rsidRDefault="003950DF" w:rsidP="003950DF">
      <w:pPr>
        <w:tabs>
          <w:tab w:val="left" w:pos="567"/>
          <w:tab w:val="left" w:pos="709"/>
          <w:tab w:val="left" w:pos="1701"/>
          <w:tab w:val="left" w:pos="2268"/>
        </w:tabs>
        <w:spacing w:before="120" w:after="120"/>
        <w:ind w:left="1134"/>
        <w:jc w:val="both"/>
        <w:rPr>
          <w:rFonts w:ascii="Arial" w:hAnsi="Arial" w:cs="Arial"/>
          <w:sz w:val="22"/>
          <w:szCs w:val="22"/>
          <w:lang w:val="en-GB"/>
        </w:rPr>
      </w:pPr>
      <w:r w:rsidRPr="003950DF">
        <w:rPr>
          <w:rFonts w:ascii="Arial" w:hAnsi="Arial" w:cs="Arial"/>
          <w:b/>
          <w:sz w:val="22"/>
          <w:szCs w:val="22"/>
          <w:lang w:val="en-GB"/>
        </w:rPr>
        <w:t>Criterion A.4</w:t>
      </w:r>
      <w:r w:rsidRPr="003950DF">
        <w:rPr>
          <w:rFonts w:ascii="Arial" w:hAnsi="Arial" w:cs="Arial"/>
          <w:sz w:val="22"/>
          <w:szCs w:val="22"/>
          <w:lang w:val="en-GB"/>
        </w:rPr>
        <w:t xml:space="preserve">: The active involvement of the state administration, research institutes and regional NGOs may guarantee further development of the inventory after the conclusion of the project. The project will create a mechanism to stimulate the transmission of knowledge between generations. Community members </w:t>
      </w:r>
      <w:proofErr w:type="gramStart"/>
      <w:r w:rsidRPr="003950DF">
        <w:rPr>
          <w:rFonts w:ascii="Arial" w:hAnsi="Arial" w:cs="Arial"/>
          <w:sz w:val="22"/>
          <w:szCs w:val="22"/>
          <w:lang w:val="en-GB"/>
        </w:rPr>
        <w:t>will be trained</w:t>
      </w:r>
      <w:proofErr w:type="gramEnd"/>
      <w:r w:rsidRPr="003950DF">
        <w:rPr>
          <w:rFonts w:ascii="Arial" w:hAnsi="Arial" w:cs="Arial"/>
          <w:sz w:val="22"/>
          <w:szCs w:val="22"/>
          <w:lang w:val="en-GB"/>
        </w:rPr>
        <w:t xml:space="preserve"> and the newly built capacity to safeguard local intangible cultural heritage will continue to be utilized in the future.</w:t>
      </w:r>
    </w:p>
    <w:p w14:paraId="5414D50E" w14:textId="7E8EF648" w:rsidR="003950DF" w:rsidRPr="003950DF" w:rsidRDefault="003950DF" w:rsidP="003950DF">
      <w:pPr>
        <w:tabs>
          <w:tab w:val="left" w:pos="567"/>
          <w:tab w:val="left" w:pos="1701"/>
          <w:tab w:val="left" w:pos="2268"/>
        </w:tabs>
        <w:spacing w:before="120" w:after="120"/>
        <w:ind w:left="1134"/>
        <w:jc w:val="both"/>
        <w:rPr>
          <w:rFonts w:ascii="Arial" w:hAnsi="Arial" w:cs="Arial"/>
          <w:sz w:val="22"/>
          <w:szCs w:val="22"/>
          <w:lang w:val="en-GB"/>
        </w:rPr>
      </w:pPr>
      <w:r w:rsidRPr="003950DF">
        <w:rPr>
          <w:rFonts w:ascii="Arial" w:hAnsi="Arial" w:cs="Arial"/>
          <w:b/>
          <w:sz w:val="22"/>
          <w:szCs w:val="22"/>
          <w:lang w:val="en-GB"/>
        </w:rPr>
        <w:t>Criterion A.5</w:t>
      </w:r>
      <w:r w:rsidRPr="003950DF">
        <w:rPr>
          <w:rFonts w:ascii="Arial" w:hAnsi="Arial" w:cs="Arial"/>
          <w:sz w:val="22"/>
          <w:szCs w:val="22"/>
          <w:lang w:val="en-GB"/>
        </w:rPr>
        <w:t>: The State Party covers less tha</w:t>
      </w:r>
      <w:r w:rsidR="00F16BBB">
        <w:rPr>
          <w:rFonts w:ascii="Arial" w:hAnsi="Arial" w:cs="Arial"/>
          <w:sz w:val="22"/>
          <w:szCs w:val="22"/>
          <w:lang w:val="en-GB"/>
        </w:rPr>
        <w:t>n 1 per cent</w:t>
      </w:r>
      <w:r w:rsidRPr="003950DF">
        <w:rPr>
          <w:rFonts w:ascii="Arial" w:hAnsi="Arial" w:cs="Arial"/>
          <w:sz w:val="22"/>
          <w:szCs w:val="22"/>
          <w:lang w:val="en-GB"/>
        </w:rPr>
        <w:t xml:space="preserve"> of the total cost of the project. Its participation is rather modest, which raises concerns about the sustainability of the project once the International Assistance has ended. </w:t>
      </w:r>
      <w:r w:rsidR="00D54299" w:rsidRPr="00D54299">
        <w:rPr>
          <w:rFonts w:ascii="Arial" w:hAnsi="Arial" w:cs="Arial"/>
          <w:sz w:val="22"/>
          <w:szCs w:val="22"/>
          <w:lang w:val="en-GB"/>
        </w:rPr>
        <w:t xml:space="preserve">However, the budget breakdown indicates that the State is in fact intending to provide other resources such as </w:t>
      </w:r>
      <w:r w:rsidR="00890A44">
        <w:rPr>
          <w:rFonts w:ascii="Arial" w:hAnsi="Arial" w:cs="Arial"/>
          <w:sz w:val="22"/>
          <w:szCs w:val="22"/>
          <w:lang w:val="en-GB"/>
        </w:rPr>
        <w:t xml:space="preserve">of an </w:t>
      </w:r>
      <w:r w:rsidR="00D54299" w:rsidRPr="00D54299">
        <w:rPr>
          <w:rFonts w:ascii="Arial" w:hAnsi="Arial" w:cs="Arial"/>
          <w:sz w:val="22"/>
          <w:szCs w:val="22"/>
          <w:lang w:val="en-GB"/>
        </w:rPr>
        <w:t>in-kind</w:t>
      </w:r>
      <w:r w:rsidR="00890A44">
        <w:rPr>
          <w:rFonts w:ascii="Arial" w:hAnsi="Arial" w:cs="Arial"/>
          <w:sz w:val="22"/>
          <w:szCs w:val="22"/>
          <w:lang w:val="en-GB"/>
        </w:rPr>
        <w:t xml:space="preserve"> nature</w:t>
      </w:r>
      <w:r w:rsidR="00D54299" w:rsidRPr="00D54299">
        <w:rPr>
          <w:rFonts w:ascii="Arial" w:hAnsi="Arial" w:cs="Arial"/>
          <w:sz w:val="22"/>
          <w:szCs w:val="22"/>
          <w:lang w:val="en-GB"/>
        </w:rPr>
        <w:t>, although they are not budgeted.</w:t>
      </w:r>
      <w:r w:rsidRPr="003950DF">
        <w:rPr>
          <w:rFonts w:ascii="Arial" w:hAnsi="Arial" w:cs="Arial"/>
          <w:sz w:val="22"/>
          <w:szCs w:val="22"/>
          <w:lang w:val="en-GB"/>
        </w:rPr>
        <w:t xml:space="preserve"> The State Party </w:t>
      </w:r>
      <w:proofErr w:type="gramStart"/>
      <w:r w:rsidRPr="003950DF">
        <w:rPr>
          <w:rFonts w:ascii="Arial" w:hAnsi="Arial" w:cs="Arial"/>
          <w:sz w:val="22"/>
          <w:szCs w:val="22"/>
          <w:lang w:val="en-GB"/>
        </w:rPr>
        <w:t>is invited</w:t>
      </w:r>
      <w:proofErr w:type="gramEnd"/>
      <w:r w:rsidRPr="003950DF">
        <w:rPr>
          <w:rFonts w:ascii="Arial" w:hAnsi="Arial" w:cs="Arial"/>
          <w:sz w:val="22"/>
          <w:szCs w:val="22"/>
          <w:lang w:val="en-GB"/>
        </w:rPr>
        <w:t xml:space="preserve"> to indicate its entire contributio</w:t>
      </w:r>
      <w:r w:rsidR="00583E15">
        <w:rPr>
          <w:rFonts w:ascii="Arial" w:hAnsi="Arial" w:cs="Arial"/>
          <w:sz w:val="22"/>
          <w:szCs w:val="22"/>
          <w:lang w:val="en-GB"/>
        </w:rPr>
        <w:t>n, including its in-kind input.</w:t>
      </w:r>
    </w:p>
    <w:p w14:paraId="3E3E5BA5" w14:textId="06614020" w:rsidR="003950DF" w:rsidRPr="003950DF" w:rsidRDefault="003950DF" w:rsidP="003950DF">
      <w:pPr>
        <w:tabs>
          <w:tab w:val="left" w:pos="567"/>
          <w:tab w:val="left" w:pos="709"/>
          <w:tab w:val="left" w:pos="1701"/>
          <w:tab w:val="left" w:pos="2268"/>
        </w:tabs>
        <w:spacing w:before="120" w:after="120"/>
        <w:ind w:left="1134"/>
        <w:jc w:val="both"/>
        <w:rPr>
          <w:rFonts w:ascii="Arial" w:hAnsi="Arial" w:cs="Arial"/>
          <w:sz w:val="22"/>
          <w:szCs w:val="22"/>
          <w:lang w:val="en-GB"/>
        </w:rPr>
      </w:pPr>
      <w:r w:rsidRPr="003950DF">
        <w:rPr>
          <w:rFonts w:ascii="Arial" w:hAnsi="Arial" w:cs="Arial"/>
          <w:b/>
          <w:sz w:val="22"/>
          <w:szCs w:val="22"/>
          <w:lang w:val="en-GB"/>
        </w:rPr>
        <w:t>Criterion A.6</w:t>
      </w:r>
      <w:r w:rsidRPr="003950DF">
        <w:rPr>
          <w:rFonts w:ascii="Arial" w:hAnsi="Arial" w:cs="Arial"/>
          <w:sz w:val="22"/>
          <w:szCs w:val="22"/>
          <w:lang w:val="en-GB"/>
        </w:rPr>
        <w:t xml:space="preserve">: The file demonstrates that the project will help build capacities, strengthen existing human and material resources and enable professionals to acquire knowledge and skills concerning the implementation of the 2003 Convention. It </w:t>
      </w:r>
      <w:proofErr w:type="gramStart"/>
      <w:r w:rsidRPr="003950DF">
        <w:rPr>
          <w:rFonts w:ascii="Arial" w:hAnsi="Arial" w:cs="Arial"/>
          <w:sz w:val="22"/>
          <w:szCs w:val="22"/>
          <w:lang w:val="en-GB"/>
        </w:rPr>
        <w:t>is anticipated</w:t>
      </w:r>
      <w:proofErr w:type="gramEnd"/>
      <w:r w:rsidRPr="003950DF">
        <w:rPr>
          <w:rFonts w:ascii="Arial" w:hAnsi="Arial" w:cs="Arial"/>
          <w:sz w:val="22"/>
          <w:szCs w:val="22"/>
          <w:lang w:val="en-GB"/>
        </w:rPr>
        <w:t xml:space="preserve"> that one hundred community representatives, students and professionals will benefit from the training. They will be able to transmit their newly obtained </w:t>
      </w:r>
      <w:proofErr w:type="gramStart"/>
      <w:r w:rsidRPr="003950DF">
        <w:rPr>
          <w:rFonts w:ascii="Arial" w:hAnsi="Arial" w:cs="Arial"/>
          <w:sz w:val="22"/>
          <w:szCs w:val="22"/>
          <w:lang w:val="en-GB"/>
        </w:rPr>
        <w:t>know-how</w:t>
      </w:r>
      <w:proofErr w:type="gramEnd"/>
      <w:r w:rsidRPr="003950DF">
        <w:rPr>
          <w:rFonts w:ascii="Arial" w:hAnsi="Arial" w:cs="Arial"/>
          <w:sz w:val="22"/>
          <w:szCs w:val="22"/>
          <w:lang w:val="en-GB"/>
        </w:rPr>
        <w:t xml:space="preserve"> to other community members, thereby enhancing the significance of intangible cultural heritage in relation to local identity and community life. </w:t>
      </w:r>
    </w:p>
    <w:p w14:paraId="794E8F72" w14:textId="77777777" w:rsidR="003950DF" w:rsidRPr="003950DF" w:rsidRDefault="003950DF" w:rsidP="003950DF">
      <w:pPr>
        <w:tabs>
          <w:tab w:val="left" w:pos="567"/>
          <w:tab w:val="left" w:pos="1134"/>
          <w:tab w:val="left" w:pos="1701"/>
          <w:tab w:val="left" w:pos="2268"/>
        </w:tabs>
        <w:spacing w:before="120" w:after="120"/>
        <w:ind w:left="1134"/>
        <w:jc w:val="both"/>
        <w:rPr>
          <w:rFonts w:ascii="Arial" w:hAnsi="Arial" w:cs="Arial"/>
          <w:sz w:val="22"/>
          <w:szCs w:val="22"/>
          <w:lang w:val="en-GB"/>
        </w:rPr>
      </w:pPr>
      <w:r w:rsidRPr="003950DF">
        <w:rPr>
          <w:rFonts w:ascii="Arial" w:hAnsi="Arial" w:cs="Arial"/>
          <w:b/>
          <w:sz w:val="22"/>
          <w:szCs w:val="22"/>
          <w:lang w:val="en-GB"/>
        </w:rPr>
        <w:t>Criterion A.7</w:t>
      </w:r>
      <w:r w:rsidRPr="003950DF">
        <w:rPr>
          <w:rFonts w:ascii="Arial" w:hAnsi="Arial" w:cs="Arial"/>
          <w:sz w:val="22"/>
          <w:szCs w:val="22"/>
          <w:lang w:val="en-GB"/>
        </w:rPr>
        <w:t xml:space="preserve">: Albania received US$24,500 from the Intangible Cultural Heritage Fund as a contribution to the project ‘Inventory of Albanian folk </w:t>
      </w:r>
      <w:proofErr w:type="spellStart"/>
      <w:r w:rsidRPr="003950DF">
        <w:rPr>
          <w:rFonts w:ascii="Arial" w:hAnsi="Arial" w:cs="Arial"/>
          <w:sz w:val="22"/>
          <w:szCs w:val="22"/>
          <w:lang w:val="en-GB"/>
        </w:rPr>
        <w:t>iso</w:t>
      </w:r>
      <w:proofErr w:type="spellEnd"/>
      <w:r w:rsidRPr="003950DF">
        <w:rPr>
          <w:rFonts w:ascii="Arial" w:hAnsi="Arial" w:cs="Arial"/>
          <w:sz w:val="22"/>
          <w:szCs w:val="22"/>
          <w:lang w:val="en-GB"/>
        </w:rPr>
        <w:t xml:space="preserve">-polyphony’ (2011-2013). It also received US$9,800 in preparatory assistance for the preparation of a proposal for the Register of Good Safeguarding Practices – ‘National Folk Festival of </w:t>
      </w:r>
      <w:proofErr w:type="spellStart"/>
      <w:r w:rsidRPr="003950DF">
        <w:rPr>
          <w:rFonts w:ascii="Arial" w:hAnsi="Arial" w:cs="Arial"/>
          <w:sz w:val="22"/>
          <w:szCs w:val="22"/>
          <w:lang w:val="en-GB"/>
        </w:rPr>
        <w:t>Gjirokastra</w:t>
      </w:r>
      <w:proofErr w:type="spellEnd"/>
      <w:r w:rsidRPr="003950DF">
        <w:rPr>
          <w:rFonts w:ascii="Arial" w:hAnsi="Arial" w:cs="Arial"/>
          <w:sz w:val="22"/>
          <w:szCs w:val="22"/>
          <w:lang w:val="en-GB"/>
        </w:rPr>
        <w:t xml:space="preserve">, </w:t>
      </w:r>
      <w:r w:rsidRPr="003950DF">
        <w:rPr>
          <w:rFonts w:ascii="Arial" w:hAnsi="Arial" w:cs="Arial"/>
          <w:sz w:val="22"/>
          <w:szCs w:val="22"/>
          <w:lang w:val="en-GB"/>
        </w:rPr>
        <w:lastRenderedPageBreak/>
        <w:t>50</w:t>
      </w:r>
      <w:r w:rsidR="00634E36">
        <w:rPr>
          <w:rFonts w:ascii="Arial" w:hAnsi="Arial" w:cs="Arial"/>
          <w:sz w:val="22"/>
          <w:szCs w:val="22"/>
          <w:lang w:val="en-GB"/>
        </w:rPr>
        <w:t> </w:t>
      </w:r>
      <w:r w:rsidRPr="003950DF">
        <w:rPr>
          <w:rFonts w:ascii="Arial" w:hAnsi="Arial" w:cs="Arial"/>
          <w:sz w:val="22"/>
          <w:szCs w:val="22"/>
          <w:lang w:val="en-GB"/>
        </w:rPr>
        <w:t xml:space="preserve">years of best practice in safeguarding Albanian intangible heritage’. The </w:t>
      </w:r>
      <w:proofErr w:type="gramStart"/>
      <w:r w:rsidRPr="003950DF">
        <w:rPr>
          <w:rFonts w:ascii="Arial" w:hAnsi="Arial" w:cs="Arial"/>
          <w:sz w:val="22"/>
          <w:szCs w:val="22"/>
          <w:lang w:val="en-GB"/>
        </w:rPr>
        <w:t>request was approved in June 2018 by the Bureau of the Committee</w:t>
      </w:r>
      <w:proofErr w:type="gramEnd"/>
      <w:r w:rsidRPr="003950DF">
        <w:rPr>
          <w:rFonts w:ascii="Arial" w:hAnsi="Arial" w:cs="Arial"/>
          <w:sz w:val="22"/>
          <w:szCs w:val="22"/>
          <w:lang w:val="en-GB"/>
        </w:rPr>
        <w:t>.</w:t>
      </w:r>
    </w:p>
    <w:p w14:paraId="55E205B1" w14:textId="77777777" w:rsidR="00BD5A0C" w:rsidRDefault="003950DF" w:rsidP="00BD5A0C">
      <w:pPr>
        <w:tabs>
          <w:tab w:val="left" w:pos="567"/>
          <w:tab w:val="left" w:pos="709"/>
          <w:tab w:val="left" w:pos="1701"/>
          <w:tab w:val="left" w:pos="2268"/>
        </w:tabs>
        <w:spacing w:before="120" w:after="120"/>
        <w:ind w:left="1134"/>
        <w:jc w:val="both"/>
        <w:rPr>
          <w:rFonts w:ascii="Arial" w:hAnsi="Arial" w:cs="Arial"/>
          <w:sz w:val="22"/>
          <w:szCs w:val="22"/>
          <w:lang w:val="en-GB"/>
        </w:rPr>
      </w:pPr>
      <w:r w:rsidRPr="003950DF">
        <w:rPr>
          <w:rFonts w:ascii="Arial" w:hAnsi="Arial" w:cs="Arial"/>
          <w:b/>
          <w:sz w:val="22"/>
          <w:szCs w:val="22"/>
          <w:lang w:val="en-GB"/>
        </w:rPr>
        <w:t>Paragraph 10(a</w:t>
      </w:r>
      <w:proofErr w:type="gramStart"/>
      <w:r w:rsidRPr="003950DF">
        <w:rPr>
          <w:rFonts w:ascii="Arial" w:hAnsi="Arial" w:cs="Arial"/>
          <w:b/>
          <w:sz w:val="22"/>
          <w:szCs w:val="22"/>
          <w:lang w:val="en-GB"/>
        </w:rPr>
        <w:t>)</w:t>
      </w:r>
      <w:r w:rsidRPr="003950DF">
        <w:rPr>
          <w:rFonts w:ascii="Arial" w:hAnsi="Arial" w:cs="Arial"/>
          <w:sz w:val="22"/>
          <w:szCs w:val="22"/>
          <w:lang w:val="en-GB"/>
        </w:rPr>
        <w:t>:</w:t>
      </w:r>
      <w:proofErr w:type="gramEnd"/>
      <w:r w:rsidRPr="003950DF">
        <w:rPr>
          <w:rFonts w:ascii="Arial" w:hAnsi="Arial" w:cs="Arial"/>
          <w:sz w:val="22"/>
          <w:szCs w:val="22"/>
          <w:lang w:val="en-GB"/>
        </w:rPr>
        <w:t xml:space="preserve"> Three international experts will be invited to carry out training in community-based inventorying and another international expert will be hired to perform an evaluation of the overall implementation of the project. As the scope of the project is national, rather than collaborating with other countries the State Party will invite experts with the necessary </w:t>
      </w:r>
      <w:proofErr w:type="gramStart"/>
      <w:r w:rsidRPr="003950DF">
        <w:rPr>
          <w:rFonts w:ascii="Arial" w:hAnsi="Arial" w:cs="Arial"/>
          <w:sz w:val="22"/>
          <w:szCs w:val="22"/>
          <w:lang w:val="en-GB"/>
        </w:rPr>
        <w:t>know-how</w:t>
      </w:r>
      <w:proofErr w:type="gramEnd"/>
      <w:r w:rsidRPr="003950DF">
        <w:rPr>
          <w:rFonts w:ascii="Arial" w:hAnsi="Arial" w:cs="Arial"/>
          <w:sz w:val="22"/>
          <w:szCs w:val="22"/>
          <w:lang w:val="en-GB"/>
        </w:rPr>
        <w:t xml:space="preserve"> to ensure the appropriate quality of the project outcomes.</w:t>
      </w:r>
    </w:p>
    <w:p w14:paraId="5B014C1D" w14:textId="666276C1" w:rsidR="003950DF" w:rsidRPr="003950DF" w:rsidRDefault="003950DF" w:rsidP="00BD5A0C">
      <w:pPr>
        <w:tabs>
          <w:tab w:val="left" w:pos="567"/>
          <w:tab w:val="left" w:pos="709"/>
          <w:tab w:val="left" w:pos="1701"/>
          <w:tab w:val="left" w:pos="2268"/>
        </w:tabs>
        <w:spacing w:before="120" w:after="120"/>
        <w:ind w:left="1134"/>
        <w:jc w:val="both"/>
        <w:rPr>
          <w:rFonts w:ascii="Arial" w:hAnsi="Arial" w:cs="Arial"/>
          <w:sz w:val="22"/>
          <w:szCs w:val="22"/>
          <w:lang w:val="en-GB"/>
        </w:rPr>
      </w:pPr>
      <w:r w:rsidRPr="003950DF">
        <w:rPr>
          <w:rFonts w:ascii="Arial" w:hAnsi="Arial" w:cs="Arial"/>
          <w:b/>
          <w:sz w:val="22"/>
          <w:szCs w:val="22"/>
          <w:lang w:val="en-GB"/>
        </w:rPr>
        <w:t>Paragraph 10(b)</w:t>
      </w:r>
      <w:r w:rsidRPr="003950DF">
        <w:rPr>
          <w:rFonts w:ascii="Arial" w:hAnsi="Arial" w:cs="Arial"/>
          <w:sz w:val="22"/>
          <w:szCs w:val="22"/>
          <w:lang w:val="en-GB"/>
        </w:rPr>
        <w:t xml:space="preserve">: The chief results of the project include training community members and governmental staff who will continue to disseminate </w:t>
      </w:r>
      <w:proofErr w:type="gramStart"/>
      <w:r w:rsidRPr="003950DF">
        <w:rPr>
          <w:rFonts w:ascii="Arial" w:hAnsi="Arial" w:cs="Arial"/>
          <w:sz w:val="22"/>
          <w:szCs w:val="22"/>
          <w:lang w:val="en-GB"/>
        </w:rPr>
        <w:t>know-how</w:t>
      </w:r>
      <w:proofErr w:type="gramEnd"/>
      <w:r w:rsidRPr="003950DF">
        <w:rPr>
          <w:rFonts w:ascii="Arial" w:hAnsi="Arial" w:cs="Arial"/>
          <w:sz w:val="22"/>
          <w:szCs w:val="22"/>
          <w:lang w:val="en-GB"/>
        </w:rPr>
        <w:t xml:space="preserve"> and work on building up the national inventory in other parts of the country. The methodology created for the project </w:t>
      </w:r>
      <w:proofErr w:type="gramStart"/>
      <w:r w:rsidRPr="003950DF">
        <w:rPr>
          <w:rFonts w:ascii="Arial" w:hAnsi="Arial" w:cs="Arial"/>
          <w:sz w:val="22"/>
          <w:szCs w:val="22"/>
          <w:lang w:val="en-GB"/>
        </w:rPr>
        <w:t>will be transferred and replicated in all remaining regions in the country</w:t>
      </w:r>
      <w:proofErr w:type="gramEnd"/>
      <w:r w:rsidRPr="003950DF">
        <w:rPr>
          <w:rFonts w:ascii="Arial" w:hAnsi="Arial" w:cs="Arial"/>
          <w:sz w:val="22"/>
          <w:szCs w:val="22"/>
          <w:lang w:val="en-GB"/>
        </w:rPr>
        <w:t>. The equipment acquired from the project resources will continue to serve its purpose, creating the necessary background for future initiatives. However, the file does not explain how the project will stimulate financial and technical contributions from other sources,</w:t>
      </w:r>
      <w:r w:rsidR="00F16BBB">
        <w:rPr>
          <w:rFonts w:ascii="Arial" w:hAnsi="Arial" w:cs="Arial"/>
          <w:sz w:val="22"/>
          <w:szCs w:val="22"/>
          <w:lang w:val="en-GB"/>
        </w:rPr>
        <w:t xml:space="preserve"> or similar efforts elsewhere.</w:t>
      </w:r>
    </w:p>
    <w:p w14:paraId="5BD1D531" w14:textId="77777777" w:rsidR="003950DF" w:rsidRPr="003950DF" w:rsidRDefault="003950DF" w:rsidP="003950DF">
      <w:pPr>
        <w:numPr>
          <w:ilvl w:val="0"/>
          <w:numId w:val="13"/>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3950DF">
        <w:rPr>
          <w:rFonts w:ascii="Arial" w:hAnsi="Arial" w:cs="Arial"/>
          <w:sz w:val="22"/>
          <w:szCs w:val="22"/>
          <w:u w:val="single"/>
          <w:lang w:val="en-GB"/>
        </w:rPr>
        <w:t>Decides to refer</w:t>
      </w:r>
      <w:r w:rsidRPr="003950DF">
        <w:rPr>
          <w:rFonts w:ascii="Arial" w:hAnsi="Arial" w:cs="Arial"/>
          <w:sz w:val="22"/>
          <w:szCs w:val="22"/>
          <w:lang w:val="en-GB"/>
        </w:rPr>
        <w:t xml:space="preserve"> to the requesting State the International Assistance request for the project entitled </w:t>
      </w:r>
      <w:r w:rsidRPr="003950DF">
        <w:rPr>
          <w:rFonts w:ascii="Arial" w:hAnsi="Arial" w:cs="Arial"/>
          <w:b/>
          <w:sz w:val="22"/>
          <w:szCs w:val="22"/>
          <w:lang w:val="en-GB"/>
        </w:rPr>
        <w:t>Community based Inventory of ICH in Albania with a view to safeguarding and transmitting to future generations</w:t>
      </w:r>
      <w:r w:rsidRPr="003950DF">
        <w:rPr>
          <w:rFonts w:ascii="Arial" w:hAnsi="Arial" w:cs="Arial"/>
          <w:sz w:val="22"/>
          <w:szCs w:val="22"/>
          <w:lang w:val="en-GB"/>
        </w:rPr>
        <w:t xml:space="preserve"> and </w:t>
      </w:r>
      <w:r w:rsidRPr="003950DF">
        <w:rPr>
          <w:rFonts w:ascii="Arial" w:hAnsi="Arial" w:cs="Arial"/>
          <w:sz w:val="22"/>
          <w:szCs w:val="22"/>
          <w:u w:val="single"/>
          <w:lang w:val="en-GB"/>
        </w:rPr>
        <w:t>invites</w:t>
      </w:r>
      <w:r w:rsidRPr="003950DF">
        <w:rPr>
          <w:rFonts w:ascii="Arial" w:hAnsi="Arial" w:cs="Arial"/>
          <w:sz w:val="22"/>
          <w:szCs w:val="22"/>
          <w:lang w:val="en-GB"/>
        </w:rPr>
        <w:t xml:space="preserve"> it to submit a revised request to the Committee for examination at a forthcoming session</w:t>
      </w:r>
      <w:r w:rsidRPr="003950DF">
        <w:rPr>
          <w:rFonts w:ascii="Arial" w:hAnsi="Arial" w:cs="Arial"/>
          <w:bCs/>
          <w:sz w:val="22"/>
          <w:szCs w:val="22"/>
          <w:lang w:val="en-GB"/>
        </w:rPr>
        <w:t>;</w:t>
      </w:r>
    </w:p>
    <w:p w14:paraId="1BEC9EC8" w14:textId="77777777" w:rsidR="003950DF" w:rsidRPr="003950DF" w:rsidRDefault="00967272" w:rsidP="004C665F">
      <w:pPr>
        <w:numPr>
          <w:ilvl w:val="0"/>
          <w:numId w:val="13"/>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AE510F">
        <w:rPr>
          <w:rFonts w:ascii="Arial" w:hAnsi="Arial" w:cs="Arial"/>
          <w:noProof/>
          <w:sz w:val="22"/>
          <w:szCs w:val="22"/>
          <w:u w:val="single"/>
          <w:lang w:val="en-GB"/>
        </w:rPr>
        <w:t>Encourages</w:t>
      </w:r>
      <w:r w:rsidR="003950DF" w:rsidRPr="003950DF">
        <w:rPr>
          <w:rFonts w:ascii="Arial" w:hAnsi="Arial" w:cs="Arial"/>
          <w:sz w:val="22"/>
          <w:szCs w:val="22"/>
          <w:lang w:val="en-GB"/>
        </w:rPr>
        <w:t xml:space="preserve"> the State Party, should it w</w:t>
      </w:r>
      <w:bookmarkStart w:id="4" w:name="_GoBack"/>
      <w:bookmarkEnd w:id="4"/>
      <w:r w:rsidR="003950DF" w:rsidRPr="003950DF">
        <w:rPr>
          <w:rFonts w:ascii="Arial" w:hAnsi="Arial" w:cs="Arial"/>
          <w:sz w:val="22"/>
          <w:szCs w:val="22"/>
          <w:lang w:val="en-GB"/>
        </w:rPr>
        <w:t>ish to resubmit the request during a following cycle, to refer back to the additional information request from 13 July 2017 and incorporate all the Secretariat’s recommendations in a revised request, especially in terms of the accuracy of the budget breakdown and its correspondence with the timetable and proposed activities;</w:t>
      </w:r>
    </w:p>
    <w:p w14:paraId="53C04C5D" w14:textId="07492BA8" w:rsidR="0053318C" w:rsidRPr="00F16BBB" w:rsidRDefault="00324E0E" w:rsidP="00F16BBB">
      <w:pPr>
        <w:numPr>
          <w:ilvl w:val="0"/>
          <w:numId w:val="13"/>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Pr>
          <w:rFonts w:ascii="Arial" w:hAnsi="Arial" w:cs="Arial"/>
          <w:sz w:val="22"/>
          <w:szCs w:val="22"/>
          <w:u w:val="single"/>
          <w:lang w:val="en-GB"/>
        </w:rPr>
        <w:t>Further i</w:t>
      </w:r>
      <w:r w:rsidR="003950DF" w:rsidRPr="003950DF">
        <w:rPr>
          <w:rFonts w:ascii="Arial" w:hAnsi="Arial" w:cs="Arial"/>
          <w:sz w:val="22"/>
          <w:szCs w:val="22"/>
          <w:u w:val="single"/>
          <w:lang w:val="en-GB"/>
        </w:rPr>
        <w:t>nvites</w:t>
      </w:r>
      <w:r w:rsidR="003950DF" w:rsidRPr="003950DF">
        <w:rPr>
          <w:rFonts w:ascii="Arial" w:hAnsi="Arial" w:cs="Arial"/>
          <w:sz w:val="22"/>
          <w:szCs w:val="22"/>
          <w:lang w:val="en-GB"/>
        </w:rPr>
        <w:t xml:space="preserve"> the State Party to provide a clear and thorough explanation of its commitment – financial and in-kind – to demonstrate that the project will be sustainable for its duration as well as during the follow-up community-based inventorying in the remaining parts of the country</w:t>
      </w:r>
      <w:r w:rsidR="002F21E0">
        <w:rPr>
          <w:rFonts w:ascii="Arial" w:hAnsi="Arial" w:cs="Arial"/>
          <w:sz w:val="22"/>
          <w:szCs w:val="22"/>
          <w:lang w:val="en-GB"/>
        </w:rPr>
        <w:t>.</w:t>
      </w:r>
    </w:p>
    <w:sectPr w:rsidR="0053318C" w:rsidRPr="00F16BBB" w:rsidSect="00655736">
      <w:headerReference w:type="even" r:id="rId12"/>
      <w:headerReference w:type="default" r:id="rId13"/>
      <w:headerReference w:type="first" r:id="rId14"/>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49992" w14:textId="77777777" w:rsidR="00507D88" w:rsidRDefault="00507D88" w:rsidP="00655736">
      <w:r>
        <w:separator/>
      </w:r>
    </w:p>
  </w:endnote>
  <w:endnote w:type="continuationSeparator" w:id="0">
    <w:p w14:paraId="24861000" w14:textId="77777777" w:rsidR="00507D88" w:rsidRDefault="00507D88"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7D112" w14:textId="77777777" w:rsidR="00507D88" w:rsidRDefault="00507D88" w:rsidP="00655736">
      <w:r>
        <w:separator/>
      </w:r>
    </w:p>
  </w:footnote>
  <w:footnote w:type="continuationSeparator" w:id="0">
    <w:p w14:paraId="123AD59B" w14:textId="77777777" w:rsidR="00507D88" w:rsidRDefault="00507D88"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25A7F" w14:textId="4B53591B" w:rsidR="00D95C4C" w:rsidRPr="00C23A97" w:rsidRDefault="00CB0542" w:rsidP="001D14FE">
    <w:pPr>
      <w:pStyle w:val="Header"/>
      <w:rPr>
        <w:rFonts w:ascii="Arial" w:hAnsi="Arial" w:cs="Arial"/>
        <w:lang w:val="en-GB"/>
      </w:rPr>
    </w:pPr>
    <w:r>
      <w:rPr>
        <w:rFonts w:ascii="Arial" w:hAnsi="Arial" w:cs="Arial"/>
        <w:sz w:val="20"/>
        <w:szCs w:val="20"/>
        <w:lang w:val="en-GB"/>
      </w:rPr>
      <w:t>ITH/1</w:t>
    </w:r>
    <w:r w:rsidR="001D14FE">
      <w:rPr>
        <w:rFonts w:ascii="Arial" w:hAnsi="Arial" w:cs="Arial"/>
        <w:sz w:val="20"/>
        <w:szCs w:val="20"/>
        <w:lang w:val="en-GB"/>
      </w:rPr>
      <w:t>8</w:t>
    </w:r>
    <w:r>
      <w:rPr>
        <w:rFonts w:ascii="Arial" w:hAnsi="Arial" w:cs="Arial"/>
        <w:sz w:val="20"/>
        <w:szCs w:val="20"/>
        <w:lang w:val="en-GB"/>
      </w:rPr>
      <w:t>/1</w:t>
    </w:r>
    <w:r w:rsidR="001D14FE">
      <w:rPr>
        <w:rFonts w:ascii="Arial" w:hAnsi="Arial" w:cs="Arial"/>
        <w:sz w:val="20"/>
        <w:szCs w:val="20"/>
        <w:lang w:val="en-GB"/>
      </w:rPr>
      <w:t>3</w:t>
    </w:r>
    <w:r w:rsidR="00EC6F8D">
      <w:rPr>
        <w:rFonts w:ascii="Arial" w:hAnsi="Arial" w:cs="Arial"/>
        <w:sz w:val="20"/>
        <w:szCs w:val="20"/>
        <w:lang w:val="en-GB"/>
      </w:rPr>
      <w:t>.COM</w:t>
    </w:r>
    <w:r w:rsidR="00D95C4C" w:rsidRPr="00C23A97">
      <w:rPr>
        <w:rFonts w:ascii="Arial" w:hAnsi="Arial" w:cs="Arial"/>
        <w:sz w:val="20"/>
        <w:szCs w:val="20"/>
        <w:lang w:val="en-GB"/>
      </w:rPr>
      <w:t>/</w:t>
    </w:r>
    <w:r w:rsidR="003950DF">
      <w:rPr>
        <w:rFonts w:ascii="Arial" w:hAnsi="Arial" w:cs="Arial"/>
        <w:sz w:val="20"/>
        <w:szCs w:val="20"/>
        <w:lang w:val="en-GB"/>
      </w:rPr>
      <w:t>10.d</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4C665F">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0E22F" w14:textId="08D3E84E" w:rsidR="00D95C4C" w:rsidRPr="0063300C" w:rsidRDefault="0053318C" w:rsidP="001D14FE">
    <w:pPr>
      <w:pStyle w:val="Header"/>
      <w:jc w:val="right"/>
      <w:rPr>
        <w:rFonts w:ascii="Arial" w:hAnsi="Arial" w:cs="Arial"/>
        <w:lang w:val="en-GB"/>
      </w:rPr>
    </w:pPr>
    <w:r>
      <w:rPr>
        <w:rFonts w:ascii="Arial" w:hAnsi="Arial" w:cs="Arial"/>
        <w:sz w:val="20"/>
        <w:szCs w:val="20"/>
        <w:lang w:val="en-GB"/>
      </w:rPr>
      <w:t>ITH/1</w:t>
    </w:r>
    <w:r w:rsidR="001D14FE">
      <w:rPr>
        <w:rFonts w:ascii="Arial" w:hAnsi="Arial" w:cs="Arial"/>
        <w:sz w:val="20"/>
        <w:szCs w:val="20"/>
        <w:lang w:val="en-GB"/>
      </w:rPr>
      <w:t>8</w:t>
    </w:r>
    <w:r>
      <w:rPr>
        <w:rFonts w:ascii="Arial" w:hAnsi="Arial" w:cs="Arial"/>
        <w:sz w:val="20"/>
        <w:szCs w:val="20"/>
        <w:lang w:val="en-GB"/>
      </w:rPr>
      <w:t>/1</w:t>
    </w:r>
    <w:r w:rsidR="001D14FE">
      <w:rPr>
        <w:rFonts w:ascii="Arial" w:hAnsi="Arial" w:cs="Arial"/>
        <w:sz w:val="20"/>
        <w:szCs w:val="20"/>
        <w:lang w:val="en-GB"/>
      </w:rPr>
      <w:t>3</w:t>
    </w:r>
    <w:r w:rsidR="00EC6F8D">
      <w:rPr>
        <w:rFonts w:ascii="Arial" w:hAnsi="Arial" w:cs="Arial"/>
        <w:sz w:val="20"/>
        <w:szCs w:val="20"/>
        <w:lang w:val="en-GB"/>
      </w:rPr>
      <w:t>.COM</w:t>
    </w:r>
    <w:r w:rsidR="004A34A0" w:rsidRPr="0063300C">
      <w:rPr>
        <w:rFonts w:ascii="Arial" w:hAnsi="Arial" w:cs="Arial"/>
        <w:sz w:val="20"/>
        <w:szCs w:val="20"/>
        <w:lang w:val="en-GB"/>
      </w:rPr>
      <w:t>/</w:t>
    </w:r>
    <w:r w:rsidR="003950DF">
      <w:rPr>
        <w:rFonts w:ascii="Arial" w:hAnsi="Arial" w:cs="Arial"/>
        <w:sz w:val="20"/>
        <w:szCs w:val="20"/>
        <w:lang w:val="en-GB"/>
      </w:rPr>
      <w:t>10.d</w:t>
    </w:r>
    <w:r w:rsidR="004A34A0" w:rsidRPr="0063300C">
      <w:rPr>
        <w:rFonts w:ascii="Arial" w:hAnsi="Arial" w:cs="Arial"/>
        <w:sz w:val="20"/>
        <w:szCs w:val="20"/>
        <w:lang w:val="en-GB"/>
      </w:rPr>
      <w:t xml:space="preserve"> –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4C665F">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7644C" w14:textId="3DD9C4D4" w:rsidR="00D95C4C" w:rsidRPr="00E95AE2" w:rsidRDefault="00955877">
    <w:pPr>
      <w:pStyle w:val="Header"/>
      <w:rPr>
        <w:sz w:val="22"/>
        <w:szCs w:val="22"/>
        <w:lang w:val="en-GB"/>
      </w:rPr>
    </w:pPr>
    <w:r>
      <w:rPr>
        <w:noProof/>
        <w:lang w:val="en-US" w:eastAsia="ko-KR"/>
      </w:rPr>
      <w:drawing>
        <wp:anchor distT="0" distB="0" distL="114300" distR="114300" simplePos="0" relativeHeight="251657728" behindDoc="0" locked="0" layoutInCell="1" allowOverlap="1" wp14:anchorId="67BDBD3A" wp14:editId="75115ADE">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FFA7B3" w14:textId="77777777" w:rsidR="00D95C4C" w:rsidRPr="00F30DC6" w:rsidRDefault="00337CEB" w:rsidP="001D14FE">
    <w:pPr>
      <w:pStyle w:val="Header"/>
      <w:spacing w:after="520"/>
      <w:jc w:val="right"/>
      <w:rPr>
        <w:rFonts w:ascii="Arial" w:hAnsi="Arial" w:cs="Arial"/>
        <w:b/>
        <w:sz w:val="44"/>
        <w:szCs w:val="44"/>
        <w:lang w:val="en-GB"/>
      </w:rPr>
    </w:pPr>
    <w:r>
      <w:rPr>
        <w:rFonts w:ascii="Arial" w:hAnsi="Arial" w:cs="Arial"/>
        <w:b/>
        <w:sz w:val="44"/>
        <w:szCs w:val="44"/>
        <w:lang w:val="en-GB"/>
      </w:rPr>
      <w:t>1</w:t>
    </w:r>
    <w:r w:rsidR="001D14FE">
      <w:rPr>
        <w:rFonts w:ascii="Arial" w:hAnsi="Arial" w:cs="Arial"/>
        <w:b/>
        <w:sz w:val="44"/>
        <w:szCs w:val="44"/>
        <w:lang w:val="en-GB"/>
      </w:rPr>
      <w:t>3</w:t>
    </w:r>
    <w:r w:rsidR="00EC6F8D" w:rsidRPr="00F30DC6">
      <w:rPr>
        <w:rFonts w:ascii="Arial" w:hAnsi="Arial" w:cs="Arial"/>
        <w:b/>
        <w:sz w:val="44"/>
        <w:szCs w:val="44"/>
        <w:lang w:val="en-GB"/>
      </w:rPr>
      <w:t xml:space="preserve"> COM</w:t>
    </w:r>
  </w:p>
  <w:p w14:paraId="48D1740A" w14:textId="77777777" w:rsidR="00D95C4C" w:rsidRPr="009D5428" w:rsidRDefault="00337CEB" w:rsidP="001D14FE">
    <w:pPr>
      <w:jc w:val="right"/>
      <w:rPr>
        <w:rFonts w:ascii="Arial" w:hAnsi="Arial" w:cs="Arial"/>
        <w:b/>
        <w:sz w:val="22"/>
        <w:szCs w:val="22"/>
        <w:lang w:val="en-GB"/>
      </w:rPr>
    </w:pPr>
    <w:r>
      <w:rPr>
        <w:rFonts w:ascii="Arial" w:hAnsi="Arial" w:cs="Arial"/>
        <w:b/>
        <w:sz w:val="22"/>
        <w:szCs w:val="22"/>
        <w:lang w:val="en-GB"/>
      </w:rPr>
      <w:t>ITH/1</w:t>
    </w:r>
    <w:r w:rsidR="001D14FE">
      <w:rPr>
        <w:rFonts w:ascii="Arial" w:eastAsiaTheme="minorEastAsia" w:hAnsi="Arial" w:cs="Arial"/>
        <w:b/>
        <w:sz w:val="22"/>
        <w:szCs w:val="22"/>
        <w:lang w:val="en-GB" w:eastAsia="ko-KR"/>
      </w:rPr>
      <w:t>8</w:t>
    </w:r>
    <w:r w:rsidR="00D95C4C" w:rsidRPr="009D5428">
      <w:rPr>
        <w:rFonts w:ascii="Arial" w:hAnsi="Arial" w:cs="Arial"/>
        <w:b/>
        <w:sz w:val="22"/>
        <w:szCs w:val="22"/>
        <w:lang w:val="en-GB"/>
      </w:rPr>
      <w:t>/</w:t>
    </w:r>
    <w:r w:rsidR="00CB0542">
      <w:rPr>
        <w:rFonts w:ascii="Arial" w:hAnsi="Arial" w:cs="Arial"/>
        <w:b/>
        <w:sz w:val="22"/>
        <w:szCs w:val="22"/>
        <w:lang w:val="en-GB"/>
      </w:rPr>
      <w:t>1</w:t>
    </w:r>
    <w:r w:rsidR="001D14FE">
      <w:rPr>
        <w:rFonts w:ascii="Arial" w:hAnsi="Arial" w:cs="Arial"/>
        <w:b/>
        <w:sz w:val="22"/>
        <w:szCs w:val="22"/>
        <w:lang w:val="en-GB"/>
      </w:rPr>
      <w:t>3</w:t>
    </w:r>
    <w:r w:rsidR="00D95C4C" w:rsidRPr="009D5428">
      <w:rPr>
        <w:rFonts w:ascii="Arial" w:hAnsi="Arial" w:cs="Arial"/>
        <w:b/>
        <w:sz w:val="22"/>
        <w:szCs w:val="22"/>
        <w:lang w:val="en-GB"/>
      </w:rPr>
      <w:t>.</w:t>
    </w:r>
    <w:r w:rsidR="00EC6F8D" w:rsidRPr="009D5428">
      <w:rPr>
        <w:rFonts w:ascii="Arial" w:hAnsi="Arial" w:cs="Arial"/>
        <w:b/>
        <w:sz w:val="22"/>
        <w:szCs w:val="22"/>
        <w:lang w:val="en-GB"/>
      </w:rPr>
      <w:t>COM</w:t>
    </w:r>
    <w:r w:rsidR="00D95C4C" w:rsidRPr="009D5428">
      <w:rPr>
        <w:rFonts w:ascii="Arial" w:hAnsi="Arial" w:cs="Arial"/>
        <w:b/>
        <w:sz w:val="22"/>
        <w:szCs w:val="22"/>
        <w:lang w:val="en-GB"/>
      </w:rPr>
      <w:t>/</w:t>
    </w:r>
    <w:r w:rsidR="003950DF">
      <w:rPr>
        <w:rFonts w:ascii="Arial" w:hAnsi="Arial" w:cs="Arial"/>
        <w:b/>
        <w:sz w:val="22"/>
        <w:szCs w:val="22"/>
        <w:lang w:val="en-GB"/>
      </w:rPr>
      <w:t>10.d</w:t>
    </w:r>
  </w:p>
  <w:p w14:paraId="265D80C5" w14:textId="56E7D4FE" w:rsidR="00D95C4C" w:rsidRPr="00337CEB" w:rsidRDefault="00D95C4C" w:rsidP="004C665F">
    <w:pPr>
      <w:jc w:val="right"/>
      <w:rPr>
        <w:rFonts w:ascii="Arial" w:eastAsiaTheme="minorEastAsia" w:hAnsi="Arial" w:cs="Arial"/>
        <w:b/>
        <w:sz w:val="22"/>
        <w:szCs w:val="22"/>
        <w:lang w:val="en-GB" w:eastAsia="ko-KR"/>
      </w:rPr>
    </w:pPr>
    <w:r w:rsidRPr="009D5428">
      <w:rPr>
        <w:rFonts w:ascii="Arial" w:hAnsi="Arial" w:cs="Arial"/>
        <w:b/>
        <w:sz w:val="22"/>
        <w:szCs w:val="22"/>
        <w:lang w:val="en-GB"/>
      </w:rPr>
      <w:t xml:space="preserve">Paris, </w:t>
    </w:r>
    <w:r w:rsidR="004C665F">
      <w:rPr>
        <w:rFonts w:ascii="Arial" w:hAnsi="Arial" w:cs="Arial"/>
        <w:b/>
        <w:sz w:val="22"/>
        <w:szCs w:val="22"/>
        <w:lang w:val="en-US"/>
      </w:rPr>
      <w:t>24</w:t>
    </w:r>
    <w:r w:rsidR="00163163">
      <w:rPr>
        <w:rFonts w:ascii="Arial" w:hAnsi="Arial" w:cs="Arial"/>
        <w:b/>
        <w:sz w:val="22"/>
        <w:szCs w:val="22"/>
        <w:lang w:val="en-GB"/>
      </w:rPr>
      <w:t xml:space="preserve"> </w:t>
    </w:r>
    <w:r w:rsidR="00B223FF">
      <w:rPr>
        <w:rFonts w:ascii="Arial" w:hAnsi="Arial" w:cs="Arial"/>
        <w:b/>
        <w:sz w:val="22"/>
        <w:szCs w:val="22"/>
        <w:lang w:val="en-GB"/>
      </w:rPr>
      <w:t>October</w:t>
    </w:r>
    <w:r w:rsidRPr="00F32C23">
      <w:rPr>
        <w:rFonts w:ascii="Arial" w:hAnsi="Arial" w:cs="Arial"/>
        <w:b/>
        <w:sz w:val="22"/>
        <w:szCs w:val="22"/>
        <w:lang w:val="en-GB"/>
      </w:rPr>
      <w:t xml:space="preserve"> </w:t>
    </w:r>
    <w:r w:rsidR="00337CEB">
      <w:rPr>
        <w:rFonts w:ascii="Arial" w:hAnsi="Arial" w:cs="Arial"/>
        <w:b/>
        <w:sz w:val="22"/>
        <w:szCs w:val="22"/>
        <w:lang w:val="en-GB"/>
      </w:rPr>
      <w:t>201</w:t>
    </w:r>
    <w:r w:rsidR="001D14FE">
      <w:rPr>
        <w:rFonts w:ascii="Arial" w:eastAsiaTheme="minorEastAsia" w:hAnsi="Arial" w:cs="Arial"/>
        <w:b/>
        <w:sz w:val="22"/>
        <w:szCs w:val="22"/>
        <w:lang w:val="en-GB" w:eastAsia="ko-KR"/>
      </w:rPr>
      <w:t>8</w:t>
    </w:r>
  </w:p>
  <w:p w14:paraId="6C21D6F0" w14:textId="77777777" w:rsidR="00D95C4C" w:rsidRPr="00F32C23" w:rsidRDefault="00D95C4C" w:rsidP="000048ED">
    <w:pPr>
      <w:jc w:val="right"/>
      <w:rPr>
        <w:rFonts w:ascii="Arial" w:hAnsi="Arial" w:cs="Arial"/>
        <w:b/>
        <w:sz w:val="22"/>
        <w:szCs w:val="22"/>
        <w:lang w:val="en-GB"/>
      </w:rPr>
    </w:pPr>
    <w:r w:rsidRPr="00F32C23">
      <w:rPr>
        <w:rFonts w:ascii="Arial" w:hAnsi="Arial" w:cs="Arial"/>
        <w:b/>
        <w:sz w:val="22"/>
        <w:szCs w:val="22"/>
        <w:lang w:val="en-GB"/>
      </w:rPr>
      <w:t xml:space="preserve">Original: </w:t>
    </w:r>
    <w:r w:rsidR="003950DF">
      <w:rPr>
        <w:rFonts w:ascii="Arial" w:hAnsi="Arial" w:cs="Arial"/>
        <w:b/>
        <w:sz w:val="22"/>
        <w:szCs w:val="22"/>
        <w:lang w:val="en-GB"/>
      </w:rPr>
      <w:t>English</w:t>
    </w:r>
  </w:p>
  <w:p w14:paraId="693F9911" w14:textId="77777777" w:rsidR="00D95C4C" w:rsidRPr="00E95AE2" w:rsidRDefault="00D95C4C">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8DF1C0E"/>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1" w15:restartNumberingAfterBreak="0">
    <w:nsid w:val="5ED01A0A"/>
    <w:multiLevelType w:val="hybridMultilevel"/>
    <w:tmpl w:val="03CAD052"/>
    <w:lvl w:ilvl="0" w:tplc="C81ED8EA">
      <w:start w:val="1"/>
      <w:numFmt w:val="upperLetter"/>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5"/>
  </w:num>
  <w:num w:numId="3">
    <w:abstractNumId w:val="1"/>
  </w:num>
  <w:num w:numId="4">
    <w:abstractNumId w:val="13"/>
  </w:num>
  <w:num w:numId="5">
    <w:abstractNumId w:val="12"/>
  </w:num>
  <w:num w:numId="6">
    <w:abstractNumId w:val="0"/>
  </w:num>
  <w:num w:numId="7">
    <w:abstractNumId w:val="2"/>
  </w:num>
  <w:num w:numId="8">
    <w:abstractNumId w:val="9"/>
  </w:num>
  <w:num w:numId="9">
    <w:abstractNumId w:val="4"/>
  </w:num>
  <w:num w:numId="10">
    <w:abstractNumId w:val="6"/>
  </w:num>
  <w:num w:numId="11">
    <w:abstractNumId w:val="8"/>
  </w:num>
  <w:num w:numId="12">
    <w:abstractNumId w:val="7"/>
  </w:num>
  <w:num w:numId="13">
    <w:abstractNumId w:val="3"/>
  </w:num>
  <w:num w:numId="14">
    <w:abstractNumId w:val="11"/>
  </w:num>
  <w:num w:numId="1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48ED"/>
    <w:rsid w:val="00041A66"/>
    <w:rsid w:val="0005176E"/>
    <w:rsid w:val="000765F7"/>
    <w:rsid w:val="00077AB7"/>
    <w:rsid w:val="00081CD8"/>
    <w:rsid w:val="000A7F0E"/>
    <w:rsid w:val="000B1C8F"/>
    <w:rsid w:val="000C0D61"/>
    <w:rsid w:val="000F3A3F"/>
    <w:rsid w:val="00102557"/>
    <w:rsid w:val="00111FD5"/>
    <w:rsid w:val="00163163"/>
    <w:rsid w:val="00164D56"/>
    <w:rsid w:val="00167B10"/>
    <w:rsid w:val="0017402F"/>
    <w:rsid w:val="00196C1B"/>
    <w:rsid w:val="001B0F73"/>
    <w:rsid w:val="001C2DB7"/>
    <w:rsid w:val="001D14FE"/>
    <w:rsid w:val="001D5C04"/>
    <w:rsid w:val="001F26CF"/>
    <w:rsid w:val="00221A7F"/>
    <w:rsid w:val="00222A2D"/>
    <w:rsid w:val="00223029"/>
    <w:rsid w:val="00234745"/>
    <w:rsid w:val="002351A6"/>
    <w:rsid w:val="002407AF"/>
    <w:rsid w:val="002459D8"/>
    <w:rsid w:val="0027466B"/>
    <w:rsid w:val="002838A5"/>
    <w:rsid w:val="00285BB4"/>
    <w:rsid w:val="002C09E3"/>
    <w:rsid w:val="002F21E0"/>
    <w:rsid w:val="00303314"/>
    <w:rsid w:val="00324E0E"/>
    <w:rsid w:val="00337CEB"/>
    <w:rsid w:val="00344B58"/>
    <w:rsid w:val="0034539A"/>
    <w:rsid w:val="00345CB4"/>
    <w:rsid w:val="0036579F"/>
    <w:rsid w:val="00375D42"/>
    <w:rsid w:val="003950DF"/>
    <w:rsid w:val="003D069C"/>
    <w:rsid w:val="003D7646"/>
    <w:rsid w:val="003F113A"/>
    <w:rsid w:val="003F3E63"/>
    <w:rsid w:val="00407480"/>
    <w:rsid w:val="00414643"/>
    <w:rsid w:val="004421E5"/>
    <w:rsid w:val="00443D86"/>
    <w:rsid w:val="0045116A"/>
    <w:rsid w:val="00452284"/>
    <w:rsid w:val="00457C8E"/>
    <w:rsid w:val="004856CA"/>
    <w:rsid w:val="00487E67"/>
    <w:rsid w:val="0049705E"/>
    <w:rsid w:val="004A34A0"/>
    <w:rsid w:val="004C01CB"/>
    <w:rsid w:val="004C665F"/>
    <w:rsid w:val="004F01FE"/>
    <w:rsid w:val="005008A8"/>
    <w:rsid w:val="00507D88"/>
    <w:rsid w:val="00526B7B"/>
    <w:rsid w:val="005308CE"/>
    <w:rsid w:val="0053318C"/>
    <w:rsid w:val="00556460"/>
    <w:rsid w:val="00561A9A"/>
    <w:rsid w:val="0057439C"/>
    <w:rsid w:val="00583E15"/>
    <w:rsid w:val="005B0127"/>
    <w:rsid w:val="005B7A35"/>
    <w:rsid w:val="005C4B73"/>
    <w:rsid w:val="005D2F74"/>
    <w:rsid w:val="005E1D2B"/>
    <w:rsid w:val="005E699A"/>
    <w:rsid w:val="005E7074"/>
    <w:rsid w:val="005F2BAF"/>
    <w:rsid w:val="00600D93"/>
    <w:rsid w:val="0063300C"/>
    <w:rsid w:val="00634E36"/>
    <w:rsid w:val="00655736"/>
    <w:rsid w:val="00663B8D"/>
    <w:rsid w:val="00696C8D"/>
    <w:rsid w:val="006A2AC2"/>
    <w:rsid w:val="006A3617"/>
    <w:rsid w:val="006B0B4E"/>
    <w:rsid w:val="006E3D1E"/>
    <w:rsid w:val="006E46E4"/>
    <w:rsid w:val="00711D1B"/>
    <w:rsid w:val="00717DA5"/>
    <w:rsid w:val="00744484"/>
    <w:rsid w:val="00747566"/>
    <w:rsid w:val="007530CC"/>
    <w:rsid w:val="00773188"/>
    <w:rsid w:val="00783782"/>
    <w:rsid w:val="00784B8C"/>
    <w:rsid w:val="007879E1"/>
    <w:rsid w:val="00804BB0"/>
    <w:rsid w:val="00823A11"/>
    <w:rsid w:val="0085405E"/>
    <w:rsid w:val="0085414A"/>
    <w:rsid w:val="0086269D"/>
    <w:rsid w:val="0086543A"/>
    <w:rsid w:val="008724E5"/>
    <w:rsid w:val="00884A9D"/>
    <w:rsid w:val="0088512B"/>
    <w:rsid w:val="00890A44"/>
    <w:rsid w:val="008A2B2D"/>
    <w:rsid w:val="008A4E1E"/>
    <w:rsid w:val="008C296C"/>
    <w:rsid w:val="008D4305"/>
    <w:rsid w:val="008E1A85"/>
    <w:rsid w:val="009163A7"/>
    <w:rsid w:val="00946D0B"/>
    <w:rsid w:val="00955877"/>
    <w:rsid w:val="00967272"/>
    <w:rsid w:val="009A18CD"/>
    <w:rsid w:val="009D5428"/>
    <w:rsid w:val="00A12558"/>
    <w:rsid w:val="00A13903"/>
    <w:rsid w:val="00A34ED5"/>
    <w:rsid w:val="00A45DBF"/>
    <w:rsid w:val="00A755A2"/>
    <w:rsid w:val="00AA6660"/>
    <w:rsid w:val="00AB2C36"/>
    <w:rsid w:val="00AB6DDE"/>
    <w:rsid w:val="00AB70B6"/>
    <w:rsid w:val="00AC0AD2"/>
    <w:rsid w:val="00AD1A86"/>
    <w:rsid w:val="00AE103E"/>
    <w:rsid w:val="00AF0A07"/>
    <w:rsid w:val="00AF4AEC"/>
    <w:rsid w:val="00AF625E"/>
    <w:rsid w:val="00B00A2D"/>
    <w:rsid w:val="00B223FF"/>
    <w:rsid w:val="00BB04AF"/>
    <w:rsid w:val="00BD52C9"/>
    <w:rsid w:val="00BD5A0C"/>
    <w:rsid w:val="00BE6354"/>
    <w:rsid w:val="00C138D1"/>
    <w:rsid w:val="00C23A97"/>
    <w:rsid w:val="00C64855"/>
    <w:rsid w:val="00C70EA7"/>
    <w:rsid w:val="00C7433F"/>
    <w:rsid w:val="00C7516E"/>
    <w:rsid w:val="00C75770"/>
    <w:rsid w:val="00CA56BB"/>
    <w:rsid w:val="00CB0542"/>
    <w:rsid w:val="00CB56CA"/>
    <w:rsid w:val="00D00B2B"/>
    <w:rsid w:val="00D24877"/>
    <w:rsid w:val="00D54299"/>
    <w:rsid w:val="00D8250F"/>
    <w:rsid w:val="00D95C4C"/>
    <w:rsid w:val="00DA0247"/>
    <w:rsid w:val="00DA36ED"/>
    <w:rsid w:val="00DE34F1"/>
    <w:rsid w:val="00DE6160"/>
    <w:rsid w:val="00DF4942"/>
    <w:rsid w:val="00E160C5"/>
    <w:rsid w:val="00E20425"/>
    <w:rsid w:val="00E244E1"/>
    <w:rsid w:val="00E627B1"/>
    <w:rsid w:val="00E70169"/>
    <w:rsid w:val="00E9376C"/>
    <w:rsid w:val="00E95AE2"/>
    <w:rsid w:val="00EA335E"/>
    <w:rsid w:val="00EA528C"/>
    <w:rsid w:val="00EA580C"/>
    <w:rsid w:val="00EC6F8D"/>
    <w:rsid w:val="00EE49F4"/>
    <w:rsid w:val="00EF34E2"/>
    <w:rsid w:val="00F146AD"/>
    <w:rsid w:val="00F16BBB"/>
    <w:rsid w:val="00F2477A"/>
    <w:rsid w:val="00F30DC6"/>
    <w:rsid w:val="00F32C23"/>
    <w:rsid w:val="00F53DE9"/>
    <w:rsid w:val="00F576CB"/>
    <w:rsid w:val="00F7035D"/>
    <w:rsid w:val="00F71A02"/>
    <w:rsid w:val="00FA0D63"/>
    <w:rsid w:val="00FD1226"/>
    <w:rsid w:val="00FF1762"/>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876B1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950DF"/>
    <w:rPr>
      <w:sz w:val="16"/>
      <w:szCs w:val="16"/>
    </w:rPr>
  </w:style>
  <w:style w:type="paragraph" w:styleId="CommentText">
    <w:name w:val="annotation text"/>
    <w:basedOn w:val="Normal"/>
    <w:link w:val="CommentTextChar"/>
    <w:uiPriority w:val="99"/>
    <w:semiHidden/>
    <w:unhideWhenUsed/>
    <w:rsid w:val="003950DF"/>
    <w:rPr>
      <w:rFonts w:ascii="Arial" w:hAnsi="Arial"/>
      <w:sz w:val="20"/>
      <w:szCs w:val="20"/>
      <w:lang w:val="en-GB"/>
    </w:rPr>
  </w:style>
  <w:style w:type="character" w:customStyle="1" w:styleId="CommentTextChar">
    <w:name w:val="Comment Text Char"/>
    <w:basedOn w:val="DefaultParagraphFont"/>
    <w:link w:val="CommentText"/>
    <w:uiPriority w:val="99"/>
    <w:semiHidden/>
    <w:rsid w:val="003950DF"/>
    <w:rPr>
      <w:rFonts w:ascii="Arial" w:eastAsia="Times New Roman" w:hAnsi="Arial"/>
      <w:lang w:val="en-GB"/>
    </w:rPr>
  </w:style>
  <w:style w:type="character" w:styleId="Hyperlink">
    <w:name w:val="Hyperlink"/>
    <w:rsid w:val="003950DF"/>
    <w:rPr>
      <w:rFonts w:cs="Times New Roman"/>
      <w:color w:val="0000FF"/>
      <w:u w:val="single"/>
    </w:rPr>
  </w:style>
  <w:style w:type="paragraph" w:customStyle="1" w:styleId="DocMain">
    <w:name w:val="Doc_Main"/>
    <w:basedOn w:val="Normal"/>
    <w:rsid w:val="003950DF"/>
    <w:pPr>
      <w:spacing w:before="240" w:after="240"/>
      <w:ind w:left="720" w:hanging="360"/>
      <w:jc w:val="both"/>
    </w:pPr>
    <w:rPr>
      <w:rFonts w:ascii="Arial" w:eastAsia="SimSun" w:hAnsi="Arial" w:cs="Arial"/>
      <w:sz w:val="22"/>
      <w:szCs w:val="22"/>
      <w:lang w:eastAsia="zh-CN" w:bidi="en-US"/>
    </w:rPr>
  </w:style>
  <w:style w:type="paragraph" w:customStyle="1" w:styleId="NoSpacing1">
    <w:name w:val="No Spacing1"/>
    <w:rsid w:val="003950DF"/>
    <w:rPr>
      <w:sz w:val="22"/>
      <w:szCs w:val="22"/>
      <w:lang w:eastAsia="zh-CN" w:bidi="en-US"/>
    </w:rPr>
  </w:style>
  <w:style w:type="character" w:styleId="FollowedHyperlink">
    <w:name w:val="FollowedHyperlink"/>
    <w:basedOn w:val="DefaultParagraphFont"/>
    <w:uiPriority w:val="99"/>
    <w:semiHidden/>
    <w:unhideWhenUsed/>
    <w:rsid w:val="00E2042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F21E0"/>
    <w:rPr>
      <w:rFonts w:ascii="Times New Roman" w:hAnsi="Times New Roman"/>
      <w:b/>
      <w:bCs/>
      <w:lang w:val="fr-FR"/>
    </w:rPr>
  </w:style>
  <w:style w:type="character" w:customStyle="1" w:styleId="CommentSubjectChar">
    <w:name w:val="Comment Subject Char"/>
    <w:basedOn w:val="CommentTextChar"/>
    <w:link w:val="CommentSubject"/>
    <w:uiPriority w:val="99"/>
    <w:semiHidden/>
    <w:rsid w:val="002F21E0"/>
    <w:rPr>
      <w:rFonts w:ascii="Times New Roman" w:eastAsia="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ITH-18-13.COM-10-EN.doc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Recommends_that_the_committee_refer"/><Relationship Id="rId4" Type="http://schemas.openxmlformats.org/officeDocument/2006/relationships/settings" Target="settings.xml"/><Relationship Id="rId9" Type="http://schemas.openxmlformats.org/officeDocument/2006/relationships/hyperlink" Target="https://ich.unesco.org/en/10d-international-assistance-requests-01015"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44419-2B6B-4BF7-A76E-76DD04592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0</TotalTime>
  <Pages>4</Pages>
  <Words>1501</Words>
  <Characters>8558</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Shin, Eunkyung</cp:lastModifiedBy>
  <cp:revision>3</cp:revision>
  <cp:lastPrinted>2011-08-06T10:22:00Z</cp:lastPrinted>
  <dcterms:created xsi:type="dcterms:W3CDTF">2018-10-23T08:28:00Z</dcterms:created>
  <dcterms:modified xsi:type="dcterms:W3CDTF">2018-10-24T08:28:00Z</dcterms:modified>
</cp:coreProperties>
</file>