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46C6" w14:textId="1DCF4774" w:rsidR="00EC6F8D" w:rsidRPr="00293C60" w:rsidRDefault="00EC6F8D" w:rsidP="00DD2F89">
      <w:pPr>
        <w:spacing w:before="1440"/>
        <w:jc w:val="center"/>
        <w:rPr>
          <w:rFonts w:ascii="Arial" w:hAnsi="Arial" w:cs="Arial"/>
          <w:b/>
          <w:sz w:val="22"/>
          <w:szCs w:val="22"/>
        </w:rPr>
      </w:pPr>
      <w:r>
        <w:rPr>
          <w:rFonts w:ascii="Arial" w:hAnsi="Arial"/>
          <w:b/>
          <w:sz w:val="22"/>
          <w:szCs w:val="22"/>
        </w:rPr>
        <w:t>CONVENTION POUR LA SAUVEGARDE</w:t>
      </w:r>
      <w:r w:rsidR="00DD2F89" w:rsidRPr="00DD2F89">
        <w:rPr>
          <w:rFonts w:ascii="Arial" w:hAnsi="Arial"/>
          <w:b/>
          <w:sz w:val="22"/>
          <w:szCs w:val="22"/>
        </w:rPr>
        <w:t xml:space="preserve"> </w:t>
      </w:r>
      <w:r w:rsidR="00DD2F89">
        <w:rPr>
          <w:rFonts w:ascii="Arial" w:hAnsi="Arial"/>
          <w:b/>
          <w:sz w:val="22"/>
          <w:szCs w:val="22"/>
        </w:rPr>
        <w:t>DU</w:t>
      </w:r>
      <w:r>
        <w:rPr>
          <w:rFonts w:ascii="Arial" w:hAnsi="Arial"/>
          <w:b/>
          <w:sz w:val="22"/>
          <w:szCs w:val="22"/>
        </w:rPr>
        <w:br/>
        <w:t>PATRIMOINE CULTUREL IMMATÉRIEL</w:t>
      </w:r>
    </w:p>
    <w:p w14:paraId="0CBF0BD8" w14:textId="17FC4108" w:rsidR="005172F6" w:rsidRPr="00DD2F89" w:rsidRDefault="005172F6" w:rsidP="00DD2F89">
      <w:pPr>
        <w:spacing w:before="840"/>
        <w:jc w:val="center"/>
        <w:rPr>
          <w:rFonts w:ascii="Arial" w:hAnsi="Arial" w:cs="Arial"/>
          <w:b/>
          <w:sz w:val="22"/>
          <w:szCs w:val="22"/>
        </w:rPr>
      </w:pPr>
      <w:r w:rsidRPr="00DD2F89">
        <w:rPr>
          <w:rFonts w:ascii="Arial" w:hAnsi="Arial" w:cs="Arial"/>
          <w:b/>
          <w:sz w:val="22"/>
          <w:szCs w:val="22"/>
        </w:rPr>
        <w:t>COMITÉ INTERGOUVERNEMENTAL</w:t>
      </w:r>
      <w:r w:rsidR="00DD2F89" w:rsidRPr="00DD2F89">
        <w:rPr>
          <w:rFonts w:ascii="Arial" w:hAnsi="Arial" w:cs="Arial"/>
          <w:b/>
          <w:sz w:val="22"/>
          <w:szCs w:val="22"/>
        </w:rPr>
        <w:t xml:space="preserve"> </w:t>
      </w:r>
      <w:r w:rsidRPr="00DD2F89">
        <w:rPr>
          <w:rFonts w:ascii="Arial" w:hAnsi="Arial" w:cs="Arial"/>
          <w:b/>
          <w:sz w:val="22"/>
          <w:szCs w:val="22"/>
        </w:rPr>
        <w:t>DE</w:t>
      </w:r>
      <w:r w:rsidR="00DD2F89" w:rsidRPr="00DD2F89">
        <w:rPr>
          <w:rFonts w:ascii="Arial" w:hAnsi="Arial" w:cs="Arial"/>
          <w:b/>
          <w:sz w:val="22"/>
          <w:szCs w:val="22"/>
        </w:rPr>
        <w:t xml:space="preserve"> </w:t>
      </w:r>
      <w:r w:rsidRPr="00DD2F89">
        <w:rPr>
          <w:rFonts w:ascii="Arial" w:hAnsi="Arial" w:cs="Arial"/>
          <w:b/>
          <w:sz w:val="22"/>
          <w:szCs w:val="22"/>
        </w:rPr>
        <w:t>SAUVEGARDE</w:t>
      </w:r>
      <w:r w:rsidRPr="00DD2F89">
        <w:rPr>
          <w:rFonts w:ascii="Arial" w:hAnsi="Arial" w:cs="Arial"/>
          <w:b/>
          <w:sz w:val="22"/>
          <w:szCs w:val="22"/>
        </w:rPr>
        <w:br/>
        <w:t>DU PATRIMOINE CULTUREL IMMATÉRIEL</w:t>
      </w:r>
    </w:p>
    <w:p w14:paraId="09779D44" w14:textId="77777777" w:rsidR="00EC6F8D" w:rsidRPr="00DD2F89" w:rsidRDefault="00C7433F" w:rsidP="001D14FE">
      <w:pPr>
        <w:spacing w:before="840"/>
        <w:jc w:val="center"/>
        <w:rPr>
          <w:rFonts w:ascii="Arial" w:hAnsi="Arial" w:cs="Arial"/>
          <w:b/>
          <w:sz w:val="22"/>
          <w:szCs w:val="22"/>
        </w:rPr>
      </w:pPr>
      <w:r w:rsidRPr="00DD2F89">
        <w:rPr>
          <w:rFonts w:ascii="Arial" w:hAnsi="Arial"/>
          <w:b/>
          <w:sz w:val="22"/>
          <w:szCs w:val="22"/>
        </w:rPr>
        <w:t>Treizième session</w:t>
      </w:r>
    </w:p>
    <w:p w14:paraId="4CD8DDAB" w14:textId="71A11220" w:rsidR="009D5428" w:rsidRPr="00337CEB" w:rsidRDefault="001D14FE" w:rsidP="00DD2F89">
      <w:pPr>
        <w:jc w:val="center"/>
        <w:rPr>
          <w:rFonts w:ascii="Arial" w:eastAsiaTheme="minorEastAsia" w:hAnsi="Arial" w:cs="Arial"/>
          <w:b/>
          <w:sz w:val="22"/>
          <w:szCs w:val="22"/>
        </w:rPr>
      </w:pPr>
      <w:r>
        <w:rPr>
          <w:rFonts w:ascii="Arial" w:hAnsi="Arial"/>
          <w:b/>
          <w:sz w:val="22"/>
          <w:szCs w:val="22"/>
        </w:rPr>
        <w:t>Port</w:t>
      </w:r>
      <w:r w:rsidR="00DD2F89">
        <w:rPr>
          <w:rFonts w:ascii="Arial" w:hAnsi="Arial"/>
          <w:b/>
          <w:sz w:val="22"/>
          <w:szCs w:val="22"/>
        </w:rPr>
        <w:t>-</w:t>
      </w:r>
      <w:r>
        <w:rPr>
          <w:rFonts w:ascii="Arial" w:hAnsi="Arial"/>
          <w:b/>
          <w:sz w:val="22"/>
          <w:szCs w:val="22"/>
        </w:rPr>
        <w:t>Louis, République de Maurice</w:t>
      </w:r>
    </w:p>
    <w:p w14:paraId="36BCCA27" w14:textId="24F4ED3E" w:rsidR="00EC6F8D" w:rsidRPr="00337CEB" w:rsidRDefault="001D14FE" w:rsidP="00DD2F89">
      <w:pPr>
        <w:jc w:val="center"/>
        <w:rPr>
          <w:rFonts w:ascii="Arial" w:eastAsiaTheme="minorEastAsia" w:hAnsi="Arial" w:cs="Arial"/>
          <w:b/>
          <w:sz w:val="22"/>
          <w:szCs w:val="22"/>
        </w:rPr>
      </w:pPr>
      <w:r>
        <w:rPr>
          <w:rFonts w:ascii="Arial" w:hAnsi="Arial"/>
          <w:b/>
          <w:sz w:val="22"/>
          <w:szCs w:val="22"/>
        </w:rPr>
        <w:t xml:space="preserve">26 novembre </w:t>
      </w:r>
      <w:r w:rsidR="00DD2F89">
        <w:rPr>
          <w:rFonts w:ascii="Arial" w:hAnsi="Arial"/>
          <w:b/>
          <w:sz w:val="22"/>
          <w:szCs w:val="22"/>
        </w:rPr>
        <w:t>–</w:t>
      </w:r>
      <w:r>
        <w:rPr>
          <w:rFonts w:ascii="Arial" w:hAnsi="Arial"/>
          <w:b/>
          <w:sz w:val="22"/>
          <w:szCs w:val="22"/>
        </w:rPr>
        <w:t xml:space="preserve"> 1</w:t>
      </w:r>
      <w:r w:rsidRPr="00DD2F89">
        <w:rPr>
          <w:rFonts w:ascii="Arial" w:hAnsi="Arial"/>
          <w:b/>
          <w:sz w:val="22"/>
          <w:szCs w:val="22"/>
          <w:vertAlign w:val="superscript"/>
        </w:rPr>
        <w:t>er</w:t>
      </w:r>
      <w:r>
        <w:rPr>
          <w:rFonts w:ascii="Arial" w:hAnsi="Arial"/>
          <w:b/>
          <w:sz w:val="22"/>
          <w:szCs w:val="22"/>
        </w:rPr>
        <w:t xml:space="preserve"> décembre 2018</w:t>
      </w:r>
    </w:p>
    <w:p w14:paraId="03A41CA1" w14:textId="5ED5ECD4"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17 de l</w:t>
      </w:r>
      <w:r w:rsidR="00DD2F89">
        <w:rPr>
          <w:rFonts w:ascii="Arial" w:hAnsi="Arial"/>
          <w:b/>
          <w:sz w:val="22"/>
          <w:szCs w:val="22"/>
          <w:u w:val="single"/>
        </w:rPr>
        <w:t>’</w:t>
      </w:r>
      <w:r>
        <w:rPr>
          <w:rFonts w:ascii="Arial" w:hAnsi="Arial"/>
          <w:b/>
          <w:sz w:val="22"/>
          <w:szCs w:val="22"/>
          <w:u w:val="single"/>
        </w:rPr>
        <w:t>ordre du jour provisoire</w:t>
      </w:r>
      <w:r w:rsidRPr="00E6448D">
        <w:rPr>
          <w:rFonts w:ascii="Arial" w:hAnsi="Arial"/>
          <w:b/>
          <w:sz w:val="22"/>
          <w:szCs w:val="22"/>
        </w:rPr>
        <w:t> </w:t>
      </w:r>
      <w:r>
        <w:rPr>
          <w:rFonts w:ascii="Arial" w:hAnsi="Arial"/>
          <w:b/>
          <w:sz w:val="22"/>
          <w:szCs w:val="22"/>
        </w:rPr>
        <w:t>:</w:t>
      </w:r>
    </w:p>
    <w:p w14:paraId="558D4DDF" w14:textId="175D77FA" w:rsidR="00EC6F8D" w:rsidRPr="00293C60" w:rsidRDefault="00910B30" w:rsidP="00693AD7">
      <w:pPr>
        <w:pStyle w:val="Sansinterligne2"/>
        <w:spacing w:after="1200"/>
        <w:jc w:val="center"/>
        <w:rPr>
          <w:rFonts w:ascii="Arial" w:hAnsi="Arial" w:cs="Arial"/>
          <w:b/>
          <w:sz w:val="22"/>
          <w:szCs w:val="22"/>
        </w:rPr>
      </w:pPr>
      <w:r>
        <w:rPr>
          <w:rFonts w:ascii="Arial" w:hAnsi="Arial"/>
          <w:b/>
          <w:sz w:val="22"/>
          <w:szCs w:val="22"/>
        </w:rPr>
        <w:t>Suivi de la mise en œuvre des</w:t>
      </w:r>
      <w:r w:rsidR="00693AD7">
        <w:rPr>
          <w:rFonts w:ascii="Arial" w:hAnsi="Arial"/>
          <w:b/>
          <w:sz w:val="22"/>
          <w:szCs w:val="22"/>
        </w:rPr>
        <w:t xml:space="preserve"> recommandations pertinentes du</w:t>
      </w:r>
      <w:r w:rsidR="00693AD7">
        <w:rPr>
          <w:rFonts w:ascii="Arial" w:hAnsi="Arial"/>
          <w:b/>
          <w:sz w:val="22"/>
          <w:szCs w:val="22"/>
        </w:rPr>
        <w:br/>
      </w:r>
      <w:r>
        <w:rPr>
          <w:rFonts w:ascii="Arial" w:hAnsi="Arial"/>
          <w:b/>
          <w:sz w:val="22"/>
          <w:szCs w:val="22"/>
        </w:rPr>
        <w:t>Groupe de travail à composition non limitée sur la gouvernance, les procédures et les méthodes de travail des organes directeurs de l</w:t>
      </w:r>
      <w:r w:rsidR="00DD2F89">
        <w:rPr>
          <w:rFonts w:ascii="Arial" w:hAnsi="Arial"/>
          <w:b/>
          <w:sz w:val="22"/>
          <w:szCs w:val="22"/>
        </w:rPr>
        <w:t>’</w:t>
      </w:r>
      <w:r>
        <w:rPr>
          <w:rFonts w:ascii="Arial" w:hAnsi="Arial"/>
          <w:b/>
          <w:sz w:val="22"/>
          <w:szCs w:val="22"/>
        </w:rPr>
        <w:t>UNESCO</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B7C08" w14:paraId="1E76EE35" w14:textId="77777777" w:rsidTr="00EC6F8D">
        <w:trPr>
          <w:jc w:val="center"/>
        </w:trPr>
        <w:tc>
          <w:tcPr>
            <w:tcW w:w="5670" w:type="dxa"/>
            <w:vAlign w:val="center"/>
          </w:tcPr>
          <w:p w14:paraId="28F136F6"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48D631C4" w14:textId="1DFA1F03" w:rsidR="009B7C08" w:rsidRPr="00693AD7" w:rsidRDefault="009B7C08" w:rsidP="00543935">
            <w:pPr>
              <w:pStyle w:val="Sansinterligne2"/>
              <w:spacing w:after="120"/>
              <w:jc w:val="both"/>
              <w:rPr>
                <w:rFonts w:ascii="Arial" w:hAnsi="Arial" w:cs="Arial"/>
                <w:bCs/>
                <w:sz w:val="22"/>
                <w:szCs w:val="22"/>
              </w:rPr>
            </w:pPr>
            <w:r>
              <w:rPr>
                <w:rFonts w:ascii="Arial" w:hAnsi="Arial"/>
                <w:sz w:val="22"/>
                <w:szCs w:val="22"/>
              </w:rPr>
              <w:t>À l</w:t>
            </w:r>
            <w:r w:rsidR="00DD2F89">
              <w:rPr>
                <w:rFonts w:ascii="Arial" w:hAnsi="Arial"/>
                <w:sz w:val="22"/>
                <w:szCs w:val="22"/>
              </w:rPr>
              <w:t>’</w:t>
            </w:r>
            <w:r>
              <w:rPr>
                <w:rFonts w:ascii="Arial" w:hAnsi="Arial"/>
                <w:sz w:val="22"/>
                <w:szCs w:val="22"/>
              </w:rPr>
              <w:t xml:space="preserve">occasion de sa trente-neuvième session, par la </w:t>
            </w:r>
            <w:r w:rsidR="005E2285">
              <w:rPr>
                <w:rFonts w:ascii="Arial" w:hAnsi="Arial"/>
                <w:sz w:val="22"/>
                <w:szCs w:val="22"/>
              </w:rPr>
              <w:t>r</w:t>
            </w:r>
            <w:r>
              <w:rPr>
                <w:rFonts w:ascii="Arial" w:hAnsi="Arial"/>
                <w:sz w:val="22"/>
                <w:szCs w:val="22"/>
              </w:rPr>
              <w:t>ésolution 39 C/87, la Conférence générale a invité le Conseil exécutif, la Directrice générale et les organes directeurs des différents organes à mettre en œuvre les recommandations sur la gouvernance de l</w:t>
            </w:r>
            <w:r w:rsidR="00DD2F89">
              <w:rPr>
                <w:rFonts w:ascii="Arial" w:hAnsi="Arial"/>
                <w:sz w:val="22"/>
                <w:szCs w:val="22"/>
              </w:rPr>
              <w:t>’</w:t>
            </w:r>
            <w:r>
              <w:rPr>
                <w:rFonts w:ascii="Arial" w:hAnsi="Arial"/>
                <w:sz w:val="22"/>
                <w:szCs w:val="22"/>
              </w:rPr>
              <w:t xml:space="preserve">UNESCO, approuvées par la même </w:t>
            </w:r>
            <w:r w:rsidR="005E2285">
              <w:rPr>
                <w:rFonts w:ascii="Arial" w:hAnsi="Arial"/>
                <w:sz w:val="22"/>
                <w:szCs w:val="22"/>
              </w:rPr>
              <w:t>r</w:t>
            </w:r>
            <w:r>
              <w:rPr>
                <w:rFonts w:ascii="Arial" w:hAnsi="Arial"/>
                <w:sz w:val="22"/>
                <w:szCs w:val="22"/>
              </w:rPr>
              <w:t>ésolution. Le présent document se propose de faire le point sur l</w:t>
            </w:r>
            <w:r w:rsidR="00DD2F89">
              <w:rPr>
                <w:rFonts w:ascii="Arial" w:hAnsi="Arial"/>
                <w:sz w:val="22"/>
                <w:szCs w:val="22"/>
              </w:rPr>
              <w:t>’</w:t>
            </w:r>
            <w:r>
              <w:rPr>
                <w:rFonts w:ascii="Arial" w:hAnsi="Arial"/>
                <w:sz w:val="22"/>
                <w:szCs w:val="22"/>
              </w:rPr>
              <w:t>état d</w:t>
            </w:r>
            <w:r w:rsidR="00DD2F89">
              <w:rPr>
                <w:rFonts w:ascii="Arial" w:hAnsi="Arial"/>
                <w:sz w:val="22"/>
                <w:szCs w:val="22"/>
              </w:rPr>
              <w:t>’</w:t>
            </w:r>
            <w:r>
              <w:rPr>
                <w:rFonts w:ascii="Arial" w:hAnsi="Arial"/>
                <w:sz w:val="22"/>
                <w:szCs w:val="22"/>
              </w:rPr>
              <w:t>avancement de la mise en œuvre de ces recommandations applicables aux organes directeurs de la Convention de 2003 par rapport à l</w:t>
            </w:r>
            <w:r w:rsidR="00DD2F89">
              <w:rPr>
                <w:rFonts w:ascii="Arial" w:hAnsi="Arial"/>
                <w:sz w:val="22"/>
                <w:szCs w:val="22"/>
              </w:rPr>
              <w:t>’</w:t>
            </w:r>
            <w:r>
              <w:rPr>
                <w:rFonts w:ascii="Arial" w:hAnsi="Arial"/>
                <w:sz w:val="22"/>
                <w:szCs w:val="22"/>
              </w:rPr>
              <w:t>état d</w:t>
            </w:r>
            <w:r w:rsidR="00DD2F89">
              <w:rPr>
                <w:rFonts w:ascii="Arial" w:hAnsi="Arial"/>
                <w:sz w:val="22"/>
                <w:szCs w:val="22"/>
              </w:rPr>
              <w:t>’</w:t>
            </w:r>
            <w:r>
              <w:rPr>
                <w:rFonts w:ascii="Arial" w:hAnsi="Arial"/>
                <w:sz w:val="22"/>
                <w:szCs w:val="22"/>
              </w:rPr>
              <w:t>avancement présenté à la septième session de l</w:t>
            </w:r>
            <w:r w:rsidR="00DD2F89">
              <w:rPr>
                <w:rFonts w:ascii="Arial" w:hAnsi="Arial"/>
                <w:sz w:val="22"/>
                <w:szCs w:val="22"/>
              </w:rPr>
              <w:t>’</w:t>
            </w:r>
            <w:r>
              <w:rPr>
                <w:rFonts w:ascii="Arial" w:hAnsi="Arial"/>
                <w:sz w:val="22"/>
                <w:szCs w:val="22"/>
              </w:rPr>
              <w:t>Assemblée générale.</w:t>
            </w:r>
          </w:p>
          <w:p w14:paraId="5C400118" w14:textId="77777777" w:rsidR="00EC6F8D" w:rsidRPr="009B7C08" w:rsidRDefault="009B7C08">
            <w:pPr>
              <w:pStyle w:val="Sansinterligne2"/>
              <w:spacing w:before="200" w:after="200"/>
              <w:jc w:val="both"/>
              <w:rPr>
                <w:rFonts w:ascii="Arial" w:hAnsi="Arial" w:cs="Arial"/>
                <w:bCs/>
                <w:sz w:val="22"/>
                <w:szCs w:val="22"/>
              </w:rPr>
            </w:pPr>
            <w:r>
              <w:rPr>
                <w:rFonts w:ascii="Arial" w:hAnsi="Arial"/>
                <w:b/>
                <w:sz w:val="22"/>
                <w:szCs w:val="22"/>
              </w:rPr>
              <w:t xml:space="preserve">Décision requise : </w:t>
            </w:r>
            <w:r>
              <w:rPr>
                <w:rFonts w:ascii="Arial" w:hAnsi="Arial"/>
                <w:bCs/>
                <w:sz w:val="22"/>
                <w:szCs w:val="22"/>
              </w:rPr>
              <w:t xml:space="preserve">paragraphe </w:t>
            </w:r>
            <w:r w:rsidRPr="00693AD7">
              <w:rPr>
                <w:rFonts w:ascii="Arial" w:hAnsi="Arial"/>
                <w:bCs/>
                <w:sz w:val="22"/>
                <w:szCs w:val="22"/>
              </w:rPr>
              <w:t>10</w:t>
            </w:r>
          </w:p>
        </w:tc>
      </w:tr>
    </w:tbl>
    <w:p w14:paraId="539D1DBA" w14:textId="198B3D6B" w:rsidR="007633B9" w:rsidRDefault="00655736" w:rsidP="00974C6E">
      <w:pPr>
        <w:pStyle w:val="ListParagraph"/>
        <w:numPr>
          <w:ilvl w:val="0"/>
          <w:numId w:val="5"/>
        </w:numPr>
        <w:spacing w:after="120"/>
        <w:ind w:left="567" w:hanging="567"/>
        <w:contextualSpacing w:val="0"/>
        <w:jc w:val="both"/>
        <w:rPr>
          <w:rFonts w:ascii="Arial" w:hAnsi="Arial" w:cs="Arial"/>
          <w:snapToGrid w:val="0"/>
          <w:sz w:val="22"/>
          <w:szCs w:val="22"/>
        </w:rPr>
      </w:pPr>
      <w:r>
        <w:br w:type="page"/>
      </w:r>
      <w:r>
        <w:rPr>
          <w:rFonts w:ascii="Arial" w:hAnsi="Arial"/>
          <w:snapToGrid w:val="0"/>
          <w:sz w:val="22"/>
          <w:szCs w:val="22"/>
        </w:rPr>
        <w:lastRenderedPageBreak/>
        <w:t>Lors de sa trente-neuvième session en 2017, la Conférence générale a approuvé un ensemble de recommandations sur la</w:t>
      </w:r>
      <w:r>
        <w:rPr>
          <w:rFonts w:ascii="Arial" w:hAnsi="Arial"/>
          <w:sz w:val="22"/>
          <w:szCs w:val="22"/>
        </w:rPr>
        <w:t xml:space="preserve"> </w:t>
      </w:r>
      <w:r>
        <w:rPr>
          <w:rFonts w:ascii="Arial" w:hAnsi="Arial"/>
          <w:snapToGrid w:val="0"/>
          <w:sz w:val="22"/>
          <w:szCs w:val="22"/>
        </w:rPr>
        <w:t>gouvernance, les procédures et les méthodes de travail des organes directeurs de l</w:t>
      </w:r>
      <w:r w:rsidR="00DD2F89">
        <w:rPr>
          <w:rFonts w:ascii="Arial" w:hAnsi="Arial"/>
          <w:snapToGrid w:val="0"/>
          <w:sz w:val="22"/>
          <w:szCs w:val="22"/>
        </w:rPr>
        <w:t>’</w:t>
      </w:r>
      <w:r>
        <w:rPr>
          <w:rFonts w:ascii="Arial" w:hAnsi="Arial"/>
          <w:snapToGrid w:val="0"/>
          <w:sz w:val="22"/>
          <w:szCs w:val="22"/>
        </w:rPr>
        <w:t>UNESCO (</w:t>
      </w:r>
      <w:r w:rsidR="00543935">
        <w:rPr>
          <w:rFonts w:ascii="Arial" w:hAnsi="Arial"/>
          <w:snapToGrid w:val="0"/>
          <w:sz w:val="22"/>
          <w:szCs w:val="22"/>
        </w:rPr>
        <w:t>r</w:t>
      </w:r>
      <w:r>
        <w:rPr>
          <w:rFonts w:ascii="Arial" w:hAnsi="Arial"/>
          <w:snapToGrid w:val="0"/>
          <w:sz w:val="22"/>
          <w:szCs w:val="22"/>
        </w:rPr>
        <w:t xml:space="preserve">ésolution </w:t>
      </w:r>
      <w:r>
        <w:rPr>
          <w:rFonts w:ascii="Arial" w:hAnsi="Arial"/>
          <w:sz w:val="22"/>
          <w:szCs w:val="22"/>
        </w:rPr>
        <w:t>39</w:t>
      </w:r>
      <w:r>
        <w:rPr>
          <w:rFonts w:ascii="Arial" w:hAnsi="Arial"/>
          <w:snapToGrid w:val="0"/>
          <w:sz w:val="22"/>
          <w:szCs w:val="22"/>
        </w:rPr>
        <w:t> </w:t>
      </w:r>
      <w:r>
        <w:rPr>
          <w:rFonts w:ascii="Arial" w:hAnsi="Arial"/>
          <w:sz w:val="22"/>
          <w:szCs w:val="22"/>
        </w:rPr>
        <w:t>C/87</w:t>
      </w:r>
      <w:r>
        <w:rPr>
          <w:rFonts w:ascii="Arial" w:hAnsi="Arial"/>
          <w:snapToGrid w:val="0"/>
          <w:sz w:val="22"/>
          <w:szCs w:val="22"/>
        </w:rPr>
        <w:t>). Ces recommandations s</w:t>
      </w:r>
      <w:r w:rsidR="00DD2F89">
        <w:rPr>
          <w:rFonts w:ascii="Arial" w:hAnsi="Arial"/>
          <w:snapToGrid w:val="0"/>
          <w:sz w:val="22"/>
          <w:szCs w:val="22"/>
        </w:rPr>
        <w:t>’</w:t>
      </w:r>
      <w:r>
        <w:rPr>
          <w:rFonts w:ascii="Arial" w:hAnsi="Arial"/>
          <w:snapToGrid w:val="0"/>
          <w:sz w:val="22"/>
          <w:szCs w:val="22"/>
        </w:rPr>
        <w:t>appuient sur le travail du Groupe de travail à composition non limitée sur la gouvernance, les procédures et les méthodes de travail des organes directeurs de l</w:t>
      </w:r>
      <w:r w:rsidR="00DD2F89">
        <w:rPr>
          <w:rFonts w:ascii="Arial" w:hAnsi="Arial"/>
          <w:snapToGrid w:val="0"/>
          <w:sz w:val="22"/>
          <w:szCs w:val="22"/>
        </w:rPr>
        <w:t>’</w:t>
      </w:r>
      <w:r>
        <w:rPr>
          <w:rFonts w:ascii="Arial" w:hAnsi="Arial"/>
          <w:snapToGrid w:val="0"/>
          <w:sz w:val="22"/>
          <w:szCs w:val="22"/>
        </w:rPr>
        <w:t>UNESCO (</w:t>
      </w:r>
      <w:hyperlink r:id="rId8" w:history="1">
        <w:r>
          <w:rPr>
            <w:rStyle w:val="Hyperlink"/>
            <w:rFonts w:ascii="Arial" w:hAnsi="Arial"/>
            <w:snapToGrid w:val="0"/>
            <w:sz w:val="22"/>
            <w:szCs w:val="22"/>
          </w:rPr>
          <w:t>document 39 C/70</w:t>
        </w:r>
      </w:hyperlink>
      <w:r>
        <w:rPr>
          <w:rFonts w:ascii="Arial" w:hAnsi="Arial"/>
          <w:sz w:val="22"/>
          <w:szCs w:val="22"/>
        </w:rPr>
        <w:t>), que</w:t>
      </w:r>
      <w:r>
        <w:rPr>
          <w:rFonts w:ascii="Arial" w:hAnsi="Arial"/>
          <w:snapToGrid w:val="0"/>
          <w:sz w:val="22"/>
          <w:szCs w:val="22"/>
        </w:rPr>
        <w:t xml:space="preserve"> la Conférence générale a créé dans l</w:t>
      </w:r>
      <w:r w:rsidR="00DD2F89">
        <w:rPr>
          <w:rFonts w:ascii="Arial" w:hAnsi="Arial"/>
          <w:snapToGrid w:val="0"/>
          <w:sz w:val="22"/>
          <w:szCs w:val="22"/>
        </w:rPr>
        <w:t>’</w:t>
      </w:r>
      <w:r>
        <w:rPr>
          <w:rFonts w:ascii="Arial" w:hAnsi="Arial"/>
          <w:snapToGrid w:val="0"/>
          <w:sz w:val="22"/>
          <w:szCs w:val="22"/>
        </w:rPr>
        <w:t>objectif d</w:t>
      </w:r>
      <w:r w:rsidR="00DD2F89">
        <w:rPr>
          <w:rFonts w:ascii="Arial" w:hAnsi="Arial"/>
          <w:snapToGrid w:val="0"/>
          <w:sz w:val="22"/>
          <w:szCs w:val="22"/>
        </w:rPr>
        <w:t>’</w:t>
      </w:r>
      <w:r>
        <w:rPr>
          <w:rFonts w:ascii="Arial" w:hAnsi="Arial"/>
          <w:snapToGrid w:val="0"/>
          <w:sz w:val="22"/>
          <w:szCs w:val="22"/>
        </w:rPr>
        <w:t>exploiter les possibilités de renforcer la synergie, l</w:t>
      </w:r>
      <w:r w:rsidR="00DD2F89">
        <w:rPr>
          <w:rFonts w:ascii="Arial" w:hAnsi="Arial"/>
          <w:snapToGrid w:val="0"/>
          <w:sz w:val="22"/>
          <w:szCs w:val="22"/>
        </w:rPr>
        <w:t>’</w:t>
      </w:r>
      <w:r>
        <w:rPr>
          <w:rFonts w:ascii="Arial" w:hAnsi="Arial"/>
          <w:snapToGrid w:val="0"/>
          <w:sz w:val="22"/>
          <w:szCs w:val="22"/>
        </w:rPr>
        <w:t>harmonisation, l</w:t>
      </w:r>
      <w:r w:rsidR="00DD2F89">
        <w:rPr>
          <w:rFonts w:ascii="Arial" w:hAnsi="Arial"/>
          <w:snapToGrid w:val="0"/>
          <w:sz w:val="22"/>
          <w:szCs w:val="22"/>
        </w:rPr>
        <w:t>’</w:t>
      </w:r>
      <w:r>
        <w:rPr>
          <w:rFonts w:ascii="Arial" w:hAnsi="Arial"/>
          <w:snapToGrid w:val="0"/>
          <w:sz w:val="22"/>
          <w:szCs w:val="22"/>
        </w:rPr>
        <w:t>efficacité et l</w:t>
      </w:r>
      <w:r w:rsidR="00DD2F89">
        <w:rPr>
          <w:rFonts w:ascii="Arial" w:hAnsi="Arial"/>
          <w:snapToGrid w:val="0"/>
          <w:sz w:val="22"/>
          <w:szCs w:val="22"/>
        </w:rPr>
        <w:t>’</w:t>
      </w:r>
      <w:r>
        <w:rPr>
          <w:rFonts w:ascii="Arial" w:hAnsi="Arial"/>
          <w:snapToGrid w:val="0"/>
          <w:sz w:val="22"/>
          <w:szCs w:val="22"/>
        </w:rPr>
        <w:t xml:space="preserve">impact. Par cette même </w:t>
      </w:r>
      <w:r w:rsidR="005E2285">
        <w:rPr>
          <w:rFonts w:ascii="Arial" w:hAnsi="Arial"/>
          <w:snapToGrid w:val="0"/>
          <w:sz w:val="22"/>
          <w:szCs w:val="22"/>
        </w:rPr>
        <w:t>r</w:t>
      </w:r>
      <w:r>
        <w:rPr>
          <w:rFonts w:ascii="Arial" w:hAnsi="Arial"/>
          <w:snapToGrid w:val="0"/>
          <w:sz w:val="22"/>
          <w:szCs w:val="22"/>
        </w:rPr>
        <w:t>ésolution, la Conférence générale a invité le Conseil exécutif, la Directrice générale et les organes directeurs des différents organes examinés à mettre en œuvre ces recommandations, selon le cas.</w:t>
      </w:r>
    </w:p>
    <w:p w14:paraId="4D8A446F" w14:textId="5AC88A29" w:rsidR="005F2A8E" w:rsidRPr="00D515E2" w:rsidRDefault="0078112B" w:rsidP="00E6448D">
      <w:pPr>
        <w:pStyle w:val="ListParagraph"/>
        <w:numPr>
          <w:ilvl w:val="0"/>
          <w:numId w:val="5"/>
        </w:numPr>
        <w:spacing w:after="120"/>
        <w:ind w:left="567" w:hanging="56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 xml:space="preserve">examen de ce point lors de la douzième session du Comité (voir le </w:t>
      </w:r>
      <w:r w:rsidRPr="00E6448D">
        <w:rPr>
          <w:rFonts w:ascii="Arial" w:hAnsi="Arial" w:cs="Arial"/>
          <w:sz w:val="22"/>
          <w:szCs w:val="22"/>
        </w:rPr>
        <w:t>document</w:t>
      </w:r>
      <w:r w:rsidR="00543935" w:rsidRPr="00E6448D">
        <w:rPr>
          <w:rFonts w:ascii="Arial" w:hAnsi="Arial" w:cs="Arial"/>
          <w:sz w:val="22"/>
          <w:szCs w:val="22"/>
        </w:rPr>
        <w:t> </w:t>
      </w:r>
      <w:hyperlink r:id="rId9" w:history="1">
        <w:r w:rsidRPr="00E6448D">
          <w:rPr>
            <w:rStyle w:val="Hyperlink"/>
            <w:rFonts w:ascii="Arial" w:hAnsi="Arial" w:cs="Arial"/>
            <w:snapToGrid w:val="0"/>
            <w:sz w:val="22"/>
            <w:szCs w:val="22"/>
          </w:rPr>
          <w:t>ITH/17/12.COM/16</w:t>
        </w:r>
      </w:hyperlink>
      <w:r>
        <w:rPr>
          <w:rFonts w:ascii="Arial" w:hAnsi="Arial"/>
          <w:sz w:val="22"/>
          <w:szCs w:val="22"/>
        </w:rPr>
        <w:t xml:space="preserve">) </w:t>
      </w:r>
      <w:r>
        <w:rPr>
          <w:rFonts w:ascii="Arial" w:hAnsi="Arial"/>
          <w:snapToGrid w:val="0"/>
          <w:sz w:val="22"/>
          <w:szCs w:val="22"/>
        </w:rPr>
        <w:t xml:space="preserve">était limité à la recommandation mentionnant précisément la Convention de 2003 (Recommandation 107, Annexe II du </w:t>
      </w:r>
      <w:hyperlink r:id="rId10" w:history="1">
        <w:r>
          <w:rPr>
            <w:rStyle w:val="Hyperlink"/>
            <w:rFonts w:ascii="Arial" w:hAnsi="Arial"/>
            <w:snapToGrid w:val="0"/>
            <w:sz w:val="22"/>
            <w:szCs w:val="22"/>
          </w:rPr>
          <w:t>document 39 C/70</w:t>
        </w:r>
      </w:hyperlink>
      <w:r>
        <w:rPr>
          <w:rFonts w:ascii="Arial" w:hAnsi="Arial"/>
          <w:snapToGrid w:val="0"/>
          <w:sz w:val="22"/>
          <w:szCs w:val="22"/>
        </w:rPr>
        <w:t>). Après ses délibérations, le Comité a invité le groupe de travail informel ad hoc à composition non limitée de la Convention de 2003, créé par le Comité, à faciliter la mise en œuvre des recommandations concernées (</w:t>
      </w:r>
      <w:r w:rsidR="00543935">
        <w:rPr>
          <w:rFonts w:ascii="Arial" w:hAnsi="Arial"/>
          <w:snapToGrid w:val="0"/>
          <w:sz w:val="22"/>
          <w:szCs w:val="22"/>
        </w:rPr>
        <w:t>d</w:t>
      </w:r>
      <w:r>
        <w:rPr>
          <w:rFonts w:ascii="Arial" w:hAnsi="Arial"/>
          <w:snapToGrid w:val="0"/>
          <w:sz w:val="22"/>
          <w:szCs w:val="22"/>
        </w:rPr>
        <w:t>écisions </w:t>
      </w:r>
      <w:hyperlink r:id="rId11" w:history="1">
        <w:r>
          <w:rPr>
            <w:rStyle w:val="Hyperlink"/>
            <w:rFonts w:ascii="Arial" w:hAnsi="Arial"/>
            <w:snapToGrid w:val="0"/>
            <w:sz w:val="22"/>
            <w:szCs w:val="22"/>
          </w:rPr>
          <w:t>12.COM</w:t>
        </w:r>
        <w:r w:rsidR="00E6448D">
          <w:rPr>
            <w:rStyle w:val="Hyperlink"/>
            <w:rFonts w:ascii="Arial" w:hAnsi="Arial"/>
            <w:snapToGrid w:val="0"/>
            <w:sz w:val="22"/>
            <w:szCs w:val="22"/>
          </w:rPr>
          <w:t> </w:t>
        </w:r>
        <w:r>
          <w:rPr>
            <w:rStyle w:val="Hyperlink"/>
            <w:rFonts w:ascii="Arial" w:hAnsi="Arial"/>
            <w:snapToGrid w:val="0"/>
            <w:sz w:val="22"/>
            <w:szCs w:val="22"/>
          </w:rPr>
          <w:t>16</w:t>
        </w:r>
      </w:hyperlink>
      <w:r>
        <w:rPr>
          <w:rFonts w:ascii="Arial" w:hAnsi="Arial"/>
          <w:snapToGrid w:val="0"/>
          <w:sz w:val="22"/>
          <w:szCs w:val="22"/>
        </w:rPr>
        <w:t xml:space="preserve"> et </w:t>
      </w:r>
      <w:hyperlink r:id="rId12" w:history="1">
        <w:r>
          <w:rPr>
            <w:rStyle w:val="Hyperlink"/>
            <w:rFonts w:ascii="Arial" w:hAnsi="Arial"/>
            <w:snapToGrid w:val="0"/>
            <w:sz w:val="22"/>
            <w:szCs w:val="22"/>
          </w:rPr>
          <w:t>12.COM</w:t>
        </w:r>
        <w:r w:rsidR="00E6448D">
          <w:rPr>
            <w:rStyle w:val="Hyperlink"/>
            <w:rFonts w:ascii="Arial" w:hAnsi="Arial"/>
            <w:snapToGrid w:val="0"/>
            <w:sz w:val="22"/>
            <w:szCs w:val="22"/>
          </w:rPr>
          <w:t> </w:t>
        </w:r>
        <w:r>
          <w:rPr>
            <w:rStyle w:val="Hyperlink"/>
            <w:rFonts w:ascii="Arial" w:hAnsi="Arial"/>
            <w:snapToGrid w:val="0"/>
            <w:sz w:val="22"/>
            <w:szCs w:val="22"/>
          </w:rPr>
          <w:t>13</w:t>
        </w:r>
      </w:hyperlink>
      <w:r>
        <w:rPr>
          <w:rFonts w:ascii="Arial" w:hAnsi="Arial"/>
          <w:snapToGrid w:val="0"/>
          <w:sz w:val="22"/>
          <w:szCs w:val="22"/>
        </w:rPr>
        <w:t>). Il a également été décidé de porter ce point à l</w:t>
      </w:r>
      <w:r w:rsidR="00DD2F89">
        <w:rPr>
          <w:rFonts w:ascii="Arial" w:hAnsi="Arial"/>
          <w:snapToGrid w:val="0"/>
          <w:sz w:val="22"/>
          <w:szCs w:val="22"/>
        </w:rPr>
        <w:t>’</w:t>
      </w:r>
      <w:r>
        <w:rPr>
          <w:rFonts w:ascii="Arial" w:hAnsi="Arial"/>
          <w:snapToGrid w:val="0"/>
          <w:sz w:val="22"/>
          <w:szCs w:val="22"/>
        </w:rPr>
        <w:t>ordre du jour de sa treizième session (</w:t>
      </w:r>
      <w:hyperlink r:id="rId13" w:history="1">
        <w:r w:rsidR="00543935">
          <w:rPr>
            <w:rStyle w:val="Hyperlink"/>
            <w:rFonts w:ascii="Arial" w:hAnsi="Arial"/>
            <w:snapToGrid w:val="0"/>
            <w:sz w:val="22"/>
            <w:szCs w:val="22"/>
          </w:rPr>
          <w:t>d</w:t>
        </w:r>
        <w:r>
          <w:rPr>
            <w:rStyle w:val="Hyperlink"/>
            <w:rFonts w:ascii="Arial" w:hAnsi="Arial"/>
            <w:snapToGrid w:val="0"/>
            <w:sz w:val="22"/>
            <w:szCs w:val="22"/>
          </w:rPr>
          <w:t>écision 12.COM</w:t>
        </w:r>
        <w:r w:rsidR="00E6448D">
          <w:rPr>
            <w:rStyle w:val="Hyperlink"/>
            <w:rFonts w:ascii="Arial" w:hAnsi="Arial"/>
            <w:snapToGrid w:val="0"/>
            <w:sz w:val="22"/>
            <w:szCs w:val="22"/>
          </w:rPr>
          <w:t> </w:t>
        </w:r>
        <w:r>
          <w:rPr>
            <w:rStyle w:val="Hyperlink"/>
            <w:rFonts w:ascii="Arial" w:hAnsi="Arial"/>
            <w:snapToGrid w:val="0"/>
            <w:sz w:val="22"/>
            <w:szCs w:val="22"/>
          </w:rPr>
          <w:t>16</w:t>
        </w:r>
      </w:hyperlink>
      <w:r>
        <w:rPr>
          <w:rFonts w:ascii="Arial" w:hAnsi="Arial"/>
          <w:snapToGrid w:val="0"/>
          <w:sz w:val="22"/>
          <w:szCs w:val="22"/>
        </w:rPr>
        <w:t>). Le rapport du groupe de travail informel ad hoc à composition non limitée de la Convention de 2003, soumis lors de la présente session du Comité (documen</w:t>
      </w:r>
      <w:r w:rsidRPr="00E6448D">
        <w:rPr>
          <w:rFonts w:ascii="Arial" w:hAnsi="Arial"/>
          <w:snapToGrid w:val="0"/>
          <w:sz w:val="22"/>
          <w:szCs w:val="22"/>
        </w:rPr>
        <w:t>t </w:t>
      </w:r>
      <w:hyperlink r:id="rId14" w:history="1">
        <w:r w:rsidRPr="00E6448D">
          <w:rPr>
            <w:rStyle w:val="Hyperlink"/>
            <w:rFonts w:ascii="Arial" w:hAnsi="Arial"/>
            <w:snapToGrid w:val="0"/>
            <w:sz w:val="22"/>
            <w:szCs w:val="22"/>
          </w:rPr>
          <w:t>ITH/18/13.COM/16</w:t>
        </w:r>
      </w:hyperlink>
      <w:r>
        <w:rPr>
          <w:rFonts w:ascii="Arial" w:hAnsi="Arial"/>
          <w:snapToGrid w:val="0"/>
          <w:sz w:val="22"/>
          <w:szCs w:val="22"/>
        </w:rPr>
        <w:t>), comporte des informations sur les discussions du groupe de travail à la suite de la douzième session du Comité concernant les recommandations applicables sur la gouvernance.</w:t>
      </w:r>
    </w:p>
    <w:p w14:paraId="4C702453" w14:textId="112CB363" w:rsidR="00880511" w:rsidRPr="00EE4900" w:rsidRDefault="00792CEB" w:rsidP="00974C6E">
      <w:pPr>
        <w:pStyle w:val="ListParagraph"/>
        <w:numPr>
          <w:ilvl w:val="0"/>
          <w:numId w:val="5"/>
        </w:numPr>
        <w:spacing w:after="120"/>
        <w:ind w:left="567" w:hanging="567"/>
        <w:contextualSpacing w:val="0"/>
        <w:jc w:val="both"/>
        <w:rPr>
          <w:rFonts w:ascii="Arial" w:hAnsi="Arial" w:cs="Arial"/>
          <w:sz w:val="22"/>
          <w:szCs w:val="22"/>
        </w:rPr>
      </w:pPr>
      <w:r>
        <w:rPr>
          <w:rFonts w:ascii="Arial" w:hAnsi="Arial"/>
          <w:snapToGrid w:val="0"/>
          <w:sz w:val="22"/>
          <w:szCs w:val="22"/>
        </w:rPr>
        <w:t>Conformément aux indications fournies au cours de cette session du Comité, le Secrétariat a préparé un tableau à soumettre à l</w:t>
      </w:r>
      <w:r w:rsidR="00DD2F89">
        <w:rPr>
          <w:rFonts w:ascii="Arial" w:hAnsi="Arial"/>
          <w:snapToGrid w:val="0"/>
          <w:sz w:val="22"/>
          <w:szCs w:val="22"/>
        </w:rPr>
        <w:t>’</w:t>
      </w:r>
      <w:r>
        <w:rPr>
          <w:rFonts w:ascii="Arial" w:hAnsi="Arial"/>
          <w:snapToGrid w:val="0"/>
          <w:sz w:val="22"/>
          <w:szCs w:val="22"/>
        </w:rPr>
        <w:t>examen de la septième session de l</w:t>
      </w:r>
      <w:r w:rsidR="00DD2F89">
        <w:rPr>
          <w:rFonts w:ascii="Arial" w:hAnsi="Arial"/>
          <w:snapToGrid w:val="0"/>
          <w:sz w:val="22"/>
          <w:szCs w:val="22"/>
        </w:rPr>
        <w:t>’</w:t>
      </w:r>
      <w:r>
        <w:rPr>
          <w:rFonts w:ascii="Arial" w:hAnsi="Arial"/>
          <w:snapToGrid w:val="0"/>
          <w:sz w:val="22"/>
          <w:szCs w:val="22"/>
        </w:rPr>
        <w:t>Assemblée générale. Celui-ci répertorie un ensemble de recommandations pouvant être considérées comme directement liées aux organes directeurs de la Convention de 2003. Chacune de ces recommandations s</w:t>
      </w:r>
      <w:r w:rsidR="00DD2F89">
        <w:rPr>
          <w:rFonts w:ascii="Arial" w:hAnsi="Arial"/>
          <w:snapToGrid w:val="0"/>
          <w:sz w:val="22"/>
          <w:szCs w:val="22"/>
        </w:rPr>
        <w:t>’</w:t>
      </w:r>
      <w:r>
        <w:rPr>
          <w:rFonts w:ascii="Arial" w:hAnsi="Arial"/>
          <w:snapToGrid w:val="0"/>
          <w:sz w:val="22"/>
          <w:szCs w:val="22"/>
        </w:rPr>
        <w:t>accompagnait d</w:t>
      </w:r>
      <w:r w:rsidR="00DD2F89">
        <w:rPr>
          <w:rFonts w:ascii="Arial" w:hAnsi="Arial"/>
          <w:snapToGrid w:val="0"/>
          <w:sz w:val="22"/>
          <w:szCs w:val="22"/>
        </w:rPr>
        <w:t>’</w:t>
      </w:r>
      <w:r>
        <w:rPr>
          <w:rFonts w:ascii="Arial" w:hAnsi="Arial"/>
          <w:snapToGrid w:val="0"/>
          <w:sz w:val="22"/>
          <w:szCs w:val="22"/>
        </w:rPr>
        <w:t>explications sur l</w:t>
      </w:r>
      <w:r w:rsidR="00DD2F89">
        <w:rPr>
          <w:rFonts w:ascii="Arial" w:hAnsi="Arial"/>
          <w:snapToGrid w:val="0"/>
          <w:sz w:val="22"/>
          <w:szCs w:val="22"/>
        </w:rPr>
        <w:t>’</w:t>
      </w:r>
      <w:r>
        <w:rPr>
          <w:rFonts w:ascii="Arial" w:hAnsi="Arial"/>
          <w:snapToGrid w:val="0"/>
          <w:sz w:val="22"/>
          <w:szCs w:val="22"/>
        </w:rPr>
        <w:t>état d</w:t>
      </w:r>
      <w:r w:rsidR="00DD2F89">
        <w:rPr>
          <w:rFonts w:ascii="Arial" w:hAnsi="Arial"/>
          <w:snapToGrid w:val="0"/>
          <w:sz w:val="22"/>
          <w:szCs w:val="22"/>
        </w:rPr>
        <w:t>’</w:t>
      </w:r>
      <w:r>
        <w:rPr>
          <w:rFonts w:ascii="Arial" w:hAnsi="Arial"/>
          <w:snapToGrid w:val="0"/>
          <w:sz w:val="22"/>
          <w:szCs w:val="22"/>
        </w:rPr>
        <w:t xml:space="preserve">avancement de </w:t>
      </w:r>
      <w:r w:rsidR="00BC4CE9">
        <w:rPr>
          <w:rFonts w:ascii="Arial" w:hAnsi="Arial"/>
          <w:snapToGrid w:val="0"/>
          <w:sz w:val="22"/>
          <w:szCs w:val="22"/>
        </w:rPr>
        <w:t>s</w:t>
      </w:r>
      <w:r>
        <w:rPr>
          <w:rFonts w:ascii="Arial" w:hAnsi="Arial"/>
          <w:snapToGrid w:val="0"/>
          <w:sz w:val="22"/>
          <w:szCs w:val="22"/>
        </w:rPr>
        <w:t>a mise en œuvre. Pour chacune des recommandations sélectionnées, l</w:t>
      </w:r>
      <w:r w:rsidR="00DD2F89">
        <w:rPr>
          <w:rFonts w:ascii="Arial" w:hAnsi="Arial"/>
          <w:snapToGrid w:val="0"/>
          <w:sz w:val="22"/>
          <w:szCs w:val="22"/>
        </w:rPr>
        <w:t>’</w:t>
      </w:r>
      <w:r>
        <w:rPr>
          <w:rFonts w:ascii="Arial" w:hAnsi="Arial"/>
          <w:snapToGrid w:val="0"/>
          <w:sz w:val="22"/>
          <w:szCs w:val="22"/>
        </w:rPr>
        <w:t>appartenance à l</w:t>
      </w:r>
      <w:r w:rsidR="00DD2F89">
        <w:rPr>
          <w:rFonts w:ascii="Arial" w:hAnsi="Arial"/>
          <w:snapToGrid w:val="0"/>
          <w:sz w:val="22"/>
          <w:szCs w:val="22"/>
        </w:rPr>
        <w:t>’</w:t>
      </w:r>
      <w:r>
        <w:rPr>
          <w:rFonts w:ascii="Arial" w:hAnsi="Arial"/>
          <w:snapToGrid w:val="0"/>
          <w:sz w:val="22"/>
          <w:szCs w:val="22"/>
        </w:rPr>
        <w:t>une des quatre catégories suivantes était également indiquée : « mise en œuvre achevée », « action en cours », « action proposée » ou « action nécessaire des États parties » (</w:t>
      </w:r>
      <w:r w:rsidR="00E6448D">
        <w:rPr>
          <w:rFonts w:ascii="Arial" w:hAnsi="Arial"/>
          <w:sz w:val="22"/>
          <w:szCs w:val="22"/>
        </w:rPr>
        <w:t>document</w:t>
      </w:r>
      <w:r w:rsidR="009F3EB0">
        <w:rPr>
          <w:rFonts w:ascii="Arial" w:hAnsi="Arial"/>
          <w:sz w:val="22"/>
          <w:szCs w:val="22"/>
        </w:rPr>
        <w:t> </w:t>
      </w:r>
      <w:hyperlink r:id="rId15" w:history="1">
        <w:r>
          <w:rPr>
            <w:rStyle w:val="Hyperlink"/>
            <w:rFonts w:ascii="Arial" w:hAnsi="Arial"/>
            <w:snapToGrid w:val="0"/>
            <w:sz w:val="22"/>
            <w:szCs w:val="22"/>
          </w:rPr>
          <w:t>ITH/18/7.GA/12</w:t>
        </w:r>
      </w:hyperlink>
      <w:r>
        <w:rPr>
          <w:rFonts w:ascii="Arial" w:hAnsi="Arial"/>
          <w:snapToGrid w:val="0"/>
          <w:sz w:val="22"/>
          <w:szCs w:val="22"/>
        </w:rPr>
        <w:t>).</w:t>
      </w:r>
    </w:p>
    <w:p w14:paraId="052E615E" w14:textId="27680350" w:rsidR="006300F5" w:rsidRPr="00E24424" w:rsidRDefault="00B07CEE" w:rsidP="0078475A">
      <w:pPr>
        <w:pStyle w:val="ListParagraph"/>
        <w:numPr>
          <w:ilvl w:val="0"/>
          <w:numId w:val="5"/>
        </w:numPr>
        <w:spacing w:after="120"/>
        <w:ind w:left="567" w:hanging="567"/>
        <w:contextualSpacing w:val="0"/>
        <w:jc w:val="both"/>
        <w:rPr>
          <w:rFonts w:ascii="Arial" w:hAnsi="Arial" w:cs="Arial"/>
          <w:snapToGrid w:val="0"/>
          <w:sz w:val="22"/>
          <w:szCs w:val="22"/>
        </w:rPr>
      </w:pPr>
      <w:r>
        <w:rPr>
          <w:rFonts w:ascii="Arial" w:hAnsi="Arial"/>
          <w:snapToGrid w:val="0"/>
          <w:sz w:val="22"/>
          <w:szCs w:val="22"/>
        </w:rPr>
        <w:t xml:space="preserve">Nombre des recommandations portaient sur les modifications possibles du règlement intérieur des organes directeurs de la Convention de 2003. En ce sens, elles étaient conformes aux observations exprimées précédemment et en </w:t>
      </w:r>
      <w:r w:rsidRPr="00E24424">
        <w:rPr>
          <w:rFonts w:ascii="Arial" w:hAnsi="Arial" w:cs="Arial"/>
          <w:snapToGrid w:val="0"/>
          <w:sz w:val="22"/>
          <w:szCs w:val="22"/>
        </w:rPr>
        <w:t>particulier par la sixième session de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des États parties à la Convention de 2003, qui a noté les disparités entre les règlements intérieurs des différents organes des conventions de l</w:t>
      </w:r>
      <w:r w:rsidR="00DD2F89" w:rsidRPr="00E24424">
        <w:rPr>
          <w:rFonts w:ascii="Arial" w:hAnsi="Arial" w:cs="Arial"/>
          <w:snapToGrid w:val="0"/>
          <w:sz w:val="22"/>
          <w:szCs w:val="22"/>
        </w:rPr>
        <w:t>’</w:t>
      </w:r>
      <w:r w:rsidRPr="00E24424">
        <w:rPr>
          <w:rFonts w:ascii="Arial" w:hAnsi="Arial" w:cs="Arial"/>
          <w:snapToGrid w:val="0"/>
          <w:sz w:val="22"/>
          <w:szCs w:val="22"/>
        </w:rPr>
        <w:t>UNESCO dans le domaine de la culture. Par conséquent, cette</w:t>
      </w:r>
      <w:r w:rsidR="0078475A" w:rsidRPr="00E24424">
        <w:rPr>
          <w:rFonts w:ascii="Arial" w:hAnsi="Arial" w:cs="Arial"/>
          <w:snapToGrid w:val="0"/>
          <w:sz w:val="22"/>
          <w:szCs w:val="22"/>
        </w:rPr>
        <w:t xml:space="preserve"> </w:t>
      </w:r>
      <w:r w:rsidRPr="00E24424">
        <w:rPr>
          <w:rFonts w:ascii="Arial" w:hAnsi="Arial" w:cs="Arial"/>
          <w:snapToGrid w:val="0"/>
          <w:sz w:val="22"/>
          <w:szCs w:val="22"/>
        </w:rPr>
        <w:t>session de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a invité les États parties à proposer des modifications de son Règlement intérieur (</w:t>
      </w:r>
      <w:hyperlink r:id="rId16" w:history="1">
        <w:r w:rsidR="00543935" w:rsidRPr="00E24424">
          <w:rPr>
            <w:rStyle w:val="Hyperlink"/>
            <w:rFonts w:ascii="Arial" w:hAnsi="Arial" w:cs="Arial"/>
            <w:snapToGrid w:val="0"/>
            <w:sz w:val="22"/>
            <w:szCs w:val="22"/>
          </w:rPr>
          <w:t>r</w:t>
        </w:r>
        <w:r w:rsidRPr="00E24424">
          <w:rPr>
            <w:rStyle w:val="Hyperlink"/>
            <w:rFonts w:ascii="Arial" w:hAnsi="Arial" w:cs="Arial"/>
            <w:snapToGrid w:val="0"/>
            <w:sz w:val="22"/>
            <w:szCs w:val="22"/>
          </w:rPr>
          <w:t>ésolution 6.GA 11</w:t>
        </w:r>
      </w:hyperlink>
      <w:r w:rsidRPr="00E24424">
        <w:rPr>
          <w:rStyle w:val="Hyperlink"/>
          <w:rFonts w:ascii="Arial" w:hAnsi="Arial" w:cs="Arial"/>
          <w:snapToGrid w:val="0"/>
          <w:color w:val="auto"/>
          <w:sz w:val="22"/>
          <w:szCs w:val="22"/>
          <w:u w:val="none"/>
        </w:rPr>
        <w:t>)</w:t>
      </w:r>
      <w:r w:rsidRPr="00E24424">
        <w:rPr>
          <w:rFonts w:ascii="Arial" w:hAnsi="Arial" w:cs="Arial"/>
          <w:snapToGrid w:val="0"/>
          <w:sz w:val="22"/>
          <w:szCs w:val="22"/>
        </w:rPr>
        <w:t>. Ainsi, lors de sa septième session, l</w:t>
      </w:r>
      <w:r w:rsidR="00DD2F89" w:rsidRPr="00E24424">
        <w:rPr>
          <w:rFonts w:ascii="Arial" w:hAnsi="Arial" w:cs="Arial"/>
          <w:snapToGrid w:val="0"/>
          <w:sz w:val="22"/>
          <w:szCs w:val="22"/>
        </w:rPr>
        <w:t>’</w:t>
      </w:r>
      <w:r w:rsidRPr="00E24424">
        <w:rPr>
          <w:rFonts w:ascii="Arial" w:hAnsi="Arial" w:cs="Arial"/>
          <w:snapToGrid w:val="0"/>
          <w:sz w:val="22"/>
          <w:szCs w:val="22"/>
        </w:rPr>
        <w:t xml:space="preserve">Assemblée générale a été invitée à examiner les modifications possibles de son Règlement intérieur (voir le </w:t>
      </w:r>
      <w:r w:rsidRPr="00E24424">
        <w:rPr>
          <w:rFonts w:ascii="Arial" w:hAnsi="Arial" w:cs="Arial"/>
          <w:sz w:val="22"/>
          <w:szCs w:val="22"/>
        </w:rPr>
        <w:t xml:space="preserve">document </w:t>
      </w:r>
      <w:hyperlink r:id="rId17" w:history="1">
        <w:r w:rsidRPr="00E24424">
          <w:rPr>
            <w:rStyle w:val="Hyperlink"/>
            <w:rFonts w:ascii="Arial" w:hAnsi="Arial" w:cs="Arial"/>
            <w:snapToGrid w:val="0"/>
            <w:sz w:val="22"/>
            <w:szCs w:val="22"/>
          </w:rPr>
          <w:t>ITH/18/7.GA/13</w:t>
        </w:r>
      </w:hyperlink>
      <w:r w:rsidRPr="00E24424">
        <w:rPr>
          <w:rFonts w:ascii="Arial" w:hAnsi="Arial" w:cs="Arial"/>
          <w:snapToGrid w:val="0"/>
          <w:sz w:val="22"/>
          <w:szCs w:val="22"/>
        </w:rPr>
        <w:t>).</w:t>
      </w:r>
    </w:p>
    <w:p w14:paraId="5F5A0520" w14:textId="4C18FCEA" w:rsidR="001A50F7" w:rsidRPr="00E24424" w:rsidRDefault="00792CEB" w:rsidP="00E24424">
      <w:pPr>
        <w:pStyle w:val="ListParagraph"/>
        <w:numPr>
          <w:ilvl w:val="0"/>
          <w:numId w:val="5"/>
        </w:numPr>
        <w:spacing w:after="120"/>
        <w:ind w:left="567" w:hanging="567"/>
        <w:contextualSpacing w:val="0"/>
        <w:jc w:val="both"/>
        <w:rPr>
          <w:rFonts w:ascii="Arial" w:hAnsi="Arial" w:cs="Arial"/>
          <w:snapToGrid w:val="0"/>
          <w:sz w:val="22"/>
          <w:szCs w:val="22"/>
        </w:rPr>
      </w:pPr>
      <w:r w:rsidRPr="00E24424">
        <w:rPr>
          <w:rFonts w:ascii="Arial" w:hAnsi="Arial" w:cs="Arial"/>
          <w:snapToGrid w:val="0"/>
          <w:sz w:val="22"/>
          <w:szCs w:val="22"/>
        </w:rPr>
        <w:t>Confrontée à une situation impliquant deux processus parallèles,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a, lors de sa septième session, considéré que ces deux points ne peuvent pas être abordés séparément. Elle a donc décidé d</w:t>
      </w:r>
      <w:r w:rsidR="00DD2F89" w:rsidRPr="00E24424">
        <w:rPr>
          <w:rFonts w:ascii="Arial" w:hAnsi="Arial" w:cs="Arial"/>
          <w:snapToGrid w:val="0"/>
          <w:sz w:val="22"/>
          <w:szCs w:val="22"/>
        </w:rPr>
        <w:t>’</w:t>
      </w:r>
      <w:r w:rsidRPr="00E24424">
        <w:rPr>
          <w:rFonts w:ascii="Arial" w:hAnsi="Arial" w:cs="Arial"/>
          <w:snapToGrid w:val="0"/>
          <w:sz w:val="22"/>
          <w:szCs w:val="22"/>
        </w:rPr>
        <w:t>examiner les modifications du Règlement intérieur de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dans le cadre des recommandations du groupe de travail à composition non limitée, dans le but de produire un seul groupe de modifications consolidées (</w:t>
      </w:r>
      <w:r w:rsidR="009F3EB0" w:rsidRPr="00E24424">
        <w:rPr>
          <w:rFonts w:ascii="Arial" w:hAnsi="Arial" w:cs="Arial"/>
          <w:snapToGrid w:val="0"/>
          <w:sz w:val="22"/>
          <w:szCs w:val="22"/>
        </w:rPr>
        <w:t>r</w:t>
      </w:r>
      <w:r w:rsidRPr="00E24424">
        <w:rPr>
          <w:rFonts w:ascii="Arial" w:hAnsi="Arial" w:cs="Arial"/>
          <w:snapToGrid w:val="0"/>
          <w:sz w:val="22"/>
          <w:szCs w:val="22"/>
        </w:rPr>
        <w:t>ésolutions</w:t>
      </w:r>
      <w:r w:rsidR="009F3EB0" w:rsidRPr="00E24424">
        <w:rPr>
          <w:rFonts w:ascii="Arial" w:hAnsi="Arial" w:cs="Arial"/>
          <w:snapToGrid w:val="0"/>
          <w:sz w:val="22"/>
          <w:szCs w:val="22"/>
        </w:rPr>
        <w:t> </w:t>
      </w:r>
      <w:hyperlink r:id="rId18" w:history="1">
        <w:r w:rsidR="00E24424" w:rsidRPr="00E24424">
          <w:rPr>
            <w:rStyle w:val="Hyperlink"/>
            <w:rFonts w:ascii="Arial" w:hAnsi="Arial" w:cs="Arial"/>
            <w:sz w:val="22"/>
            <w:szCs w:val="22"/>
          </w:rPr>
          <w:t>7.GA </w:t>
        </w:r>
        <w:r w:rsidRPr="00E24424">
          <w:rPr>
            <w:rStyle w:val="Hyperlink"/>
            <w:rFonts w:ascii="Arial" w:hAnsi="Arial" w:cs="Arial"/>
            <w:sz w:val="22"/>
            <w:szCs w:val="22"/>
          </w:rPr>
          <w:t>12</w:t>
        </w:r>
      </w:hyperlink>
      <w:r w:rsidRPr="00E24424">
        <w:rPr>
          <w:rFonts w:ascii="Arial" w:hAnsi="Arial" w:cs="Arial"/>
          <w:snapToGrid w:val="0"/>
          <w:sz w:val="22"/>
          <w:szCs w:val="22"/>
        </w:rPr>
        <w:t xml:space="preserve"> et </w:t>
      </w:r>
      <w:hyperlink r:id="rId19" w:history="1">
        <w:r w:rsidR="00E24424" w:rsidRPr="00E24424">
          <w:rPr>
            <w:rStyle w:val="Hyperlink"/>
            <w:rFonts w:ascii="Arial" w:hAnsi="Arial" w:cs="Arial"/>
            <w:sz w:val="22"/>
            <w:szCs w:val="22"/>
          </w:rPr>
          <w:t>7.GA </w:t>
        </w:r>
        <w:r w:rsidRPr="00E24424">
          <w:rPr>
            <w:rStyle w:val="Hyperlink"/>
            <w:rFonts w:ascii="Arial" w:hAnsi="Arial" w:cs="Arial"/>
            <w:sz w:val="22"/>
            <w:szCs w:val="22"/>
          </w:rPr>
          <w:t>13</w:t>
        </w:r>
      </w:hyperlink>
      <w:r w:rsidRPr="00E24424">
        <w:rPr>
          <w:rFonts w:ascii="Arial" w:hAnsi="Arial" w:cs="Arial"/>
          <w:snapToGrid w:val="0"/>
          <w:sz w:val="22"/>
          <w:szCs w:val="22"/>
        </w:rPr>
        <w:t>). Concrètement,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a demandé au Secrétariat de proposer, en consultation avec les États parties, des moyens d</w:t>
      </w:r>
      <w:r w:rsidR="00DD2F89" w:rsidRPr="00E24424">
        <w:rPr>
          <w:rFonts w:ascii="Arial" w:hAnsi="Arial" w:cs="Arial"/>
          <w:snapToGrid w:val="0"/>
          <w:sz w:val="22"/>
          <w:szCs w:val="22"/>
        </w:rPr>
        <w:t>’</w:t>
      </w:r>
      <w:r w:rsidRPr="00E24424">
        <w:rPr>
          <w:rFonts w:ascii="Arial" w:hAnsi="Arial" w:cs="Arial"/>
          <w:snapToGrid w:val="0"/>
          <w:sz w:val="22"/>
          <w:szCs w:val="22"/>
        </w:rPr>
        <w:t>assurer la mise en œuvre des recommandations du groupe de travail à composition non limitée. Réaffirmant la nécessité d</w:t>
      </w:r>
      <w:r w:rsidR="00DD2F89" w:rsidRPr="00E24424">
        <w:rPr>
          <w:rFonts w:ascii="Arial" w:hAnsi="Arial" w:cs="Arial"/>
          <w:snapToGrid w:val="0"/>
          <w:sz w:val="22"/>
          <w:szCs w:val="22"/>
        </w:rPr>
        <w:t>’</w:t>
      </w:r>
      <w:r w:rsidRPr="00E24424">
        <w:rPr>
          <w:rFonts w:ascii="Arial" w:hAnsi="Arial" w:cs="Arial"/>
          <w:snapToGrid w:val="0"/>
          <w:sz w:val="22"/>
          <w:szCs w:val="22"/>
        </w:rPr>
        <w:t>harmoniser, le cas échéant, les règlements intérieurs des organes directeurs des six conventions culturelles, l</w:t>
      </w:r>
      <w:r w:rsidR="00DD2F89" w:rsidRPr="00E24424">
        <w:rPr>
          <w:rFonts w:ascii="Arial" w:hAnsi="Arial" w:cs="Arial"/>
          <w:snapToGrid w:val="0"/>
          <w:sz w:val="22"/>
          <w:szCs w:val="22"/>
        </w:rPr>
        <w:t>’</w:t>
      </w:r>
      <w:r w:rsidRPr="00E24424">
        <w:rPr>
          <w:rFonts w:ascii="Arial" w:hAnsi="Arial" w:cs="Arial"/>
          <w:snapToGrid w:val="0"/>
          <w:sz w:val="22"/>
          <w:szCs w:val="22"/>
        </w:rPr>
        <w:t>Assemblée générale a également souligné le rôle crucial du Secteur de la culture, « qui pourrait aider et faciliter ce processus en mettant à disposition une matrice contenant les amendements consolidés aux règlements intérieurs des organes susmentionnés » (</w:t>
      </w:r>
      <w:hyperlink r:id="rId20" w:history="1">
        <w:r w:rsidR="00543935" w:rsidRPr="00E24424">
          <w:rPr>
            <w:rStyle w:val="Hyperlink"/>
            <w:rFonts w:ascii="Arial" w:hAnsi="Arial" w:cs="Arial"/>
            <w:snapToGrid w:val="0"/>
            <w:sz w:val="22"/>
            <w:szCs w:val="22"/>
          </w:rPr>
          <w:t>r</w:t>
        </w:r>
        <w:r w:rsidRPr="00E24424">
          <w:rPr>
            <w:rStyle w:val="Hyperlink"/>
            <w:rFonts w:ascii="Arial" w:hAnsi="Arial" w:cs="Arial"/>
            <w:snapToGrid w:val="0"/>
            <w:sz w:val="22"/>
            <w:szCs w:val="22"/>
          </w:rPr>
          <w:t>ésolution 7.GA 13</w:t>
        </w:r>
      </w:hyperlink>
      <w:r w:rsidR="00E24424">
        <w:rPr>
          <w:rFonts w:ascii="Arial" w:hAnsi="Arial" w:cs="Arial"/>
          <w:snapToGrid w:val="0"/>
          <w:sz w:val="22"/>
          <w:szCs w:val="22"/>
        </w:rPr>
        <w:t>).</w:t>
      </w:r>
    </w:p>
    <w:p w14:paraId="1B837C63" w14:textId="55F608F4" w:rsidR="00B26DD7" w:rsidRPr="00315402" w:rsidRDefault="00B26DD7" w:rsidP="00C20BBC">
      <w:pPr>
        <w:pStyle w:val="ListParagraph"/>
        <w:numPr>
          <w:ilvl w:val="0"/>
          <w:numId w:val="5"/>
        </w:numPr>
        <w:spacing w:after="120"/>
        <w:ind w:left="567" w:hanging="567"/>
        <w:contextualSpacing w:val="0"/>
        <w:jc w:val="both"/>
        <w:rPr>
          <w:rFonts w:ascii="Arial" w:hAnsi="Arial" w:cs="Arial"/>
          <w:snapToGrid w:val="0"/>
          <w:sz w:val="22"/>
          <w:szCs w:val="22"/>
        </w:rPr>
      </w:pPr>
      <w:r>
        <w:rPr>
          <w:rFonts w:ascii="Arial" w:hAnsi="Arial"/>
          <w:snapToGrid w:val="0"/>
          <w:sz w:val="22"/>
          <w:szCs w:val="22"/>
        </w:rPr>
        <w:t>À la suite de la septième session de l</w:t>
      </w:r>
      <w:r w:rsidR="00DD2F89">
        <w:rPr>
          <w:rFonts w:ascii="Arial" w:hAnsi="Arial"/>
          <w:snapToGrid w:val="0"/>
          <w:sz w:val="22"/>
          <w:szCs w:val="22"/>
        </w:rPr>
        <w:t>’</w:t>
      </w:r>
      <w:r>
        <w:rPr>
          <w:rFonts w:ascii="Arial" w:hAnsi="Arial"/>
          <w:snapToGrid w:val="0"/>
          <w:sz w:val="22"/>
          <w:szCs w:val="22"/>
        </w:rPr>
        <w:t xml:space="preserve">Assemblée générale, le Groupe de liaison des conventions culturelles (GLCC) a examiné la </w:t>
      </w:r>
      <w:hyperlink r:id="rId21" w:history="1">
        <w:r w:rsidR="00543935">
          <w:rPr>
            <w:rStyle w:val="Hyperlink"/>
            <w:rFonts w:ascii="Arial" w:hAnsi="Arial"/>
            <w:snapToGrid w:val="0"/>
            <w:sz w:val="22"/>
            <w:szCs w:val="22"/>
          </w:rPr>
          <w:t>r</w:t>
        </w:r>
        <w:r>
          <w:rPr>
            <w:rStyle w:val="Hyperlink"/>
            <w:rFonts w:ascii="Arial" w:hAnsi="Arial"/>
            <w:snapToGrid w:val="0"/>
            <w:sz w:val="22"/>
            <w:szCs w:val="22"/>
          </w:rPr>
          <w:t>ésolution 7.GA 13</w:t>
        </w:r>
      </w:hyperlink>
      <w:r>
        <w:rPr>
          <w:snapToGrid w:val="0"/>
        </w:rPr>
        <w:t xml:space="preserve"> </w:t>
      </w:r>
      <w:r>
        <w:rPr>
          <w:rFonts w:ascii="Arial" w:hAnsi="Arial"/>
          <w:snapToGrid w:val="0"/>
          <w:sz w:val="22"/>
          <w:szCs w:val="22"/>
        </w:rPr>
        <w:t xml:space="preserve">et a décidé des étapes nécessaires à la préparation de la matrice susmentionnée. En octobre 2018, les modifications </w:t>
      </w:r>
      <w:r>
        <w:rPr>
          <w:rFonts w:ascii="Arial" w:hAnsi="Arial"/>
          <w:snapToGrid w:val="0"/>
          <w:sz w:val="22"/>
          <w:szCs w:val="22"/>
        </w:rPr>
        <w:lastRenderedPageBreak/>
        <w:t xml:space="preserve">proposées des règlements intérieurs des Conventions de 1972, de 2003 et de 2005 </w:t>
      </w:r>
      <w:r w:rsidR="00C20BBC">
        <w:rPr>
          <w:rFonts w:ascii="Arial" w:hAnsi="Arial"/>
          <w:snapToGrid w:val="0"/>
          <w:sz w:val="22"/>
          <w:szCs w:val="22"/>
        </w:rPr>
        <w:t xml:space="preserve">ont été </w:t>
      </w:r>
      <w:r>
        <w:rPr>
          <w:rFonts w:ascii="Arial" w:hAnsi="Arial"/>
          <w:snapToGrid w:val="0"/>
          <w:sz w:val="22"/>
          <w:szCs w:val="22"/>
        </w:rPr>
        <w:t>bien avancées et le travail d</w:t>
      </w:r>
      <w:r w:rsidR="00DD2F89">
        <w:rPr>
          <w:rFonts w:ascii="Arial" w:hAnsi="Arial"/>
          <w:snapToGrid w:val="0"/>
          <w:sz w:val="22"/>
          <w:szCs w:val="22"/>
        </w:rPr>
        <w:t>’</w:t>
      </w:r>
      <w:r>
        <w:rPr>
          <w:rFonts w:ascii="Arial" w:hAnsi="Arial"/>
          <w:snapToGrid w:val="0"/>
          <w:sz w:val="22"/>
          <w:szCs w:val="22"/>
        </w:rPr>
        <w:t>intégration dans cette matrice des règlements intérieurs des Conventions de 1954, de 1970 et de 2001 a débuté.</w:t>
      </w:r>
    </w:p>
    <w:p w14:paraId="1E479AB0" w14:textId="4F58D3A3" w:rsidR="00127C55" w:rsidRPr="00E24424" w:rsidRDefault="00A96C3E" w:rsidP="007F24B1">
      <w:pPr>
        <w:pStyle w:val="ListParagraph"/>
        <w:numPr>
          <w:ilvl w:val="0"/>
          <w:numId w:val="5"/>
        </w:numPr>
        <w:spacing w:after="120"/>
        <w:ind w:left="567" w:hanging="567"/>
        <w:contextualSpacing w:val="0"/>
        <w:jc w:val="both"/>
        <w:rPr>
          <w:rFonts w:ascii="Arial" w:hAnsi="Arial" w:cs="Arial"/>
          <w:snapToGrid w:val="0"/>
          <w:sz w:val="22"/>
          <w:szCs w:val="22"/>
        </w:rPr>
      </w:pPr>
      <w:r>
        <w:rPr>
          <w:rFonts w:ascii="Arial" w:hAnsi="Arial"/>
          <w:snapToGrid w:val="0"/>
          <w:sz w:val="22"/>
          <w:szCs w:val="22"/>
        </w:rPr>
        <w:t>Un point mérite d</w:t>
      </w:r>
      <w:r w:rsidR="00DD2F89">
        <w:rPr>
          <w:rFonts w:ascii="Arial" w:hAnsi="Arial"/>
          <w:snapToGrid w:val="0"/>
          <w:sz w:val="22"/>
          <w:szCs w:val="22"/>
        </w:rPr>
        <w:t>’</w:t>
      </w:r>
      <w:r>
        <w:rPr>
          <w:rFonts w:ascii="Arial" w:hAnsi="Arial"/>
          <w:snapToGrid w:val="0"/>
          <w:sz w:val="22"/>
          <w:szCs w:val="22"/>
        </w:rPr>
        <w:t>être souligné : la publication de l</w:t>
      </w:r>
      <w:r w:rsidR="00DD2F89">
        <w:rPr>
          <w:rFonts w:ascii="Arial" w:hAnsi="Arial"/>
          <w:snapToGrid w:val="0"/>
          <w:sz w:val="22"/>
          <w:szCs w:val="22"/>
        </w:rPr>
        <w:t>’</w:t>
      </w:r>
      <w:r>
        <w:rPr>
          <w:rFonts w:ascii="Arial" w:hAnsi="Arial"/>
          <w:snapToGrid w:val="0"/>
          <w:sz w:val="22"/>
          <w:szCs w:val="22"/>
        </w:rPr>
        <w:t>édition 2018 des Textes fondamentaux de la Convention de 2003, qui reflète les modifications apportées en juin 2018 par la septième session de l</w:t>
      </w:r>
      <w:r w:rsidR="00DD2F89">
        <w:rPr>
          <w:rFonts w:ascii="Arial" w:hAnsi="Arial"/>
          <w:snapToGrid w:val="0"/>
          <w:sz w:val="22"/>
          <w:szCs w:val="22"/>
        </w:rPr>
        <w:t>’</w:t>
      </w:r>
      <w:r>
        <w:rPr>
          <w:rFonts w:ascii="Arial" w:hAnsi="Arial"/>
          <w:snapToGrid w:val="0"/>
          <w:sz w:val="22"/>
          <w:szCs w:val="22"/>
        </w:rPr>
        <w:t xml:space="preserve">Assemblée générale. </w:t>
      </w:r>
      <w:r w:rsidR="00A63FD8">
        <w:rPr>
          <w:rFonts w:ascii="Arial" w:hAnsi="Arial"/>
          <w:snapToGrid w:val="0"/>
          <w:sz w:val="22"/>
          <w:szCs w:val="22"/>
        </w:rPr>
        <w:t>C</w:t>
      </w:r>
      <w:r>
        <w:rPr>
          <w:rFonts w:ascii="Arial" w:hAnsi="Arial"/>
          <w:snapToGrid w:val="0"/>
          <w:sz w:val="22"/>
          <w:szCs w:val="22"/>
        </w:rPr>
        <w:t xml:space="preserve">ette publication </w:t>
      </w:r>
      <w:r w:rsidR="00A63FD8">
        <w:rPr>
          <w:rFonts w:ascii="Arial" w:hAnsi="Arial"/>
          <w:snapToGrid w:val="0"/>
          <w:sz w:val="22"/>
          <w:szCs w:val="22"/>
        </w:rPr>
        <w:t xml:space="preserve">a été rendue disponible en ligne </w:t>
      </w:r>
      <w:r>
        <w:rPr>
          <w:rFonts w:ascii="Arial" w:hAnsi="Arial"/>
          <w:snapToGrid w:val="0"/>
          <w:sz w:val="22"/>
          <w:szCs w:val="22"/>
        </w:rPr>
        <w:t xml:space="preserve">en six langues </w:t>
      </w:r>
      <w:bookmarkStart w:id="0" w:name="_GoBack"/>
      <w:bookmarkEnd w:id="0"/>
      <w:r w:rsidR="00A63FD8">
        <w:rPr>
          <w:rFonts w:ascii="Arial" w:hAnsi="Arial"/>
          <w:snapToGrid w:val="0"/>
          <w:sz w:val="22"/>
          <w:szCs w:val="22"/>
        </w:rPr>
        <w:t>le 26 octobre 2018.</w:t>
      </w:r>
      <w:r>
        <w:rPr>
          <w:rFonts w:ascii="Arial" w:hAnsi="Arial"/>
          <w:snapToGrid w:val="0"/>
          <w:sz w:val="22"/>
          <w:szCs w:val="22"/>
        </w:rPr>
        <w:t xml:space="preserve"> Pour cette toute dernière révision, le Secrétariat a veillé à ce </w:t>
      </w:r>
      <w:r w:rsidRPr="00E24424">
        <w:rPr>
          <w:rFonts w:ascii="Arial" w:hAnsi="Arial"/>
          <w:snapToGrid w:val="0"/>
          <w:sz w:val="22"/>
          <w:szCs w:val="22"/>
        </w:rPr>
        <w:t>qu</w:t>
      </w:r>
      <w:r w:rsidR="00DD2F89" w:rsidRPr="00E24424">
        <w:rPr>
          <w:rFonts w:ascii="Arial" w:hAnsi="Arial"/>
          <w:snapToGrid w:val="0"/>
          <w:sz w:val="22"/>
          <w:szCs w:val="22"/>
        </w:rPr>
        <w:t>’</w:t>
      </w:r>
      <w:r w:rsidRPr="00E24424">
        <w:rPr>
          <w:rFonts w:ascii="Arial" w:hAnsi="Arial"/>
          <w:snapToGrid w:val="0"/>
          <w:sz w:val="22"/>
          <w:szCs w:val="22"/>
        </w:rPr>
        <w:t xml:space="preserve">un langage </w:t>
      </w:r>
      <w:r w:rsidR="007F24B1" w:rsidRPr="00E24424">
        <w:rPr>
          <w:rFonts w:ascii="Arial" w:hAnsi="Arial" w:cs="Arial"/>
          <w:sz w:val="22"/>
          <w:szCs w:val="22"/>
        </w:rPr>
        <w:t xml:space="preserve">neutre du point de vue du genre </w:t>
      </w:r>
      <w:r w:rsidRPr="00E24424">
        <w:rPr>
          <w:rFonts w:ascii="Arial" w:hAnsi="Arial"/>
          <w:snapToGrid w:val="0"/>
          <w:sz w:val="22"/>
          <w:szCs w:val="22"/>
        </w:rPr>
        <w:t>soit utilisé dans l</w:t>
      </w:r>
      <w:r w:rsidR="00DD2F89" w:rsidRPr="00E24424">
        <w:rPr>
          <w:rFonts w:ascii="Arial" w:hAnsi="Arial"/>
          <w:snapToGrid w:val="0"/>
          <w:sz w:val="22"/>
          <w:szCs w:val="22"/>
        </w:rPr>
        <w:t>’</w:t>
      </w:r>
      <w:r w:rsidRPr="00E24424">
        <w:rPr>
          <w:rFonts w:ascii="Arial" w:hAnsi="Arial"/>
          <w:snapToGrid w:val="0"/>
          <w:sz w:val="22"/>
          <w:szCs w:val="22"/>
        </w:rPr>
        <w:t xml:space="preserve">ensemble des Textes fondamentaux, conformément à la </w:t>
      </w:r>
      <w:hyperlink r:id="rId22" w:history="1">
        <w:r w:rsidR="009F3EB0" w:rsidRPr="00E24424">
          <w:rPr>
            <w:rStyle w:val="Hyperlink"/>
            <w:rFonts w:ascii="Arial" w:hAnsi="Arial"/>
            <w:snapToGrid w:val="0"/>
            <w:sz w:val="22"/>
            <w:szCs w:val="22"/>
          </w:rPr>
          <w:t>r</w:t>
        </w:r>
        <w:r w:rsidRPr="00E24424">
          <w:rPr>
            <w:rStyle w:val="Hyperlink"/>
            <w:rFonts w:ascii="Arial" w:hAnsi="Arial"/>
            <w:snapToGrid w:val="0"/>
            <w:sz w:val="22"/>
            <w:szCs w:val="22"/>
          </w:rPr>
          <w:t>ésolution 7.GA 12</w:t>
        </w:r>
      </w:hyperlink>
      <w:r w:rsidRPr="00E24424">
        <w:rPr>
          <w:rFonts w:ascii="Arial" w:hAnsi="Arial"/>
          <w:snapToGrid w:val="0"/>
          <w:sz w:val="22"/>
          <w:szCs w:val="22"/>
        </w:rPr>
        <w:t>.</w:t>
      </w:r>
    </w:p>
    <w:p w14:paraId="3C0618AC" w14:textId="09C9C47B" w:rsidR="009B7C08" w:rsidRPr="00EE4900" w:rsidRDefault="00127C55" w:rsidP="00974C6E">
      <w:pPr>
        <w:pStyle w:val="ListParagraph"/>
        <w:numPr>
          <w:ilvl w:val="0"/>
          <w:numId w:val="5"/>
        </w:numPr>
        <w:spacing w:after="120"/>
        <w:ind w:left="567" w:hanging="567"/>
        <w:contextualSpacing w:val="0"/>
        <w:jc w:val="both"/>
        <w:rPr>
          <w:rFonts w:ascii="Arial" w:hAnsi="Arial" w:cs="Arial"/>
          <w:snapToGrid w:val="0"/>
          <w:sz w:val="22"/>
          <w:szCs w:val="22"/>
        </w:rPr>
      </w:pPr>
      <w:r>
        <w:rPr>
          <w:rFonts w:ascii="Arial" w:hAnsi="Arial"/>
          <w:sz w:val="22"/>
          <w:szCs w:val="22"/>
        </w:rPr>
        <w:t>L</w:t>
      </w:r>
      <w:r w:rsidR="00DD2F89">
        <w:rPr>
          <w:rFonts w:ascii="Arial" w:hAnsi="Arial"/>
          <w:sz w:val="22"/>
          <w:szCs w:val="22"/>
        </w:rPr>
        <w:t>’</w:t>
      </w:r>
      <w:r>
        <w:rPr>
          <w:rFonts w:ascii="Arial" w:hAnsi="Arial"/>
          <w:sz w:val="22"/>
          <w:szCs w:val="22"/>
        </w:rPr>
        <w:t>annexe du présent document présente l</w:t>
      </w:r>
      <w:r w:rsidR="00DD2F89">
        <w:rPr>
          <w:rFonts w:ascii="Arial" w:hAnsi="Arial"/>
          <w:sz w:val="22"/>
          <w:szCs w:val="22"/>
        </w:rPr>
        <w:t>’</w:t>
      </w:r>
      <w:r>
        <w:rPr>
          <w:rFonts w:ascii="Arial" w:hAnsi="Arial"/>
          <w:sz w:val="22"/>
          <w:szCs w:val="22"/>
        </w:rPr>
        <w:t>état d</w:t>
      </w:r>
      <w:r w:rsidR="00DD2F89">
        <w:rPr>
          <w:rFonts w:ascii="Arial" w:hAnsi="Arial"/>
          <w:sz w:val="22"/>
          <w:szCs w:val="22"/>
        </w:rPr>
        <w:t>’</w:t>
      </w:r>
      <w:r>
        <w:rPr>
          <w:rFonts w:ascii="Arial" w:hAnsi="Arial"/>
          <w:sz w:val="22"/>
          <w:szCs w:val="22"/>
        </w:rPr>
        <w:t>avancement de la mise en œuvre des recommandations applicables aux organes directeurs de la Convention de 2003. Il s</w:t>
      </w:r>
      <w:r w:rsidR="00DD2F89">
        <w:rPr>
          <w:rFonts w:ascii="Arial" w:hAnsi="Arial"/>
          <w:sz w:val="22"/>
          <w:szCs w:val="22"/>
        </w:rPr>
        <w:t>’</w:t>
      </w:r>
      <w:r>
        <w:rPr>
          <w:rFonts w:ascii="Arial" w:hAnsi="Arial"/>
          <w:sz w:val="22"/>
          <w:szCs w:val="22"/>
        </w:rPr>
        <w:t>agit d</w:t>
      </w:r>
      <w:r w:rsidR="00DD2F89">
        <w:rPr>
          <w:rFonts w:ascii="Arial" w:hAnsi="Arial"/>
          <w:sz w:val="22"/>
          <w:szCs w:val="22"/>
        </w:rPr>
        <w:t>’</w:t>
      </w:r>
      <w:r>
        <w:rPr>
          <w:rFonts w:ascii="Arial" w:hAnsi="Arial"/>
          <w:sz w:val="22"/>
          <w:szCs w:val="22"/>
        </w:rPr>
        <w:t>une mise à jour de l</w:t>
      </w:r>
      <w:r w:rsidR="00DD2F89">
        <w:rPr>
          <w:rFonts w:ascii="Arial" w:hAnsi="Arial"/>
          <w:sz w:val="22"/>
          <w:szCs w:val="22"/>
        </w:rPr>
        <w:t>’</w:t>
      </w:r>
      <w:r>
        <w:rPr>
          <w:rFonts w:ascii="Arial" w:hAnsi="Arial"/>
          <w:sz w:val="22"/>
          <w:szCs w:val="22"/>
        </w:rPr>
        <w:t>état d</w:t>
      </w:r>
      <w:r w:rsidR="00DD2F89">
        <w:rPr>
          <w:rFonts w:ascii="Arial" w:hAnsi="Arial"/>
          <w:sz w:val="22"/>
          <w:szCs w:val="22"/>
        </w:rPr>
        <w:t>’</w:t>
      </w:r>
      <w:r>
        <w:rPr>
          <w:rFonts w:ascii="Arial" w:hAnsi="Arial"/>
          <w:sz w:val="22"/>
          <w:szCs w:val="22"/>
        </w:rPr>
        <w:t xml:space="preserve">avancement présenté à la </w:t>
      </w:r>
      <w:r>
        <w:rPr>
          <w:rFonts w:ascii="Arial" w:hAnsi="Arial"/>
          <w:snapToGrid w:val="0"/>
          <w:sz w:val="22"/>
          <w:szCs w:val="22"/>
        </w:rPr>
        <w:t>septième</w:t>
      </w:r>
      <w:r>
        <w:rPr>
          <w:rFonts w:ascii="Arial" w:hAnsi="Arial"/>
          <w:sz w:val="22"/>
          <w:szCs w:val="22"/>
        </w:rPr>
        <w:t xml:space="preserve"> session de l</w:t>
      </w:r>
      <w:r w:rsidR="00DD2F89">
        <w:rPr>
          <w:rFonts w:ascii="Arial" w:hAnsi="Arial"/>
          <w:sz w:val="22"/>
          <w:szCs w:val="22"/>
        </w:rPr>
        <w:t>’</w:t>
      </w:r>
      <w:r>
        <w:rPr>
          <w:rFonts w:ascii="Arial" w:hAnsi="Arial"/>
          <w:sz w:val="22"/>
          <w:szCs w:val="22"/>
        </w:rPr>
        <w:t xml:space="preserve">Assemblée générale. </w:t>
      </w:r>
      <w:r>
        <w:rPr>
          <w:rFonts w:ascii="Arial" w:hAnsi="Arial"/>
          <w:snapToGrid w:val="0"/>
          <w:sz w:val="22"/>
          <w:szCs w:val="22"/>
        </w:rPr>
        <w:t>Là encore, pour chacune des recommandations sélectionnées, il est également précisé à laquelle des quatre catégories suivantes elle appartient :</w:t>
      </w:r>
    </w:p>
    <w:p w14:paraId="50ED43F1" w14:textId="75033AC5" w:rsidR="009B7C08" w:rsidRDefault="009B7C08" w:rsidP="00974C6E">
      <w:pPr>
        <w:pStyle w:val="COMPara"/>
        <w:numPr>
          <w:ilvl w:val="0"/>
          <w:numId w:val="6"/>
        </w:numPr>
        <w:ind w:left="1134" w:hanging="567"/>
        <w:jc w:val="both"/>
      </w:pPr>
      <w:r>
        <w:rPr>
          <w:b/>
        </w:rPr>
        <w:t>Mise en œuvre achevée</w:t>
      </w:r>
      <w:r>
        <w:t> : les pratiques et/ou règles actuelles sont conformes à cette recommandation, aucune autre action n</w:t>
      </w:r>
      <w:r w:rsidR="00DD2F89">
        <w:t>’</w:t>
      </w:r>
      <w:r>
        <w:t>est nécessaire. Par ailleurs, le Secrétariat considère que ses pratiques dans certains domaines couverts par les recommandations peuvent être reconnues comme des bonnes pratiques (12 recommandations dont 4 bonnes pratiques) ;</w:t>
      </w:r>
    </w:p>
    <w:p w14:paraId="39545D00" w14:textId="77777777" w:rsidR="009B7C08" w:rsidRDefault="009B7C08" w:rsidP="00974C6E">
      <w:pPr>
        <w:pStyle w:val="COMPara"/>
        <w:numPr>
          <w:ilvl w:val="0"/>
          <w:numId w:val="6"/>
        </w:numPr>
        <w:ind w:left="1134" w:hanging="567"/>
        <w:jc w:val="both"/>
      </w:pPr>
      <w:r>
        <w:rPr>
          <w:b/>
        </w:rPr>
        <w:t>Action en cours</w:t>
      </w:r>
      <w:r>
        <w:t> : une action a déjà été lancée par le Secrétariat (sept recommandations dont une bonne pratique) ;</w:t>
      </w:r>
    </w:p>
    <w:p w14:paraId="7480AAC7" w14:textId="77777777" w:rsidR="009B7C08" w:rsidRDefault="009B7C08" w:rsidP="00974C6E">
      <w:pPr>
        <w:pStyle w:val="COMPara"/>
        <w:numPr>
          <w:ilvl w:val="0"/>
          <w:numId w:val="6"/>
        </w:numPr>
        <w:ind w:left="1134" w:hanging="567"/>
        <w:jc w:val="both"/>
      </w:pPr>
      <w:r>
        <w:rPr>
          <w:b/>
        </w:rPr>
        <w:t>Action proposée</w:t>
      </w:r>
      <w:r>
        <w:t> : une action est proposée pour favoriser la mise en œuvre de ces recommandations (trois recommandations) ;</w:t>
      </w:r>
    </w:p>
    <w:p w14:paraId="07249613" w14:textId="77777777" w:rsidR="009B7C08" w:rsidRDefault="009B7C08" w:rsidP="00974C6E">
      <w:pPr>
        <w:pStyle w:val="COMPara"/>
        <w:numPr>
          <w:ilvl w:val="0"/>
          <w:numId w:val="6"/>
        </w:numPr>
        <w:ind w:left="1134" w:hanging="567"/>
        <w:jc w:val="both"/>
      </w:pPr>
      <w:r>
        <w:rPr>
          <w:b/>
        </w:rPr>
        <w:t>Action nécessaire des États parties</w:t>
      </w:r>
      <w:r>
        <w:t> : la mise en œuvre de ces recommandations relève des États parties (quatre recommandations).</w:t>
      </w:r>
    </w:p>
    <w:p w14:paraId="219DFB18" w14:textId="108B5261" w:rsidR="00731ED9" w:rsidRDefault="002E44DD" w:rsidP="0078475A">
      <w:pPr>
        <w:pStyle w:val="COMPara"/>
        <w:numPr>
          <w:ilvl w:val="0"/>
          <w:numId w:val="5"/>
        </w:numPr>
        <w:ind w:left="567" w:hanging="567"/>
        <w:jc w:val="both"/>
      </w:pPr>
      <w:r>
        <w:t>Le tableau ci-dessous présente les changements au niveau de l</w:t>
      </w:r>
      <w:r w:rsidR="00DD2F89">
        <w:t>’</w:t>
      </w:r>
      <w:r>
        <w:t>état d</w:t>
      </w:r>
      <w:r w:rsidR="00DD2F89">
        <w:t>’</w:t>
      </w:r>
      <w:r>
        <w:t>avancement par rapport à celui présenté lors de la septième session de l</w:t>
      </w:r>
      <w:r w:rsidR="00DD2F89">
        <w:t>’</w:t>
      </w:r>
      <w:r>
        <w:t>Assemblée générale</w:t>
      </w:r>
      <w:r w:rsidR="00BC4CE9">
        <w:t xml:space="preserve"> en juin 2018</w:t>
      </w:r>
      <w:r>
        <w:t>. De façon générale, des actions ont été menées pour faire évoluer un certain nombre de recommandations vers le statut « mise en œuvre achevée » ou « action en cours ».</w:t>
      </w:r>
    </w:p>
    <w:tbl>
      <w:tblPr>
        <w:tblStyle w:val="TableGrid"/>
        <w:tblW w:w="0" w:type="auto"/>
        <w:tblInd w:w="567" w:type="dxa"/>
        <w:tblLook w:val="04A0" w:firstRow="1" w:lastRow="0" w:firstColumn="1" w:lastColumn="0" w:noHBand="0" w:noVBand="1"/>
      </w:tblPr>
      <w:tblGrid>
        <w:gridCol w:w="1980"/>
        <w:gridCol w:w="3540"/>
        <w:gridCol w:w="3541"/>
      </w:tblGrid>
      <w:tr w:rsidR="00FA06B4" w:rsidRPr="002E44DD" w14:paraId="74FC2F9C" w14:textId="77777777" w:rsidTr="00315402">
        <w:tc>
          <w:tcPr>
            <w:tcW w:w="1980" w:type="dxa"/>
          </w:tcPr>
          <w:p w14:paraId="44B6974B" w14:textId="77777777" w:rsidR="002E44DD" w:rsidRDefault="00AD0B6B" w:rsidP="002E44DD">
            <w:pPr>
              <w:pStyle w:val="COMPara"/>
              <w:numPr>
                <w:ilvl w:val="0"/>
                <w:numId w:val="0"/>
              </w:numPr>
              <w:jc w:val="both"/>
            </w:pPr>
            <w:r>
              <w:t>État</w:t>
            </w:r>
          </w:p>
        </w:tc>
        <w:tc>
          <w:tcPr>
            <w:tcW w:w="3540" w:type="dxa"/>
          </w:tcPr>
          <w:p w14:paraId="2BD6EE57" w14:textId="66B5A0DA" w:rsidR="002E44DD" w:rsidRPr="00EC628C" w:rsidRDefault="00AD0B6B" w:rsidP="002E44DD">
            <w:pPr>
              <w:pStyle w:val="COMPara"/>
              <w:numPr>
                <w:ilvl w:val="0"/>
                <w:numId w:val="0"/>
              </w:numPr>
              <w:jc w:val="both"/>
            </w:pPr>
            <w:r>
              <w:t>Présenté lors de la session 7</w:t>
            </w:r>
            <w:r w:rsidR="00334A17">
              <w:t>.</w:t>
            </w:r>
            <w:r>
              <w:t>GA</w:t>
            </w:r>
          </w:p>
        </w:tc>
        <w:tc>
          <w:tcPr>
            <w:tcW w:w="3541" w:type="dxa"/>
          </w:tcPr>
          <w:p w14:paraId="6F824E21" w14:textId="6C7AC4C6" w:rsidR="002E44DD" w:rsidRPr="00EC628C" w:rsidRDefault="00AD0B6B" w:rsidP="00693AD7">
            <w:pPr>
              <w:pStyle w:val="COMPara"/>
              <w:numPr>
                <w:ilvl w:val="0"/>
                <w:numId w:val="0"/>
              </w:numPr>
              <w:jc w:val="both"/>
            </w:pPr>
            <w:r>
              <w:t>Présenté lors de la session 13</w:t>
            </w:r>
            <w:r w:rsidR="00334A17">
              <w:t>.</w:t>
            </w:r>
            <w:r>
              <w:t>COM</w:t>
            </w:r>
          </w:p>
        </w:tc>
      </w:tr>
      <w:tr w:rsidR="00FA06B4" w:rsidRPr="002E44DD" w14:paraId="1990A06E" w14:textId="77777777" w:rsidTr="00315402">
        <w:tc>
          <w:tcPr>
            <w:tcW w:w="1980" w:type="dxa"/>
          </w:tcPr>
          <w:p w14:paraId="09BB7BF8" w14:textId="77777777" w:rsidR="002E44DD" w:rsidRDefault="002E44DD" w:rsidP="002E44DD">
            <w:pPr>
              <w:pStyle w:val="COMPara"/>
              <w:numPr>
                <w:ilvl w:val="0"/>
                <w:numId w:val="0"/>
              </w:numPr>
              <w:jc w:val="both"/>
            </w:pPr>
            <w:r>
              <w:t>Mise en œuvre achevée</w:t>
            </w:r>
          </w:p>
        </w:tc>
        <w:tc>
          <w:tcPr>
            <w:tcW w:w="3540" w:type="dxa"/>
          </w:tcPr>
          <w:p w14:paraId="788F9C27" w14:textId="77777777" w:rsidR="00D50224" w:rsidRDefault="0033460F" w:rsidP="001A50F7">
            <w:pPr>
              <w:pStyle w:val="COMPara"/>
              <w:numPr>
                <w:ilvl w:val="0"/>
                <w:numId w:val="0"/>
              </w:numPr>
            </w:pPr>
            <w:r>
              <w:t>11 recommandations dont 4 bonnes pratiques</w:t>
            </w:r>
          </w:p>
          <w:p w14:paraId="386673D0" w14:textId="77777777" w:rsidR="002E44DD" w:rsidRPr="00315402" w:rsidRDefault="00D50224" w:rsidP="00315402">
            <w:pPr>
              <w:pStyle w:val="COMPara"/>
              <w:numPr>
                <w:ilvl w:val="0"/>
                <w:numId w:val="0"/>
              </w:numPr>
              <w:jc w:val="both"/>
              <w:rPr>
                <w:sz w:val="20"/>
                <w:szCs w:val="20"/>
              </w:rPr>
            </w:pPr>
            <w:r>
              <w:rPr>
                <w:sz w:val="18"/>
                <w:szCs w:val="18"/>
              </w:rPr>
              <w:t>(56, 57, 59, 61, 62, 69, 70, 78, 79, 99, 101)</w:t>
            </w:r>
          </w:p>
        </w:tc>
        <w:tc>
          <w:tcPr>
            <w:tcW w:w="3541" w:type="dxa"/>
          </w:tcPr>
          <w:p w14:paraId="4D75BEEA" w14:textId="77777777" w:rsidR="00D50224" w:rsidRDefault="00FA06B4" w:rsidP="001A50F7">
            <w:pPr>
              <w:pStyle w:val="COMPara"/>
              <w:numPr>
                <w:ilvl w:val="0"/>
                <w:numId w:val="0"/>
              </w:numPr>
            </w:pPr>
            <w:r>
              <w:t>12 recommandations dont 4 bonnes pratiques</w:t>
            </w:r>
          </w:p>
          <w:p w14:paraId="3929F45F" w14:textId="77777777" w:rsidR="002E44DD" w:rsidRPr="00315402" w:rsidRDefault="00D50224" w:rsidP="00315402">
            <w:pPr>
              <w:pStyle w:val="COMPara"/>
              <w:numPr>
                <w:ilvl w:val="0"/>
                <w:numId w:val="0"/>
              </w:numPr>
              <w:jc w:val="both"/>
              <w:rPr>
                <w:sz w:val="18"/>
                <w:szCs w:val="18"/>
              </w:rPr>
            </w:pPr>
            <w:r>
              <w:rPr>
                <w:sz w:val="18"/>
                <w:szCs w:val="18"/>
              </w:rPr>
              <w:t>(56, 57, 59, 61, 62, 69, 70, 73, 78, 79, 99, 101)</w:t>
            </w:r>
          </w:p>
        </w:tc>
      </w:tr>
      <w:tr w:rsidR="00FA06B4" w:rsidRPr="002E44DD" w14:paraId="74871DE3" w14:textId="77777777" w:rsidTr="00315402">
        <w:tc>
          <w:tcPr>
            <w:tcW w:w="1980" w:type="dxa"/>
          </w:tcPr>
          <w:p w14:paraId="5C674D1D" w14:textId="77777777" w:rsidR="002E44DD" w:rsidRDefault="002E44DD" w:rsidP="002E44DD">
            <w:pPr>
              <w:pStyle w:val="COMPara"/>
              <w:numPr>
                <w:ilvl w:val="0"/>
                <w:numId w:val="0"/>
              </w:numPr>
              <w:jc w:val="both"/>
            </w:pPr>
            <w:r>
              <w:t>Action en cours</w:t>
            </w:r>
          </w:p>
        </w:tc>
        <w:tc>
          <w:tcPr>
            <w:tcW w:w="3540" w:type="dxa"/>
          </w:tcPr>
          <w:p w14:paraId="0206315F" w14:textId="77777777" w:rsidR="00D50224" w:rsidRDefault="0033460F" w:rsidP="00315402">
            <w:pPr>
              <w:pStyle w:val="COMPara"/>
              <w:numPr>
                <w:ilvl w:val="0"/>
                <w:numId w:val="0"/>
              </w:numPr>
            </w:pPr>
            <w:r>
              <w:t>2 recommandations dont 1 bonne pratique</w:t>
            </w:r>
          </w:p>
          <w:p w14:paraId="42A0C933" w14:textId="77777777" w:rsidR="002E44DD" w:rsidRDefault="00D50224" w:rsidP="001A50F7">
            <w:pPr>
              <w:pStyle w:val="COMPara"/>
              <w:numPr>
                <w:ilvl w:val="0"/>
                <w:numId w:val="0"/>
              </w:numPr>
              <w:jc w:val="both"/>
            </w:pPr>
            <w:r>
              <w:rPr>
                <w:sz w:val="18"/>
                <w:szCs w:val="18"/>
              </w:rPr>
              <w:t>(76, 100)</w:t>
            </w:r>
          </w:p>
        </w:tc>
        <w:tc>
          <w:tcPr>
            <w:tcW w:w="3541" w:type="dxa"/>
          </w:tcPr>
          <w:p w14:paraId="2D539281" w14:textId="77777777" w:rsidR="00D50224" w:rsidRDefault="00FA06B4" w:rsidP="00315402">
            <w:pPr>
              <w:pStyle w:val="COMPara"/>
              <w:numPr>
                <w:ilvl w:val="0"/>
                <w:numId w:val="0"/>
              </w:numPr>
            </w:pPr>
            <w:r>
              <w:t>7 recommandations dont 1 bonne pratique</w:t>
            </w:r>
          </w:p>
          <w:p w14:paraId="7A283BB2" w14:textId="77777777" w:rsidR="002E44DD" w:rsidRPr="00315402" w:rsidRDefault="00EE4900">
            <w:pPr>
              <w:pStyle w:val="COMPara"/>
              <w:numPr>
                <w:ilvl w:val="0"/>
                <w:numId w:val="0"/>
              </w:numPr>
              <w:jc w:val="both"/>
              <w:rPr>
                <w:sz w:val="18"/>
                <w:szCs w:val="18"/>
              </w:rPr>
            </w:pPr>
            <w:r>
              <w:rPr>
                <w:sz w:val="18"/>
                <w:szCs w:val="18"/>
              </w:rPr>
              <w:t>(58, 65, 71, 76, 94, 96, 100)</w:t>
            </w:r>
          </w:p>
        </w:tc>
      </w:tr>
      <w:tr w:rsidR="0033460F" w:rsidRPr="002E44DD" w14:paraId="4BE9127B" w14:textId="77777777" w:rsidTr="00315402">
        <w:tc>
          <w:tcPr>
            <w:tcW w:w="1980" w:type="dxa"/>
          </w:tcPr>
          <w:p w14:paraId="7E9281FA" w14:textId="77777777" w:rsidR="0033460F" w:rsidRDefault="0033460F" w:rsidP="0033460F">
            <w:pPr>
              <w:pStyle w:val="COMPara"/>
              <w:numPr>
                <w:ilvl w:val="0"/>
                <w:numId w:val="0"/>
              </w:numPr>
              <w:jc w:val="both"/>
            </w:pPr>
            <w:r>
              <w:t>Action proposée</w:t>
            </w:r>
          </w:p>
        </w:tc>
        <w:tc>
          <w:tcPr>
            <w:tcW w:w="3540" w:type="dxa"/>
          </w:tcPr>
          <w:p w14:paraId="55913F0B" w14:textId="77777777" w:rsidR="00D50224" w:rsidRDefault="0033460F" w:rsidP="0033460F">
            <w:pPr>
              <w:pStyle w:val="COMPara"/>
              <w:numPr>
                <w:ilvl w:val="0"/>
                <w:numId w:val="0"/>
              </w:numPr>
              <w:jc w:val="both"/>
            </w:pPr>
            <w:r>
              <w:t>8 recommandations</w:t>
            </w:r>
          </w:p>
          <w:p w14:paraId="402C6023" w14:textId="77777777" w:rsidR="0033460F" w:rsidRDefault="00EE4900" w:rsidP="0033460F">
            <w:pPr>
              <w:pStyle w:val="COMPara"/>
              <w:numPr>
                <w:ilvl w:val="0"/>
                <w:numId w:val="0"/>
              </w:numPr>
              <w:jc w:val="both"/>
            </w:pPr>
            <w:r>
              <w:rPr>
                <w:sz w:val="18"/>
                <w:szCs w:val="18"/>
              </w:rPr>
              <w:t>(58, 65, 66, 67, 71, 73, 96, 97)</w:t>
            </w:r>
          </w:p>
        </w:tc>
        <w:tc>
          <w:tcPr>
            <w:tcW w:w="3541" w:type="dxa"/>
          </w:tcPr>
          <w:p w14:paraId="01710213" w14:textId="77777777" w:rsidR="00D50224" w:rsidRDefault="0033460F" w:rsidP="0033460F">
            <w:pPr>
              <w:pStyle w:val="COMPara"/>
              <w:numPr>
                <w:ilvl w:val="0"/>
                <w:numId w:val="0"/>
              </w:numPr>
              <w:jc w:val="both"/>
            </w:pPr>
            <w:r>
              <w:t>3 recommandations</w:t>
            </w:r>
          </w:p>
          <w:p w14:paraId="676940D5" w14:textId="77777777" w:rsidR="0033460F" w:rsidRDefault="00EE4900" w:rsidP="0033460F">
            <w:pPr>
              <w:pStyle w:val="COMPara"/>
              <w:numPr>
                <w:ilvl w:val="0"/>
                <w:numId w:val="0"/>
              </w:numPr>
              <w:jc w:val="both"/>
            </w:pPr>
            <w:r>
              <w:rPr>
                <w:sz w:val="18"/>
                <w:szCs w:val="18"/>
              </w:rPr>
              <w:t>(66, 67, 97)</w:t>
            </w:r>
          </w:p>
        </w:tc>
      </w:tr>
      <w:tr w:rsidR="0033460F" w:rsidRPr="002E44DD" w14:paraId="1E63C2B0" w14:textId="77777777" w:rsidTr="00315402">
        <w:tc>
          <w:tcPr>
            <w:tcW w:w="1980" w:type="dxa"/>
          </w:tcPr>
          <w:p w14:paraId="4776DB97" w14:textId="77777777" w:rsidR="0033460F" w:rsidRDefault="0033460F" w:rsidP="0033460F">
            <w:pPr>
              <w:pStyle w:val="COMPara"/>
              <w:numPr>
                <w:ilvl w:val="0"/>
                <w:numId w:val="0"/>
              </w:numPr>
              <w:jc w:val="both"/>
            </w:pPr>
            <w:r>
              <w:t>Action nécessaire des États parties</w:t>
            </w:r>
          </w:p>
        </w:tc>
        <w:tc>
          <w:tcPr>
            <w:tcW w:w="3540" w:type="dxa"/>
          </w:tcPr>
          <w:p w14:paraId="35D300B4" w14:textId="77777777" w:rsidR="00D50224" w:rsidRDefault="0033460F" w:rsidP="0033460F">
            <w:pPr>
              <w:pStyle w:val="COMPara"/>
              <w:numPr>
                <w:ilvl w:val="0"/>
                <w:numId w:val="0"/>
              </w:numPr>
              <w:jc w:val="both"/>
            </w:pPr>
            <w:r>
              <w:t>5 recommandations</w:t>
            </w:r>
          </w:p>
          <w:p w14:paraId="7ACED2DA" w14:textId="77777777" w:rsidR="0033460F" w:rsidRDefault="00EE4900" w:rsidP="0033460F">
            <w:pPr>
              <w:pStyle w:val="COMPara"/>
              <w:numPr>
                <w:ilvl w:val="0"/>
                <w:numId w:val="0"/>
              </w:numPr>
              <w:jc w:val="both"/>
            </w:pPr>
            <w:r>
              <w:rPr>
                <w:sz w:val="18"/>
                <w:szCs w:val="18"/>
              </w:rPr>
              <w:t>(60, 64, 68, 94, 107)</w:t>
            </w:r>
          </w:p>
        </w:tc>
        <w:tc>
          <w:tcPr>
            <w:tcW w:w="3541" w:type="dxa"/>
          </w:tcPr>
          <w:p w14:paraId="6B7BF0C0" w14:textId="77777777" w:rsidR="00D50224" w:rsidRDefault="0033460F" w:rsidP="0033460F">
            <w:pPr>
              <w:pStyle w:val="COMPara"/>
              <w:numPr>
                <w:ilvl w:val="0"/>
                <w:numId w:val="0"/>
              </w:numPr>
              <w:jc w:val="both"/>
            </w:pPr>
            <w:r>
              <w:t>4 recommandations</w:t>
            </w:r>
          </w:p>
          <w:p w14:paraId="0CCFE3D3" w14:textId="77777777" w:rsidR="0033460F" w:rsidRDefault="00EE4900" w:rsidP="0033460F">
            <w:pPr>
              <w:pStyle w:val="COMPara"/>
              <w:numPr>
                <w:ilvl w:val="0"/>
                <w:numId w:val="0"/>
              </w:numPr>
              <w:jc w:val="both"/>
            </w:pPr>
            <w:r>
              <w:rPr>
                <w:sz w:val="18"/>
                <w:szCs w:val="18"/>
              </w:rPr>
              <w:t>(60, 64, 68, 107)</w:t>
            </w:r>
          </w:p>
        </w:tc>
      </w:tr>
    </w:tbl>
    <w:p w14:paraId="743093C7" w14:textId="77777777" w:rsidR="009B7C08" w:rsidRPr="005A4A42" w:rsidRDefault="009B7C08" w:rsidP="00315402">
      <w:pPr>
        <w:keepNext/>
        <w:numPr>
          <w:ilvl w:val="0"/>
          <w:numId w:val="5"/>
        </w:numPr>
        <w:spacing w:before="240" w:after="120"/>
        <w:ind w:left="567" w:hanging="567"/>
        <w:jc w:val="both"/>
        <w:rPr>
          <w:rFonts w:ascii="Arial" w:eastAsia="SimSun" w:hAnsi="Arial" w:cs="Arial"/>
          <w:sz w:val="22"/>
          <w:szCs w:val="22"/>
        </w:rPr>
      </w:pPr>
      <w:r>
        <w:rPr>
          <w:rFonts w:ascii="Arial" w:hAnsi="Arial"/>
          <w:sz w:val="22"/>
        </w:rPr>
        <w:t>Le Comité souhaitera peut-être adopter la décision suivante :</w:t>
      </w:r>
    </w:p>
    <w:p w14:paraId="06A24231" w14:textId="77777777" w:rsidR="009B7C08" w:rsidRDefault="009B7C08" w:rsidP="005141A0">
      <w:pPr>
        <w:pStyle w:val="GATitleResolution"/>
      </w:pPr>
      <w:r>
        <w:t>PROJET DE DÉCISION 13.COM 17</w:t>
      </w:r>
    </w:p>
    <w:p w14:paraId="19D1FFE2" w14:textId="77777777" w:rsidR="009B7C08" w:rsidRPr="005A4A42" w:rsidRDefault="009B7C08" w:rsidP="005141A0">
      <w:pPr>
        <w:pStyle w:val="GAPreambulaResolution"/>
        <w:rPr>
          <w:rFonts w:eastAsia="SimSun"/>
        </w:rPr>
      </w:pPr>
      <w:r>
        <w:t>Le Comité,</w:t>
      </w:r>
    </w:p>
    <w:p w14:paraId="28524FC7" w14:textId="37DF8085" w:rsidR="009B7C08" w:rsidRPr="00345CB4" w:rsidRDefault="009B7C08" w:rsidP="007F24B1">
      <w:pPr>
        <w:pStyle w:val="COMParaDecision"/>
        <w:jc w:val="left"/>
      </w:pPr>
      <w:r>
        <w:t>Ayant examiné</w:t>
      </w:r>
      <w:r>
        <w:rPr>
          <w:u w:val="none"/>
        </w:rPr>
        <w:t xml:space="preserve"> le document ITH/18/13.COM/17 et s</w:t>
      </w:r>
      <w:r w:rsidR="007F24B1">
        <w:rPr>
          <w:u w:val="none"/>
        </w:rPr>
        <w:t>on</w:t>
      </w:r>
      <w:r>
        <w:rPr>
          <w:u w:val="none"/>
        </w:rPr>
        <w:t xml:space="preserve"> annexe,</w:t>
      </w:r>
    </w:p>
    <w:p w14:paraId="78CB547D" w14:textId="138AD1B4" w:rsidR="009B7C08" w:rsidRPr="00345CB4" w:rsidRDefault="009B7C08" w:rsidP="00D6399B">
      <w:pPr>
        <w:pStyle w:val="COMParaDecision"/>
      </w:pPr>
      <w:r>
        <w:lastRenderedPageBreak/>
        <w:t>Rappelant</w:t>
      </w:r>
      <w:r>
        <w:rPr>
          <w:u w:val="none"/>
        </w:rPr>
        <w:t xml:space="preserve"> les documents </w:t>
      </w:r>
      <w:hyperlink r:id="rId23" w:history="1">
        <w:r w:rsidRPr="00113F2A">
          <w:rPr>
            <w:rStyle w:val="Hyperlink"/>
          </w:rPr>
          <w:t>ITH/18/7.GA/12</w:t>
        </w:r>
      </w:hyperlink>
      <w:r w:rsidRPr="00113F2A">
        <w:rPr>
          <w:u w:val="none"/>
        </w:rPr>
        <w:t xml:space="preserve"> et </w:t>
      </w:r>
      <w:hyperlink r:id="rId24" w:history="1">
        <w:r w:rsidRPr="00113F2A">
          <w:rPr>
            <w:rStyle w:val="Hyperlink"/>
          </w:rPr>
          <w:t>ITH/18/7.GA/13</w:t>
        </w:r>
      </w:hyperlink>
      <w:r>
        <w:rPr>
          <w:u w:val="none"/>
        </w:rPr>
        <w:t xml:space="preserve">, les </w:t>
      </w:r>
      <w:r w:rsidR="007F24B1">
        <w:rPr>
          <w:u w:val="none"/>
        </w:rPr>
        <w:t>d</w:t>
      </w:r>
      <w:r>
        <w:rPr>
          <w:u w:val="none"/>
        </w:rPr>
        <w:t xml:space="preserve">écisions </w:t>
      </w:r>
      <w:hyperlink r:id="rId25" w:history="1">
        <w:r>
          <w:rPr>
            <w:rStyle w:val="Hyperlink"/>
          </w:rPr>
          <w:t>12.COM 13</w:t>
        </w:r>
      </w:hyperlink>
      <w:r>
        <w:rPr>
          <w:u w:val="none"/>
        </w:rPr>
        <w:t xml:space="preserve"> et </w:t>
      </w:r>
      <w:hyperlink r:id="rId26" w:history="1">
        <w:r>
          <w:rPr>
            <w:rStyle w:val="Hyperlink"/>
          </w:rPr>
          <w:t>12.COM 16</w:t>
        </w:r>
      </w:hyperlink>
      <w:r>
        <w:rPr>
          <w:u w:val="none"/>
        </w:rPr>
        <w:t xml:space="preserve"> et les </w:t>
      </w:r>
      <w:r w:rsidR="007F24B1">
        <w:rPr>
          <w:u w:val="none"/>
        </w:rPr>
        <w:t>r</w:t>
      </w:r>
      <w:r>
        <w:rPr>
          <w:u w:val="none"/>
        </w:rPr>
        <w:t xml:space="preserve">ésolutions </w:t>
      </w:r>
      <w:hyperlink r:id="rId27" w:history="1">
        <w:r w:rsidR="00113F2A">
          <w:rPr>
            <w:rStyle w:val="Hyperlink"/>
          </w:rPr>
          <w:t>7.GA </w:t>
        </w:r>
        <w:r>
          <w:rPr>
            <w:rStyle w:val="Hyperlink"/>
          </w:rPr>
          <w:t>12</w:t>
        </w:r>
      </w:hyperlink>
      <w:r>
        <w:rPr>
          <w:u w:val="none"/>
        </w:rPr>
        <w:t xml:space="preserve">, </w:t>
      </w:r>
      <w:hyperlink r:id="rId28" w:history="1">
        <w:r w:rsidR="00113F2A">
          <w:rPr>
            <w:rStyle w:val="Hyperlink"/>
          </w:rPr>
          <w:t>7.GA </w:t>
        </w:r>
        <w:r>
          <w:rPr>
            <w:rStyle w:val="Hyperlink"/>
          </w:rPr>
          <w:t>13</w:t>
        </w:r>
      </w:hyperlink>
      <w:r>
        <w:rPr>
          <w:u w:val="none"/>
        </w:rPr>
        <w:t xml:space="preserve"> et </w:t>
      </w:r>
      <w:hyperlink r:id="rId29" w:history="1">
        <w:r>
          <w:rPr>
            <w:rStyle w:val="Hyperlink"/>
          </w:rPr>
          <w:t>6.GA 11</w:t>
        </w:r>
      </w:hyperlink>
      <w:r>
        <w:rPr>
          <w:u w:val="none"/>
        </w:rPr>
        <w:t>,</w:t>
      </w:r>
    </w:p>
    <w:p w14:paraId="2B753F64" w14:textId="45D197DC" w:rsidR="009B7C08" w:rsidRPr="00942976" w:rsidRDefault="009B7C08" w:rsidP="009B7C08">
      <w:pPr>
        <w:pStyle w:val="COMParaDecision"/>
        <w:jc w:val="left"/>
      </w:pPr>
      <w:r>
        <w:t>Rappelant également</w:t>
      </w:r>
      <w:r>
        <w:rPr>
          <w:u w:val="none"/>
        </w:rPr>
        <w:t xml:space="preserve"> la </w:t>
      </w:r>
      <w:r w:rsidR="007F24B1">
        <w:rPr>
          <w:u w:val="none"/>
        </w:rPr>
        <w:t>r</w:t>
      </w:r>
      <w:r>
        <w:rPr>
          <w:u w:val="none"/>
        </w:rPr>
        <w:t>ésolution 39 C/87,</w:t>
      </w:r>
    </w:p>
    <w:p w14:paraId="4C0D9C18" w14:textId="2492F125" w:rsidR="004D7A1E" w:rsidRPr="00113F2A" w:rsidRDefault="009B7C08" w:rsidP="009B7C08">
      <w:pPr>
        <w:pStyle w:val="COMParaDecision"/>
      </w:pPr>
      <w:r>
        <w:t>Prend note</w:t>
      </w:r>
      <w:r>
        <w:rPr>
          <w:u w:val="none"/>
        </w:rPr>
        <w:t xml:space="preserve"> de l</w:t>
      </w:r>
      <w:r w:rsidR="00DD2F89">
        <w:rPr>
          <w:u w:val="none"/>
        </w:rPr>
        <w:t>’</w:t>
      </w:r>
      <w:r>
        <w:rPr>
          <w:u w:val="none"/>
        </w:rPr>
        <w:t>état d</w:t>
      </w:r>
      <w:r w:rsidR="00DD2F89">
        <w:rPr>
          <w:u w:val="none"/>
        </w:rPr>
        <w:t>’</w:t>
      </w:r>
      <w:r>
        <w:rPr>
          <w:u w:val="none"/>
        </w:rPr>
        <w:t>avancement de la mise en œuvre des recommandations sur la gouvernance d</w:t>
      </w:r>
      <w:r w:rsidR="00DD2F89">
        <w:rPr>
          <w:u w:val="none"/>
        </w:rPr>
        <w:t>’</w:t>
      </w:r>
      <w:r>
        <w:rPr>
          <w:u w:val="none"/>
        </w:rPr>
        <w:t xml:space="preserve">après le travail du </w:t>
      </w:r>
      <w:r w:rsidRPr="00113F2A">
        <w:rPr>
          <w:u w:val="none"/>
        </w:rPr>
        <w:t>Groupe de travail à composition non limitée sur la gouvernance, les procédures et les méthodes de travail des organes directeurs de l</w:t>
      </w:r>
      <w:r w:rsidR="00DD2F89" w:rsidRPr="00113F2A">
        <w:rPr>
          <w:u w:val="none"/>
        </w:rPr>
        <w:t>’</w:t>
      </w:r>
      <w:r w:rsidRPr="00113F2A">
        <w:rPr>
          <w:u w:val="none"/>
        </w:rPr>
        <w:t>UNESCO qui sont pertinentes pour les organes directeurs de la Convention de 2003 ;</w:t>
      </w:r>
    </w:p>
    <w:p w14:paraId="412A2A79" w14:textId="1BB9F8FF" w:rsidR="006501D3" w:rsidRPr="00113F2A" w:rsidRDefault="00C56349" w:rsidP="007F24B1">
      <w:pPr>
        <w:pStyle w:val="COMParaDecision"/>
      </w:pPr>
      <w:r w:rsidRPr="00113F2A">
        <w:t>Remercie</w:t>
      </w:r>
      <w:r w:rsidRPr="00113F2A">
        <w:rPr>
          <w:u w:val="none"/>
        </w:rPr>
        <w:t xml:space="preserve"> le Secrétariat d</w:t>
      </w:r>
      <w:r w:rsidR="00DD2F89" w:rsidRPr="00113F2A">
        <w:rPr>
          <w:u w:val="none"/>
        </w:rPr>
        <w:t>’</w:t>
      </w:r>
      <w:r w:rsidRPr="00113F2A">
        <w:rPr>
          <w:u w:val="none"/>
        </w:rPr>
        <w:t>avoir publié l</w:t>
      </w:r>
      <w:r w:rsidR="00DD2F89" w:rsidRPr="00113F2A">
        <w:rPr>
          <w:u w:val="none"/>
        </w:rPr>
        <w:t>’</w:t>
      </w:r>
      <w:r w:rsidRPr="00113F2A">
        <w:rPr>
          <w:u w:val="none"/>
        </w:rPr>
        <w:t>édition 2018 des Textes fondamentaux de la Convention en temps opportun, tout en veillant à l</w:t>
      </w:r>
      <w:r w:rsidR="00DD2F89" w:rsidRPr="00113F2A">
        <w:rPr>
          <w:u w:val="none"/>
        </w:rPr>
        <w:t>’</w:t>
      </w:r>
      <w:r w:rsidRPr="00113F2A">
        <w:rPr>
          <w:u w:val="none"/>
        </w:rPr>
        <w:t>utilisation d</w:t>
      </w:r>
      <w:r w:rsidR="00DD2F89" w:rsidRPr="00113F2A">
        <w:rPr>
          <w:u w:val="none"/>
        </w:rPr>
        <w:t>’</w:t>
      </w:r>
      <w:r w:rsidRPr="00113F2A">
        <w:rPr>
          <w:u w:val="none"/>
        </w:rPr>
        <w:t xml:space="preserve">un langage </w:t>
      </w:r>
      <w:r w:rsidR="007F24B1" w:rsidRPr="00113F2A">
        <w:rPr>
          <w:u w:val="none"/>
        </w:rPr>
        <w:t xml:space="preserve">neutre du point de vue du genre </w:t>
      </w:r>
      <w:r w:rsidRPr="00113F2A">
        <w:rPr>
          <w:u w:val="none"/>
        </w:rPr>
        <w:t>dans toute cette publication ;</w:t>
      </w:r>
    </w:p>
    <w:p w14:paraId="09AC3110" w14:textId="080CF19F" w:rsidR="008E3187" w:rsidRPr="00EE4900" w:rsidRDefault="006501D3" w:rsidP="007F24B1">
      <w:pPr>
        <w:pStyle w:val="COMParaDecision"/>
      </w:pPr>
      <w:r>
        <w:t>Prend également note</w:t>
      </w:r>
      <w:r>
        <w:rPr>
          <w:u w:val="none"/>
        </w:rPr>
        <w:t xml:space="preserve"> des efforts continus déployés par le Secteur de la culture dans l</w:t>
      </w:r>
      <w:r w:rsidR="00DD2F89">
        <w:rPr>
          <w:u w:val="none"/>
        </w:rPr>
        <w:t>’</w:t>
      </w:r>
      <w:r>
        <w:rPr>
          <w:u w:val="none"/>
        </w:rPr>
        <w:t xml:space="preserve">harmonisation des règlements intérieurs des organes directeurs des six conventions culturelles conformément à la </w:t>
      </w:r>
      <w:hyperlink r:id="rId30" w:history="1">
        <w:r w:rsidR="007F24B1" w:rsidRPr="00113F2A">
          <w:rPr>
            <w:rStyle w:val="Hyperlink"/>
          </w:rPr>
          <w:t>r</w:t>
        </w:r>
        <w:r w:rsidRPr="00113F2A">
          <w:rPr>
            <w:rStyle w:val="Hyperlink"/>
          </w:rPr>
          <w:t>ésolution 7.GA 13</w:t>
        </w:r>
      </w:hyperlink>
      <w:r>
        <w:rPr>
          <w:u w:val="none"/>
        </w:rPr>
        <w:t xml:space="preserve"> en vue de présenter la matrice contenant les modifications consolidées aux organes susmentionnés ;</w:t>
      </w:r>
    </w:p>
    <w:p w14:paraId="2DE2E2C5" w14:textId="46EF8A54" w:rsidR="009B7C08" w:rsidRPr="00EE4900" w:rsidRDefault="008E3187" w:rsidP="009B7C08">
      <w:pPr>
        <w:pStyle w:val="COMParaDecision"/>
        <w:rPr>
          <w:u w:val="none"/>
        </w:rPr>
      </w:pPr>
      <w:r>
        <w:t>Décide</w:t>
      </w:r>
      <w:r>
        <w:rPr>
          <w:u w:val="none"/>
        </w:rPr>
        <w:t xml:space="preserve"> de porter un point à l</w:t>
      </w:r>
      <w:r w:rsidR="00DD2F89">
        <w:rPr>
          <w:u w:val="none"/>
        </w:rPr>
        <w:t>’</w:t>
      </w:r>
      <w:r>
        <w:rPr>
          <w:u w:val="none"/>
        </w:rPr>
        <w:t>ordre du jour de sa quatorzième session, en 2019, sur le « suivi de la mise en œuvre des recommandations pertinentes du Groupe de travail à composition non limitée sur la gouvernance, les procédures et les méthodes de travail des organes directeurs de l</w:t>
      </w:r>
      <w:r w:rsidR="00DD2F89">
        <w:rPr>
          <w:u w:val="none"/>
        </w:rPr>
        <w:t>’</w:t>
      </w:r>
      <w:r>
        <w:rPr>
          <w:u w:val="none"/>
        </w:rPr>
        <w:t>UNESCO ».</w:t>
      </w:r>
    </w:p>
    <w:p w14:paraId="74225CA1" w14:textId="77777777" w:rsidR="009B7C08" w:rsidRPr="008E3187" w:rsidRDefault="009B7C08" w:rsidP="00EE4900">
      <w:pPr>
        <w:pStyle w:val="COMParaDecision"/>
        <w:numPr>
          <w:ilvl w:val="0"/>
          <w:numId w:val="0"/>
        </w:numPr>
        <w:ind w:left="567"/>
        <w:jc w:val="left"/>
      </w:pPr>
    </w:p>
    <w:p w14:paraId="65488E1D" w14:textId="77777777" w:rsidR="009B7C08" w:rsidRPr="00413491" w:rsidRDefault="009B7C08" w:rsidP="009B7C08">
      <w:pPr>
        <w:rPr>
          <w:rFonts w:ascii="Arial" w:hAnsi="Arial" w:cs="Arial"/>
          <w:snapToGrid w:val="0"/>
          <w:sz w:val="22"/>
          <w:szCs w:val="22"/>
          <w:lang w:eastAsia="en-US"/>
        </w:rPr>
        <w:sectPr w:rsidR="009B7C08" w:rsidRPr="00413491" w:rsidSect="00B04CDE">
          <w:headerReference w:type="even" r:id="rId31"/>
          <w:headerReference w:type="default" r:id="rId32"/>
          <w:headerReference w:type="first" r:id="rId33"/>
          <w:pgSz w:w="11906" w:h="16838" w:code="9"/>
          <w:pgMar w:top="1418" w:right="1134" w:bottom="1134" w:left="1134" w:header="397" w:footer="284" w:gutter="0"/>
          <w:cols w:space="708"/>
          <w:titlePg/>
          <w:docGrid w:linePitch="360"/>
        </w:sectPr>
      </w:pPr>
    </w:p>
    <w:p w14:paraId="2B80D1AB" w14:textId="77777777" w:rsidR="009B7C08" w:rsidRDefault="009B7C08" w:rsidP="009B7C08">
      <w:pPr>
        <w:spacing w:after="240"/>
        <w:jc w:val="center"/>
        <w:rPr>
          <w:rFonts w:ascii="Arial" w:hAnsi="Arial" w:cs="Arial"/>
          <w:b/>
          <w:snapToGrid w:val="0"/>
          <w:sz w:val="22"/>
          <w:szCs w:val="22"/>
        </w:rPr>
      </w:pPr>
      <w:r>
        <w:rPr>
          <w:rFonts w:ascii="Arial" w:hAnsi="Arial"/>
          <w:b/>
          <w:snapToGrid w:val="0"/>
          <w:sz w:val="22"/>
          <w:szCs w:val="22"/>
        </w:rPr>
        <w:lastRenderedPageBreak/>
        <w:t>ANNEXE</w:t>
      </w:r>
    </w:p>
    <w:p w14:paraId="07F84C84" w14:textId="3D128608" w:rsidR="009B7C08" w:rsidRPr="00472AC3" w:rsidRDefault="009B7C08" w:rsidP="009B7C08">
      <w:pPr>
        <w:spacing w:after="120"/>
        <w:jc w:val="center"/>
        <w:rPr>
          <w:rFonts w:ascii="Arial" w:hAnsi="Arial" w:cs="Arial"/>
          <w:b/>
          <w:smallCaps/>
          <w:snapToGrid w:val="0"/>
          <w:sz w:val="22"/>
          <w:szCs w:val="22"/>
        </w:rPr>
      </w:pPr>
      <w:r>
        <w:rPr>
          <w:rFonts w:ascii="Arial" w:hAnsi="Arial"/>
          <w:b/>
          <w:smallCaps/>
          <w:snapToGrid w:val="0"/>
          <w:sz w:val="22"/>
          <w:szCs w:val="22"/>
        </w:rPr>
        <w:t>Recommandations du groupe de travail à composition non limitée sur la gouvernance, les procédures et les méthodes de travail des organes directeurs de l</w:t>
      </w:r>
      <w:r w:rsidR="00DD2F89">
        <w:rPr>
          <w:rFonts w:ascii="Arial" w:hAnsi="Arial"/>
          <w:b/>
          <w:smallCaps/>
          <w:snapToGrid w:val="0"/>
          <w:sz w:val="22"/>
          <w:szCs w:val="22"/>
        </w:rPr>
        <w:t>’</w:t>
      </w:r>
      <w:r>
        <w:rPr>
          <w:rFonts w:ascii="Arial" w:hAnsi="Arial"/>
          <w:b/>
          <w:smallCaps/>
          <w:snapToGrid w:val="0"/>
          <w:sz w:val="22"/>
          <w:szCs w:val="22"/>
        </w:rPr>
        <w:t>UNESCO</w:t>
      </w:r>
    </w:p>
    <w:p w14:paraId="5B9C0AB1" w14:textId="7E1869C2" w:rsidR="009B7C08" w:rsidRPr="00472AC3" w:rsidRDefault="009B7C08" w:rsidP="009B7C08">
      <w:pPr>
        <w:spacing w:after="240"/>
        <w:jc w:val="center"/>
        <w:rPr>
          <w:rFonts w:ascii="Arial" w:hAnsi="Arial" w:cs="Arial"/>
          <w:smallCaps/>
          <w:snapToGrid w:val="0"/>
          <w:sz w:val="22"/>
          <w:szCs w:val="22"/>
        </w:rPr>
      </w:pPr>
      <w:r>
        <w:rPr>
          <w:rFonts w:ascii="Arial" w:hAnsi="Arial"/>
          <w:b/>
          <w:smallCaps/>
          <w:snapToGrid w:val="0"/>
          <w:sz w:val="22"/>
          <w:szCs w:val="22"/>
        </w:rPr>
        <w:t>Partie 2. Structure, composition et méthodes de travail des organes internationaux et intergouvernementaux (OII) de l</w:t>
      </w:r>
      <w:r w:rsidR="00DD2F89">
        <w:rPr>
          <w:rFonts w:ascii="Arial" w:hAnsi="Arial"/>
          <w:b/>
          <w:smallCaps/>
          <w:snapToGrid w:val="0"/>
          <w:sz w:val="22"/>
          <w:szCs w:val="22"/>
        </w:rPr>
        <w:t>’</w:t>
      </w:r>
      <w:r>
        <w:rPr>
          <w:rFonts w:ascii="Arial" w:hAnsi="Arial"/>
          <w:b/>
          <w:smallCaps/>
          <w:snapToGrid w:val="0"/>
          <w:sz w:val="22"/>
          <w:szCs w:val="22"/>
        </w:rPr>
        <w:t>UNESCO</w:t>
      </w:r>
      <w:r>
        <w:rPr>
          <w:rStyle w:val="FootnoteReference"/>
          <w:rFonts w:ascii="Arial" w:hAnsi="Arial" w:cs="Arial"/>
          <w:b/>
          <w:smallCaps/>
          <w:snapToGrid w:val="0"/>
          <w:sz w:val="22"/>
          <w:szCs w:val="22"/>
          <w:lang w:val="en-GB" w:eastAsia="en-US"/>
        </w:rPr>
        <w:footnoteReference w:id="2"/>
      </w:r>
    </w:p>
    <w:tbl>
      <w:tblPr>
        <w:tblStyle w:val="TableGrid"/>
        <w:tblW w:w="5000" w:type="pct"/>
        <w:tblLook w:val="04A0" w:firstRow="1" w:lastRow="0" w:firstColumn="1" w:lastColumn="0" w:noHBand="0" w:noVBand="1"/>
      </w:tblPr>
      <w:tblGrid>
        <w:gridCol w:w="5956"/>
        <w:gridCol w:w="8320"/>
      </w:tblGrid>
      <w:tr w:rsidR="009B7C08" w:rsidRPr="00985ABE" w14:paraId="59845E47" w14:textId="77777777" w:rsidTr="00B04CDE">
        <w:trPr>
          <w:trHeight w:val="340"/>
          <w:tblHeader/>
        </w:trPr>
        <w:tc>
          <w:tcPr>
            <w:tcW w:w="6059" w:type="dxa"/>
            <w:vAlign w:val="center"/>
          </w:tcPr>
          <w:p w14:paraId="0C52FE9F" w14:textId="77777777" w:rsidR="009B7C08" w:rsidRPr="00985ABE" w:rsidRDefault="009B7C08" w:rsidP="00B04CDE">
            <w:pPr>
              <w:rPr>
                <w:rFonts w:ascii="Arial" w:hAnsi="Arial" w:cs="Arial"/>
                <w:b/>
                <w:snapToGrid w:val="0"/>
                <w:sz w:val="22"/>
                <w:szCs w:val="22"/>
              </w:rPr>
            </w:pPr>
            <w:r>
              <w:rPr>
                <w:rFonts w:ascii="Arial" w:hAnsi="Arial"/>
                <w:b/>
                <w:snapToGrid w:val="0"/>
                <w:sz w:val="22"/>
                <w:szCs w:val="22"/>
              </w:rPr>
              <w:t>Recommandation</w:t>
            </w:r>
          </w:p>
        </w:tc>
        <w:tc>
          <w:tcPr>
            <w:tcW w:w="8501" w:type="dxa"/>
            <w:vAlign w:val="center"/>
          </w:tcPr>
          <w:p w14:paraId="66FED6D4" w14:textId="77777777" w:rsidR="009B7C08" w:rsidRPr="00985ABE" w:rsidRDefault="009B7C08" w:rsidP="00B04CDE">
            <w:pPr>
              <w:rPr>
                <w:rFonts w:ascii="Arial" w:hAnsi="Arial" w:cs="Arial"/>
                <w:b/>
                <w:snapToGrid w:val="0"/>
                <w:sz w:val="22"/>
                <w:szCs w:val="22"/>
              </w:rPr>
            </w:pPr>
            <w:r>
              <w:rPr>
                <w:rFonts w:ascii="Arial" w:hAnsi="Arial"/>
                <w:b/>
                <w:snapToGrid w:val="0"/>
                <w:sz w:val="22"/>
                <w:szCs w:val="22"/>
              </w:rPr>
              <w:t>État</w:t>
            </w:r>
          </w:p>
        </w:tc>
      </w:tr>
      <w:tr w:rsidR="009B7C08" w:rsidRPr="007C392A" w14:paraId="14EDFFC0" w14:textId="77777777" w:rsidTr="00B04CDE">
        <w:trPr>
          <w:trHeight w:val="340"/>
        </w:trPr>
        <w:tc>
          <w:tcPr>
            <w:tcW w:w="14560" w:type="dxa"/>
            <w:gridSpan w:val="2"/>
            <w:shd w:val="clear" w:color="auto" w:fill="D9D9D9" w:themeFill="background1" w:themeFillShade="D9"/>
            <w:vAlign w:val="center"/>
          </w:tcPr>
          <w:p w14:paraId="4621ACC6" w14:textId="77777777" w:rsidR="009B7C08" w:rsidRPr="00C366E0" w:rsidRDefault="009B7C08" w:rsidP="00B04CDE">
            <w:pPr>
              <w:tabs>
                <w:tab w:val="left" w:pos="555"/>
              </w:tabs>
              <w:rPr>
                <w:rFonts w:ascii="Arial" w:hAnsi="Arial" w:cs="Arial"/>
                <w:bCs/>
                <w:smallCaps/>
                <w:snapToGrid w:val="0"/>
                <w:sz w:val="22"/>
                <w:szCs w:val="22"/>
              </w:rPr>
            </w:pPr>
            <w:r>
              <w:rPr>
                <w:rFonts w:ascii="Arial" w:hAnsi="Arial"/>
                <w:b/>
                <w:smallCaps/>
                <w:snapToGrid w:val="0"/>
                <w:sz w:val="22"/>
                <w:szCs w:val="22"/>
              </w:rPr>
              <w:t>B.</w:t>
            </w:r>
            <w:r>
              <w:rPr>
                <w:rFonts w:ascii="Arial" w:hAnsi="Arial"/>
                <w:b/>
                <w:smallCaps/>
                <w:snapToGrid w:val="0"/>
                <w:sz w:val="22"/>
                <w:szCs w:val="22"/>
              </w:rPr>
              <w:tab/>
              <w:t>Recommandations générales à tous les organes internationaux et intergouvernementaux (OII)</w:t>
            </w:r>
          </w:p>
        </w:tc>
      </w:tr>
      <w:tr w:rsidR="009B7C08" w:rsidRPr="007C392A" w14:paraId="05903681" w14:textId="77777777" w:rsidTr="00B04CDE">
        <w:trPr>
          <w:trHeight w:val="340"/>
        </w:trPr>
        <w:tc>
          <w:tcPr>
            <w:tcW w:w="14560" w:type="dxa"/>
            <w:gridSpan w:val="2"/>
            <w:shd w:val="clear" w:color="auto" w:fill="F2F2F2" w:themeFill="background1" w:themeFillShade="F2"/>
            <w:vAlign w:val="center"/>
          </w:tcPr>
          <w:p w14:paraId="097917BC" w14:textId="77777777" w:rsidR="009B7C08" w:rsidRPr="00C366E0" w:rsidRDefault="009B7C08" w:rsidP="00B04CDE">
            <w:pPr>
              <w:tabs>
                <w:tab w:val="left" w:pos="555"/>
              </w:tabs>
              <w:rPr>
                <w:rFonts w:ascii="Arial" w:hAnsi="Arial" w:cs="Arial"/>
                <w:bCs/>
                <w:smallCaps/>
                <w:snapToGrid w:val="0"/>
                <w:sz w:val="22"/>
                <w:szCs w:val="22"/>
              </w:rPr>
            </w:pPr>
            <w:r>
              <w:rPr>
                <w:rFonts w:ascii="Arial" w:hAnsi="Arial"/>
                <w:b/>
                <w:snapToGrid w:val="0"/>
                <w:sz w:val="22"/>
                <w:szCs w:val="22"/>
              </w:rPr>
              <w:t>Efficacité (mandat, composition, structure, règlement intérieur, méthode de travail)</w:t>
            </w:r>
          </w:p>
        </w:tc>
      </w:tr>
      <w:tr w:rsidR="009B7C08" w:rsidRPr="007C392A" w14:paraId="1B7DA079" w14:textId="77777777" w:rsidTr="00B04CDE">
        <w:tc>
          <w:tcPr>
            <w:tcW w:w="6059" w:type="dxa"/>
          </w:tcPr>
          <w:p w14:paraId="0887B6FA" w14:textId="29664AD5"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rPr>
            </w:pPr>
            <w:r>
              <w:rPr>
                <w:rFonts w:ascii="Arial" w:hAnsi="Arial"/>
                <w:snapToGrid w:val="0"/>
                <w:sz w:val="22"/>
                <w:szCs w:val="22"/>
              </w:rPr>
              <w:t>Les OII sont invités à actualiser leurs mandats, le cas échéant, y compris leurs objectifs et leurs programmes pour plus de cohérence par rapport aux priorités approuvées du C/5 et une meilleure prise en compte des évolutions planétaires actuelles, telles que le Programme de développement durable à l</w:t>
            </w:r>
            <w:r w:rsidR="00DD2F89">
              <w:rPr>
                <w:rFonts w:ascii="Arial" w:hAnsi="Arial"/>
                <w:snapToGrid w:val="0"/>
                <w:sz w:val="22"/>
                <w:szCs w:val="22"/>
              </w:rPr>
              <w:t>’</w:t>
            </w:r>
            <w:r>
              <w:rPr>
                <w:rFonts w:ascii="Arial" w:hAnsi="Arial"/>
                <w:snapToGrid w:val="0"/>
                <w:sz w:val="22"/>
                <w:szCs w:val="22"/>
              </w:rPr>
              <w:t>horizon 2030 et l</w:t>
            </w:r>
            <w:r w:rsidR="00DD2F89">
              <w:rPr>
                <w:rFonts w:ascii="Arial" w:hAnsi="Arial"/>
                <w:snapToGrid w:val="0"/>
                <w:sz w:val="22"/>
                <w:szCs w:val="22"/>
              </w:rPr>
              <w:t>’</w:t>
            </w:r>
            <w:r>
              <w:rPr>
                <w:rFonts w:ascii="Arial" w:hAnsi="Arial"/>
                <w:snapToGrid w:val="0"/>
                <w:sz w:val="22"/>
                <w:szCs w:val="22"/>
              </w:rPr>
              <w:t>Accord de Paris sur les changements climatiques.</w:t>
            </w:r>
          </w:p>
          <w:p w14:paraId="59834C91" w14:textId="77777777" w:rsidR="009B7C08" w:rsidRPr="00E863FC" w:rsidRDefault="009B7C08" w:rsidP="00B04CDE">
            <w:pPr>
              <w:tabs>
                <w:tab w:val="left" w:pos="567"/>
              </w:tabs>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Pr>
          <w:p w14:paraId="1D1D35E9" w14:textId="5A526EFB"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Les mandats de l</w:t>
            </w:r>
            <w:r w:rsidR="00DD2F89">
              <w:rPr>
                <w:rFonts w:ascii="Arial" w:hAnsi="Arial"/>
                <w:snapToGrid w:val="0"/>
                <w:sz w:val="22"/>
                <w:szCs w:val="22"/>
              </w:rPr>
              <w:t>’</w:t>
            </w:r>
            <w:r>
              <w:rPr>
                <w:rFonts w:ascii="Arial" w:hAnsi="Arial"/>
                <w:snapToGrid w:val="0"/>
                <w:sz w:val="22"/>
                <w:szCs w:val="22"/>
              </w:rPr>
              <w:t xml:space="preserve">Assemblée générale et du Comité sont définis dans le texte de la Convention, aux </w:t>
            </w:r>
            <w:hyperlink r:id="rId34" w:anchor="art4" w:history="1">
              <w:r>
                <w:rPr>
                  <w:rStyle w:val="Hyperlink"/>
                  <w:rFonts w:ascii="Arial" w:hAnsi="Arial"/>
                  <w:snapToGrid w:val="0"/>
                  <w:sz w:val="22"/>
                  <w:szCs w:val="22"/>
                </w:rPr>
                <w:t>articles 4</w:t>
              </w:r>
            </w:hyperlink>
            <w:r>
              <w:rPr>
                <w:rFonts w:ascii="Arial" w:hAnsi="Arial"/>
                <w:snapToGrid w:val="0"/>
                <w:sz w:val="22"/>
                <w:szCs w:val="22"/>
              </w:rPr>
              <w:t xml:space="preserve"> et </w:t>
            </w:r>
            <w:hyperlink r:id="rId35" w:anchor="art7" w:history="1">
              <w:r>
                <w:rPr>
                  <w:rStyle w:val="Hyperlink"/>
                  <w:rFonts w:ascii="Arial" w:hAnsi="Arial"/>
                  <w:snapToGrid w:val="0"/>
                  <w:sz w:val="22"/>
                  <w:szCs w:val="22"/>
                </w:rPr>
                <w:t>7</w:t>
              </w:r>
            </w:hyperlink>
            <w:r>
              <w:rPr>
                <w:rFonts w:ascii="Arial" w:hAnsi="Arial"/>
                <w:snapToGrid w:val="0"/>
                <w:sz w:val="22"/>
                <w:szCs w:val="22"/>
              </w:rPr>
              <w:t>, respectivement.</w:t>
            </w:r>
          </w:p>
          <w:p w14:paraId="04AA0051" w14:textId="555F69CB"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ordre du jour de chaque session des organes directeurs contient des points qui répondent aux priorités approuvées du C/5 et aux évolutions planétaires. Par exemple :</w:t>
            </w:r>
          </w:p>
          <w:p w14:paraId="08DAE0A5" w14:textId="4DC6E39C" w:rsidR="009B7C08" w:rsidRDefault="009B7C08" w:rsidP="00A741D3">
            <w:pPr>
              <w:pStyle w:val="ListParagraph"/>
              <w:numPr>
                <w:ilvl w:val="0"/>
                <w:numId w:val="9"/>
              </w:numPr>
              <w:spacing w:after="120"/>
              <w:ind w:left="811" w:hanging="454"/>
              <w:contextualSpacing w:val="0"/>
              <w:jc w:val="both"/>
              <w:rPr>
                <w:rFonts w:ascii="Arial" w:hAnsi="Arial" w:cs="Arial"/>
                <w:snapToGrid w:val="0"/>
                <w:sz w:val="22"/>
                <w:szCs w:val="22"/>
              </w:rPr>
            </w:pPr>
            <w:r>
              <w:rPr>
                <w:rFonts w:ascii="Arial" w:hAnsi="Arial"/>
                <w:snapToGrid w:val="0"/>
                <w:sz w:val="22"/>
                <w:szCs w:val="22"/>
              </w:rPr>
              <w:t>Lors de sa sixième session en juin 2016, l</w:t>
            </w:r>
            <w:r w:rsidR="00DD2F89">
              <w:rPr>
                <w:rFonts w:ascii="Arial" w:hAnsi="Arial"/>
                <w:snapToGrid w:val="0"/>
                <w:sz w:val="22"/>
                <w:szCs w:val="22"/>
              </w:rPr>
              <w:t>’</w:t>
            </w:r>
            <w:r>
              <w:rPr>
                <w:rFonts w:ascii="Arial" w:hAnsi="Arial"/>
                <w:snapToGrid w:val="0"/>
                <w:sz w:val="22"/>
                <w:szCs w:val="22"/>
              </w:rPr>
              <w:t>Assemblée générale a adopté un nouveau chapitre des Directives opérationnelles sur la sauvegarde du patrimoine culturel immatériel et le développement durable au niveau national (</w:t>
            </w:r>
            <w:hyperlink r:id="rId36" w:history="1">
              <w:r w:rsidR="007F24B1">
                <w:rPr>
                  <w:rStyle w:val="Hyperlink"/>
                  <w:rFonts w:ascii="Arial" w:hAnsi="Arial"/>
                  <w:snapToGrid w:val="0"/>
                  <w:sz w:val="22"/>
                  <w:szCs w:val="22"/>
                </w:rPr>
                <w:t>r</w:t>
              </w:r>
              <w:r>
                <w:rPr>
                  <w:rStyle w:val="Hyperlink"/>
                  <w:rFonts w:ascii="Arial" w:hAnsi="Arial"/>
                  <w:snapToGrid w:val="0"/>
                  <w:sz w:val="22"/>
                  <w:szCs w:val="22"/>
                </w:rPr>
                <w:t>ésolution 6.GA 7</w:t>
              </w:r>
            </w:hyperlink>
            <w:r>
              <w:rPr>
                <w:rFonts w:ascii="Arial" w:hAnsi="Arial"/>
                <w:snapToGrid w:val="0"/>
                <w:sz w:val="22"/>
                <w:szCs w:val="22"/>
              </w:rPr>
              <w:t>). Dans ce nouveau chapitre, figure également le paragraphe 181 consacré à l</w:t>
            </w:r>
            <w:r w:rsidR="00DD2F89">
              <w:rPr>
                <w:rFonts w:ascii="Arial" w:hAnsi="Arial"/>
                <w:snapToGrid w:val="0"/>
                <w:sz w:val="22"/>
                <w:szCs w:val="22"/>
              </w:rPr>
              <w:t>’</w:t>
            </w:r>
            <w:r>
              <w:rPr>
                <w:rFonts w:ascii="Arial" w:hAnsi="Arial"/>
                <w:snapToGrid w:val="0"/>
                <w:sz w:val="22"/>
                <w:szCs w:val="22"/>
              </w:rPr>
              <w:t>égalité des genres, l</w:t>
            </w:r>
            <w:r w:rsidR="00DD2F89">
              <w:rPr>
                <w:rFonts w:ascii="Arial" w:hAnsi="Arial"/>
                <w:snapToGrid w:val="0"/>
                <w:sz w:val="22"/>
                <w:szCs w:val="22"/>
              </w:rPr>
              <w:t>’</w:t>
            </w:r>
            <w:r>
              <w:rPr>
                <w:rFonts w:ascii="Arial" w:hAnsi="Arial"/>
                <w:snapToGrid w:val="0"/>
                <w:sz w:val="22"/>
                <w:szCs w:val="22"/>
              </w:rPr>
              <w:t>une des priorités globales de l</w:t>
            </w:r>
            <w:r w:rsidR="00DD2F89">
              <w:rPr>
                <w:rFonts w:ascii="Arial" w:hAnsi="Arial"/>
                <w:snapToGrid w:val="0"/>
                <w:sz w:val="22"/>
                <w:szCs w:val="22"/>
              </w:rPr>
              <w:t>’</w:t>
            </w:r>
            <w:r>
              <w:rPr>
                <w:rFonts w:ascii="Arial" w:hAnsi="Arial"/>
                <w:snapToGrid w:val="0"/>
                <w:sz w:val="22"/>
                <w:szCs w:val="22"/>
              </w:rPr>
              <w:t>UNESCO.</w:t>
            </w:r>
          </w:p>
          <w:p w14:paraId="4FE8DCC7" w14:textId="0A49A563" w:rsidR="009B7C08" w:rsidRPr="00E863FC" w:rsidRDefault="009B7C08" w:rsidP="00A741D3">
            <w:pPr>
              <w:pStyle w:val="ListParagraph"/>
              <w:numPr>
                <w:ilvl w:val="0"/>
                <w:numId w:val="9"/>
              </w:numPr>
              <w:spacing w:after="120"/>
              <w:ind w:left="811" w:hanging="454"/>
              <w:contextualSpacing w:val="0"/>
              <w:jc w:val="both"/>
              <w:rPr>
                <w:rFonts w:ascii="Arial" w:hAnsi="Arial" w:cs="Arial"/>
                <w:snapToGrid w:val="0"/>
                <w:sz w:val="22"/>
                <w:szCs w:val="22"/>
              </w:rPr>
            </w:pPr>
            <w:r>
              <w:rPr>
                <w:rFonts w:ascii="Arial" w:hAnsi="Arial"/>
                <w:snapToGrid w:val="0"/>
                <w:sz w:val="22"/>
                <w:szCs w:val="22"/>
              </w:rPr>
              <w:t xml:space="preserve">Afin </w:t>
            </w:r>
            <w:r>
              <w:rPr>
                <w:rFonts w:ascii="Arial" w:hAnsi="Arial"/>
                <w:bCs/>
                <w:snapToGrid w:val="0"/>
                <w:sz w:val="22"/>
                <w:szCs w:val="22"/>
              </w:rPr>
              <w:t>d</w:t>
            </w:r>
            <w:r w:rsidR="00DD2F89">
              <w:rPr>
                <w:rFonts w:ascii="Arial" w:hAnsi="Arial"/>
                <w:bCs/>
                <w:snapToGrid w:val="0"/>
                <w:sz w:val="22"/>
                <w:szCs w:val="22"/>
              </w:rPr>
              <w:t>’</w:t>
            </w:r>
            <w:r>
              <w:rPr>
                <w:rFonts w:ascii="Arial" w:hAnsi="Arial"/>
                <w:bCs/>
                <w:snapToGrid w:val="0"/>
                <w:sz w:val="22"/>
                <w:szCs w:val="22"/>
              </w:rPr>
              <w:t>aborder le rôle de la Convention de 2003 dans les situations d</w:t>
            </w:r>
            <w:r w:rsidR="00DD2F89">
              <w:rPr>
                <w:rFonts w:ascii="Arial" w:hAnsi="Arial"/>
                <w:bCs/>
                <w:snapToGrid w:val="0"/>
                <w:sz w:val="22"/>
                <w:szCs w:val="22"/>
              </w:rPr>
              <w:t>’</w:t>
            </w:r>
            <w:r>
              <w:rPr>
                <w:rFonts w:ascii="Arial" w:hAnsi="Arial"/>
                <w:bCs/>
                <w:snapToGrid w:val="0"/>
                <w:sz w:val="22"/>
                <w:szCs w:val="22"/>
              </w:rPr>
              <w:t>urgence,</w:t>
            </w:r>
            <w:r>
              <w:rPr>
                <w:rFonts w:ascii="Arial" w:hAnsi="Arial"/>
                <w:snapToGrid w:val="0"/>
                <w:sz w:val="22"/>
                <w:szCs w:val="22"/>
              </w:rPr>
              <w:t xml:space="preserve"> un point intitulé « Le patrimoine culturel immatériel dans les situations d</w:t>
            </w:r>
            <w:r w:rsidR="00DD2F89">
              <w:rPr>
                <w:rFonts w:ascii="Arial" w:hAnsi="Arial"/>
                <w:snapToGrid w:val="0"/>
                <w:sz w:val="22"/>
                <w:szCs w:val="22"/>
              </w:rPr>
              <w:t>’</w:t>
            </w:r>
            <w:r>
              <w:rPr>
                <w:rFonts w:ascii="Arial" w:hAnsi="Arial"/>
                <w:snapToGrid w:val="0"/>
                <w:sz w:val="22"/>
                <w:szCs w:val="22"/>
              </w:rPr>
              <w:t>urgence » figurait à l</w:t>
            </w:r>
            <w:r w:rsidR="00DD2F89">
              <w:rPr>
                <w:rFonts w:ascii="Arial" w:hAnsi="Arial"/>
                <w:snapToGrid w:val="0"/>
                <w:sz w:val="22"/>
                <w:szCs w:val="22"/>
              </w:rPr>
              <w:t>’</w:t>
            </w:r>
            <w:r>
              <w:rPr>
                <w:rFonts w:ascii="Arial" w:hAnsi="Arial"/>
                <w:snapToGrid w:val="0"/>
                <w:sz w:val="22"/>
                <w:szCs w:val="22"/>
              </w:rPr>
              <w:t>ordre du jour des onzième et douzième sessions du Comité.</w:t>
            </w:r>
          </w:p>
          <w:p w14:paraId="336A9908" w14:textId="2DFEA855" w:rsidR="009B7C08" w:rsidRPr="00E863FC" w:rsidRDefault="00B14159" w:rsidP="00A741D3">
            <w:pPr>
              <w:pStyle w:val="ListParagraph"/>
              <w:numPr>
                <w:ilvl w:val="0"/>
                <w:numId w:val="9"/>
              </w:numPr>
              <w:spacing w:after="120"/>
              <w:ind w:left="811" w:hanging="454"/>
              <w:contextualSpacing w:val="0"/>
              <w:jc w:val="both"/>
              <w:rPr>
                <w:rFonts w:ascii="Arial" w:hAnsi="Arial" w:cs="Arial"/>
                <w:snapToGrid w:val="0"/>
                <w:sz w:val="22"/>
                <w:szCs w:val="22"/>
              </w:rPr>
            </w:pPr>
            <w:r w:rsidRPr="008D7D7C">
              <w:rPr>
                <w:rFonts w:ascii="Arial" w:hAnsi="Arial" w:cs="Arial"/>
                <w:bCs/>
                <w:snapToGrid w:val="0"/>
                <w:sz w:val="22"/>
                <w:szCs w:val="22"/>
              </w:rPr>
              <w:t>Lors de sa douzième session</w:t>
            </w:r>
            <w:r w:rsidRPr="008D7D7C">
              <w:rPr>
                <w:rFonts w:ascii="Arial" w:hAnsi="Arial" w:cs="Arial"/>
                <w:snapToGrid w:val="0"/>
                <w:sz w:val="22"/>
                <w:szCs w:val="22"/>
              </w:rPr>
              <w:t xml:space="preserve"> le Comité a en outre approuvé deux priorités de financement ; dont l’une vise à déployer des efforts pour inclure le patrimoine culturel immatériel dans l’éducation formelle et non formelle avec la coopération du secteur de l’éducation. Cette priorité devrait aider à atteindre l’Objectif de développement durable 4 en renforçant la pertinence et la qualité de plusieurs domaines d’études et en favorisant l’éducation à la paix et au développement durable </w:t>
            </w:r>
            <w:r w:rsidRPr="00ED6EEA">
              <w:rPr>
                <w:rFonts w:ascii="Arial" w:hAnsi="Arial" w:cs="Arial"/>
                <w:snapToGrid w:val="0"/>
                <w:sz w:val="22"/>
                <w:szCs w:val="22"/>
              </w:rPr>
              <w:t>(</w:t>
            </w:r>
            <w:hyperlink r:id="rId37" w:history="1">
              <w:r w:rsidRPr="00ED6EEA">
                <w:rPr>
                  <w:rStyle w:val="Hyperlink"/>
                  <w:rFonts w:ascii="Arial" w:hAnsi="Arial" w:cs="Arial"/>
                  <w:snapToGrid w:val="0"/>
                  <w:sz w:val="22"/>
                  <w:szCs w:val="22"/>
                </w:rPr>
                <w:t>décision 12.COM 6</w:t>
              </w:r>
            </w:hyperlink>
            <w:r w:rsidRPr="00ED6EEA">
              <w:rPr>
                <w:rFonts w:ascii="Arial" w:hAnsi="Arial" w:cs="Arial"/>
                <w:snapToGrid w:val="0"/>
                <w:sz w:val="22"/>
                <w:szCs w:val="22"/>
              </w:rPr>
              <w:t>).</w:t>
            </w:r>
          </w:p>
        </w:tc>
      </w:tr>
      <w:tr w:rsidR="009B7C08" w:rsidRPr="007C392A" w14:paraId="2CAAE75C" w14:textId="77777777" w:rsidTr="00B04CDE">
        <w:tc>
          <w:tcPr>
            <w:tcW w:w="6059" w:type="dxa"/>
          </w:tcPr>
          <w:p w14:paraId="3D821042" w14:textId="49B12F91"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Afin de promouvoir la diversité et l</w:t>
            </w:r>
            <w:r w:rsidR="00DD2F89">
              <w:rPr>
                <w:rFonts w:ascii="Arial" w:hAnsi="Arial"/>
                <w:snapToGrid w:val="0"/>
                <w:sz w:val="22"/>
                <w:szCs w:val="22"/>
              </w:rPr>
              <w:t>’</w:t>
            </w:r>
            <w:r>
              <w:rPr>
                <w:rFonts w:ascii="Arial" w:hAnsi="Arial"/>
                <w:snapToGrid w:val="0"/>
                <w:sz w:val="22"/>
                <w:szCs w:val="22"/>
              </w:rPr>
              <w:t>ouverture, il est recommandé de limiter à deux, sur une base volontaire, le nombre de mandats consécutifs pour les OII qui ne fixent actuellement aucune limite en la matière.</w:t>
            </w:r>
          </w:p>
          <w:p w14:paraId="41B686B3" w14:textId="77777777" w:rsidR="009B7C08" w:rsidRPr="00E863FC" w:rsidRDefault="009B7C08" w:rsidP="00B04CDE">
            <w:pPr>
              <w:tabs>
                <w:tab w:val="left" w:pos="567"/>
              </w:tabs>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Pr>
          <w:p w14:paraId="125A48E3" w14:textId="3546C809" w:rsidR="009B7C08" w:rsidRPr="00932CF6" w:rsidRDefault="00D351EB" w:rsidP="00A741D3">
            <w:pPr>
              <w:pStyle w:val="ListParagraph"/>
              <w:numPr>
                <w:ilvl w:val="0"/>
                <w:numId w:val="7"/>
              </w:numPr>
              <w:spacing w:after="120"/>
              <w:ind w:left="357" w:hanging="357"/>
              <w:contextualSpacing w:val="0"/>
              <w:jc w:val="both"/>
              <w:rPr>
                <w:rFonts w:ascii="Arial" w:hAnsi="Arial" w:cs="Arial"/>
                <w:snapToGrid w:val="0"/>
                <w:sz w:val="22"/>
                <w:szCs w:val="22"/>
              </w:rPr>
            </w:pPr>
            <w:r w:rsidRPr="00DD2F89">
              <w:rPr>
                <w:rFonts w:ascii="Arial" w:hAnsi="Arial" w:cs="Arial"/>
                <w:sz w:val="22"/>
                <w:szCs w:val="22"/>
              </w:rPr>
              <w:t>L</w:t>
            </w:r>
            <w:r w:rsidR="00DD2F89" w:rsidRPr="00DD2F89">
              <w:rPr>
                <w:rFonts w:ascii="Arial" w:hAnsi="Arial" w:cs="Arial"/>
                <w:sz w:val="22"/>
                <w:szCs w:val="22"/>
              </w:rPr>
              <w:t>’</w:t>
            </w:r>
            <w:hyperlink r:id="rId38" w:anchor="art6" w:history="1">
              <w:r w:rsidRPr="00DD2F89">
                <w:rPr>
                  <w:rStyle w:val="Hyperlink"/>
                  <w:rFonts w:ascii="Arial" w:hAnsi="Arial" w:cs="Arial"/>
                  <w:snapToGrid w:val="0"/>
                  <w:sz w:val="22"/>
                  <w:szCs w:val="22"/>
                </w:rPr>
                <w:t>article 6.6</w:t>
              </w:r>
            </w:hyperlink>
            <w:r w:rsidRPr="00DD2F89">
              <w:rPr>
                <w:rFonts w:ascii="Arial" w:hAnsi="Arial" w:cs="Arial"/>
                <w:snapToGrid w:val="0"/>
                <w:sz w:val="22"/>
                <w:szCs w:val="22"/>
              </w:rPr>
              <w:t xml:space="preserve"> de la Convention stipule « [qu</w:t>
            </w:r>
            <w:r w:rsidR="00DD2F89" w:rsidRPr="00DD2F89">
              <w:rPr>
                <w:rFonts w:ascii="Arial" w:hAnsi="Arial" w:cs="Arial"/>
                <w:snapToGrid w:val="0"/>
                <w:sz w:val="22"/>
                <w:szCs w:val="22"/>
              </w:rPr>
              <w:t>’</w:t>
            </w:r>
            <w:r w:rsidRPr="00DD2F89">
              <w:rPr>
                <w:rFonts w:ascii="Arial" w:hAnsi="Arial" w:cs="Arial"/>
                <w:snapToGrid w:val="0"/>
                <w:sz w:val="22"/>
                <w:szCs w:val="22"/>
              </w:rPr>
              <w:t>un] État membre du Comité ne peut être élu pour deux</w:t>
            </w:r>
            <w:r>
              <w:rPr>
                <w:rFonts w:ascii="Arial" w:hAnsi="Arial"/>
                <w:snapToGrid w:val="0"/>
                <w:sz w:val="22"/>
                <w:szCs w:val="22"/>
              </w:rPr>
              <w:t xml:space="preserve"> mandats consécutifs ».</w:t>
            </w:r>
          </w:p>
        </w:tc>
      </w:tr>
      <w:tr w:rsidR="009B7C08" w:rsidRPr="007C392A" w14:paraId="5AF1DA81" w14:textId="77777777" w:rsidTr="00B04CDE">
        <w:tc>
          <w:tcPr>
            <w:tcW w:w="6059" w:type="dxa"/>
          </w:tcPr>
          <w:p w14:paraId="337A856C" w14:textId="591D91CF" w:rsidR="009B7C08" w:rsidRPr="00E863FC" w:rsidRDefault="009B7C08" w:rsidP="00A741D3">
            <w:pPr>
              <w:pStyle w:val="ListParagraph"/>
              <w:numPr>
                <w:ilvl w:val="0"/>
                <w:numId w:val="8"/>
              </w:numPr>
              <w:tabs>
                <w:tab w:val="left" w:pos="567"/>
              </w:tabs>
              <w:spacing w:after="120"/>
              <w:ind w:left="567" w:hanging="567"/>
              <w:contextualSpacing w:val="0"/>
              <w:jc w:val="both"/>
              <w:rPr>
                <w:rFonts w:ascii="Arial" w:hAnsi="Arial" w:cs="Arial"/>
                <w:snapToGrid w:val="0"/>
                <w:sz w:val="22"/>
                <w:szCs w:val="22"/>
              </w:rPr>
            </w:pPr>
            <w:r>
              <w:rPr>
                <w:rFonts w:ascii="Arial" w:hAnsi="Arial"/>
                <w:snapToGrid w:val="0"/>
                <w:sz w:val="22"/>
                <w:szCs w:val="22"/>
              </w:rPr>
              <w:t>D</w:t>
            </w:r>
            <w:r w:rsidR="00DD2F89">
              <w:rPr>
                <w:rFonts w:ascii="Arial" w:hAnsi="Arial"/>
                <w:snapToGrid w:val="0"/>
                <w:sz w:val="22"/>
                <w:szCs w:val="22"/>
              </w:rPr>
              <w:t>’</w:t>
            </w:r>
            <w:r>
              <w:rPr>
                <w:rFonts w:ascii="Arial" w:hAnsi="Arial"/>
                <w:snapToGrid w:val="0"/>
                <w:sz w:val="22"/>
                <w:szCs w:val="22"/>
              </w:rPr>
              <w:t>une manière générale, il est recommandé de limiter à deux le nombre de mandats consécutifs des membres dans tous les bureaux.</w:t>
            </w:r>
          </w:p>
          <w:p w14:paraId="7E5D4145" w14:textId="77777777" w:rsidR="009B7C08" w:rsidRPr="00E863FC" w:rsidRDefault="006337E7" w:rsidP="00B04CDE">
            <w:pPr>
              <w:tabs>
                <w:tab w:val="left" w:pos="567"/>
              </w:tabs>
              <w:spacing w:after="120"/>
              <w:jc w:val="both"/>
              <w:rPr>
                <w:rFonts w:ascii="Arial" w:hAnsi="Arial" w:cs="Arial"/>
                <w:snapToGrid w:val="0"/>
                <w:sz w:val="22"/>
                <w:szCs w:val="22"/>
              </w:rPr>
            </w:pPr>
            <w:r>
              <w:rPr>
                <w:rFonts w:ascii="Arial" w:hAnsi="Arial"/>
                <w:b/>
                <w:bCs/>
                <w:sz w:val="22"/>
                <w:szCs w:val="22"/>
              </w:rPr>
              <w:t>Action en cours</w:t>
            </w:r>
          </w:p>
        </w:tc>
        <w:tc>
          <w:tcPr>
            <w:tcW w:w="8501" w:type="dxa"/>
          </w:tcPr>
          <w:p w14:paraId="5A9DE761" w14:textId="06A46BB4"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Conformément à l</w:t>
            </w:r>
            <w:r w:rsidR="00DD2F89">
              <w:rPr>
                <w:rFonts w:ascii="Arial" w:hAnsi="Arial"/>
                <w:snapToGrid w:val="0"/>
                <w:sz w:val="22"/>
                <w:szCs w:val="22"/>
              </w:rPr>
              <w:t>’</w:t>
            </w:r>
            <w:hyperlink r:id="rId39" w:anchor="Article13" w:history="1">
              <w:r>
                <w:rPr>
                  <w:rStyle w:val="Hyperlink"/>
                  <w:rFonts w:ascii="Arial" w:hAnsi="Arial"/>
                  <w:snapToGrid w:val="0"/>
                  <w:sz w:val="22"/>
                  <w:szCs w:val="22"/>
                </w:rPr>
                <w:t>article 13</w:t>
              </w:r>
            </w:hyperlink>
            <w:r>
              <w:rPr>
                <w:rFonts w:ascii="Arial" w:hAnsi="Arial"/>
                <w:snapToGrid w:val="0"/>
                <w:sz w:val="22"/>
                <w:szCs w:val="22"/>
              </w:rPr>
              <w:t xml:space="preserve"> du Règlement intérieur du Comité, les membres du Bureau « sont immédiatement rééligibles pour un deuxième mandat sous condition que le pays qu</w:t>
            </w:r>
            <w:r w:rsidR="00DD2F89">
              <w:rPr>
                <w:rFonts w:ascii="Arial" w:hAnsi="Arial"/>
                <w:snapToGrid w:val="0"/>
                <w:sz w:val="22"/>
                <w:szCs w:val="22"/>
              </w:rPr>
              <w:t>’</w:t>
            </w:r>
            <w:r>
              <w:rPr>
                <w:rFonts w:ascii="Arial" w:hAnsi="Arial"/>
                <w:snapToGrid w:val="0"/>
                <w:sz w:val="22"/>
                <w:szCs w:val="22"/>
              </w:rPr>
              <w:t>ils représentent continue d</w:t>
            </w:r>
            <w:r w:rsidR="00DD2F89">
              <w:rPr>
                <w:rFonts w:ascii="Arial" w:hAnsi="Arial"/>
                <w:snapToGrid w:val="0"/>
                <w:sz w:val="22"/>
                <w:szCs w:val="22"/>
              </w:rPr>
              <w:t>’</w:t>
            </w:r>
            <w:r>
              <w:rPr>
                <w:rFonts w:ascii="Arial" w:hAnsi="Arial"/>
                <w:snapToGrid w:val="0"/>
                <w:sz w:val="22"/>
                <w:szCs w:val="22"/>
              </w:rPr>
              <w:t>être État membre du Comité au moins jusqu</w:t>
            </w:r>
            <w:r w:rsidR="00DD2F89">
              <w:rPr>
                <w:rFonts w:ascii="Arial" w:hAnsi="Arial"/>
                <w:snapToGrid w:val="0"/>
                <w:sz w:val="22"/>
                <w:szCs w:val="22"/>
              </w:rPr>
              <w:t>’</w:t>
            </w:r>
            <w:r>
              <w:rPr>
                <w:rFonts w:ascii="Arial" w:hAnsi="Arial"/>
                <w:snapToGrid w:val="0"/>
                <w:sz w:val="22"/>
                <w:szCs w:val="22"/>
              </w:rPr>
              <w:t>à la fin du mandat renouvelé ».</w:t>
            </w:r>
          </w:p>
          <w:p w14:paraId="76C2630E" w14:textId="18376FD4"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Bien que le Règlement intérieur de l</w:t>
            </w:r>
            <w:r w:rsidR="00DD2F89">
              <w:rPr>
                <w:rFonts w:ascii="Arial" w:hAnsi="Arial"/>
                <w:snapToGrid w:val="0"/>
                <w:sz w:val="22"/>
                <w:szCs w:val="22"/>
              </w:rPr>
              <w:t>’</w:t>
            </w:r>
            <w:r>
              <w:rPr>
                <w:rFonts w:ascii="Arial" w:hAnsi="Arial"/>
                <w:snapToGrid w:val="0"/>
                <w:sz w:val="22"/>
                <w:szCs w:val="22"/>
              </w:rPr>
              <w:t xml:space="preserve">Assemblée générale ne précise pas la durée du mandat des membres de son Bureau, en pratique les membres effectuent seulement un mandat (voir le document </w:t>
            </w:r>
            <w:hyperlink r:id="rId40" w:history="1">
              <w:r>
                <w:rPr>
                  <w:rStyle w:val="Hyperlink"/>
                  <w:rFonts w:ascii="Arial" w:hAnsi="Arial"/>
                  <w:snapToGrid w:val="0"/>
                  <w:sz w:val="22"/>
                  <w:szCs w:val="22"/>
                </w:rPr>
                <w:t>ITH/18/7.GA/2</w:t>
              </w:r>
            </w:hyperlink>
            <w:r>
              <w:rPr>
                <w:rFonts w:ascii="Arial" w:hAnsi="Arial"/>
                <w:snapToGrid w:val="0"/>
                <w:sz w:val="22"/>
                <w:szCs w:val="22"/>
              </w:rPr>
              <w:t xml:space="preserve"> dans lequel figure la liste des membres du Bureau pour les sessi</w:t>
            </w:r>
            <w:r w:rsidR="00742D54">
              <w:rPr>
                <w:rFonts w:ascii="Arial" w:hAnsi="Arial"/>
                <w:snapToGrid w:val="0"/>
                <w:sz w:val="22"/>
                <w:szCs w:val="22"/>
              </w:rPr>
              <w:t>ons précédentes).</w:t>
            </w:r>
          </w:p>
          <w:p w14:paraId="1A5F02BB" w14:textId="15B5FE60"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Assemblée générale pourrait choisir de modifier son Règlement intérieur pour tenir compte de cette recommandation ou bien poursuivre la pratique actuelle.</w:t>
            </w:r>
          </w:p>
          <w:p w14:paraId="49F8701D" w14:textId="0C1FCE5B" w:rsidR="00310F56" w:rsidRPr="00EE4900" w:rsidRDefault="00B341EF" w:rsidP="00693AD7">
            <w:pPr>
              <w:pStyle w:val="ListParagraph"/>
              <w:numPr>
                <w:ilvl w:val="0"/>
                <w:numId w:val="7"/>
              </w:numPr>
              <w:spacing w:after="120"/>
              <w:ind w:left="357" w:hanging="357"/>
              <w:contextualSpacing w:val="0"/>
              <w:jc w:val="both"/>
              <w:rPr>
                <w:rFonts w:ascii="Arial" w:hAnsi="Arial" w:cs="Arial"/>
                <w:b/>
                <w:snapToGrid w:val="0"/>
                <w:sz w:val="22"/>
                <w:szCs w:val="22"/>
                <w:u w:val="single"/>
              </w:rPr>
            </w:pPr>
            <w:r>
              <w:rPr>
                <w:rFonts w:ascii="Arial" w:hAnsi="Arial"/>
                <w:b/>
                <w:snapToGrid w:val="0"/>
                <w:sz w:val="22"/>
                <w:szCs w:val="22"/>
                <w:u w:val="single"/>
              </w:rPr>
              <w:t>Mise à jour</w:t>
            </w:r>
            <w:r>
              <w:rPr>
                <w:rFonts w:ascii="Arial" w:hAnsi="Arial"/>
                <w:snapToGrid w:val="0"/>
                <w:sz w:val="22"/>
                <w:szCs w:val="22"/>
                <w:u w:val="single"/>
              </w:rPr>
              <w:t xml:space="preserve"> : conformément aux </w:t>
            </w:r>
            <w:r w:rsidR="00E316EC" w:rsidRPr="00ED6EEA">
              <w:rPr>
                <w:rFonts w:ascii="Arial" w:hAnsi="Arial"/>
                <w:snapToGrid w:val="0"/>
                <w:sz w:val="22"/>
                <w:szCs w:val="22"/>
                <w:u w:val="single"/>
              </w:rPr>
              <w:t>r</w:t>
            </w:r>
            <w:r w:rsidRPr="00ED6EEA">
              <w:rPr>
                <w:rFonts w:ascii="Arial" w:hAnsi="Arial"/>
                <w:snapToGrid w:val="0"/>
                <w:sz w:val="22"/>
                <w:szCs w:val="22"/>
                <w:u w:val="single"/>
              </w:rPr>
              <w:t>ésolutions </w:t>
            </w:r>
            <w:hyperlink r:id="rId41" w:history="1">
              <w:r w:rsidRPr="00ED6EEA">
                <w:rPr>
                  <w:rStyle w:val="Hyperlink"/>
                  <w:rFonts w:ascii="Arial" w:hAnsi="Arial"/>
                  <w:snapToGrid w:val="0"/>
                  <w:sz w:val="22"/>
                  <w:szCs w:val="22"/>
                </w:rPr>
                <w:t>7.GA 12</w:t>
              </w:r>
            </w:hyperlink>
            <w:r w:rsidRPr="00ED6EEA">
              <w:rPr>
                <w:rFonts w:ascii="Arial" w:hAnsi="Arial"/>
                <w:snapToGrid w:val="0"/>
                <w:sz w:val="22"/>
                <w:szCs w:val="22"/>
                <w:u w:val="single"/>
              </w:rPr>
              <w:t xml:space="preserve"> et </w:t>
            </w:r>
            <w:hyperlink r:id="rId42" w:history="1">
              <w:r w:rsidRPr="00ED6EEA">
                <w:rPr>
                  <w:rStyle w:val="Hyperlink"/>
                  <w:rFonts w:ascii="Arial" w:hAnsi="Arial"/>
                  <w:snapToGrid w:val="0"/>
                  <w:sz w:val="22"/>
                  <w:szCs w:val="22"/>
                </w:rPr>
                <w:t>7.GA 13</w:t>
              </w:r>
            </w:hyperlink>
            <w:r>
              <w:rPr>
                <w:rFonts w:ascii="Arial" w:hAnsi="Arial"/>
                <w:snapToGrid w:val="0"/>
                <w:sz w:val="22"/>
                <w:szCs w:val="22"/>
                <w:u w:val="single"/>
              </w:rPr>
              <w:t>, une révision d</w:t>
            </w:r>
            <w:r w:rsidR="00173F35">
              <w:rPr>
                <w:rFonts w:ascii="Arial" w:hAnsi="Arial"/>
                <w:snapToGrid w:val="0"/>
                <w:sz w:val="22"/>
                <w:szCs w:val="22"/>
                <w:u w:val="single"/>
              </w:rPr>
              <w:t>u</w:t>
            </w:r>
            <w:r>
              <w:rPr>
                <w:rFonts w:ascii="Arial" w:hAnsi="Arial"/>
                <w:snapToGrid w:val="0"/>
                <w:sz w:val="22"/>
                <w:szCs w:val="22"/>
                <w:u w:val="single"/>
              </w:rPr>
              <w:t xml:space="preserve"> Règlement intérieur </w:t>
            </w:r>
            <w:r w:rsidR="00173F35">
              <w:rPr>
                <w:rFonts w:ascii="Arial" w:hAnsi="Arial"/>
                <w:snapToGrid w:val="0"/>
                <w:sz w:val="22"/>
                <w:szCs w:val="22"/>
                <w:u w:val="single"/>
              </w:rPr>
              <w:t xml:space="preserve">de l’Assemblée générale </w:t>
            </w:r>
            <w:r>
              <w:rPr>
                <w:rFonts w:ascii="Arial" w:hAnsi="Arial"/>
                <w:snapToGrid w:val="0"/>
                <w:sz w:val="22"/>
                <w:szCs w:val="22"/>
                <w:u w:val="single"/>
              </w:rPr>
              <w:t>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 en 2020.</w:t>
            </w:r>
          </w:p>
        </w:tc>
      </w:tr>
      <w:tr w:rsidR="009B7C08" w:rsidRPr="007C392A" w14:paraId="75EA6953" w14:textId="77777777" w:rsidTr="00B04CDE">
        <w:tc>
          <w:tcPr>
            <w:tcW w:w="6059" w:type="dxa"/>
          </w:tcPr>
          <w:p w14:paraId="0B587C21" w14:textId="6DFCC977" w:rsidR="009B7C08" w:rsidRPr="0049025A"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rPr>
            </w:pPr>
            <w:r>
              <w:rPr>
                <w:rFonts w:ascii="Arial" w:hAnsi="Arial"/>
                <w:snapToGrid w:val="0"/>
                <w:sz w:val="22"/>
                <w:szCs w:val="22"/>
              </w:rPr>
              <w:t>Par souci d</w:t>
            </w:r>
            <w:r w:rsidR="00DD2F89">
              <w:rPr>
                <w:rFonts w:ascii="Arial" w:hAnsi="Arial"/>
                <w:snapToGrid w:val="0"/>
                <w:sz w:val="22"/>
                <w:szCs w:val="22"/>
              </w:rPr>
              <w:t>’</w:t>
            </w:r>
            <w:r>
              <w:rPr>
                <w:rFonts w:ascii="Arial" w:hAnsi="Arial"/>
                <w:snapToGrid w:val="0"/>
                <w:sz w:val="22"/>
                <w:szCs w:val="22"/>
              </w:rPr>
              <w:t>économie, de cohérence et harmonisation, il est recommandé que les OII et la Conférence générale envisagent de rajuster en taille la composition des organes.</w:t>
            </w:r>
          </w:p>
          <w:p w14:paraId="5C9EBBBA" w14:textId="77777777" w:rsidR="009B7C08" w:rsidRPr="0049025A" w:rsidRDefault="009B7C08" w:rsidP="00B04CDE">
            <w:pPr>
              <w:spacing w:after="120"/>
              <w:jc w:val="both"/>
              <w:rPr>
                <w:rFonts w:ascii="Arial" w:hAnsi="Arial" w:cs="Arial"/>
                <w:snapToGrid w:val="0"/>
                <w:sz w:val="22"/>
                <w:szCs w:val="22"/>
              </w:rPr>
            </w:pPr>
            <w:r>
              <w:rPr>
                <w:rFonts w:ascii="Arial" w:hAnsi="Arial"/>
                <w:b/>
                <w:bCs/>
                <w:sz w:val="22"/>
                <w:szCs w:val="22"/>
              </w:rPr>
              <w:t>Mise en œuvre achevée</w:t>
            </w:r>
          </w:p>
        </w:tc>
        <w:tc>
          <w:tcPr>
            <w:tcW w:w="8501" w:type="dxa"/>
          </w:tcPr>
          <w:p w14:paraId="5094C22F" w14:textId="04A0D5D7" w:rsidR="009B7C08" w:rsidRDefault="009B7C08" w:rsidP="00A741D3">
            <w:pPr>
              <w:pStyle w:val="ListParagraph"/>
              <w:numPr>
                <w:ilvl w:val="0"/>
                <w:numId w:val="7"/>
              </w:numPr>
              <w:spacing w:after="120"/>
              <w:ind w:left="357" w:hanging="357"/>
              <w:contextualSpacing w:val="0"/>
              <w:jc w:val="both"/>
              <w:rPr>
                <w:snapToGrid w:val="0"/>
              </w:rPr>
            </w:pPr>
            <w:r>
              <w:rPr>
                <w:rFonts w:ascii="Arial" w:hAnsi="Arial"/>
                <w:snapToGrid w:val="0"/>
                <w:sz w:val="22"/>
                <w:szCs w:val="22"/>
              </w:rPr>
              <w:t>Le nombre des États membres du Comité est fixé par l</w:t>
            </w:r>
            <w:r w:rsidR="00DD2F89">
              <w:rPr>
                <w:rFonts w:ascii="Arial" w:hAnsi="Arial"/>
                <w:snapToGrid w:val="0"/>
                <w:sz w:val="22"/>
                <w:szCs w:val="22"/>
              </w:rPr>
              <w:t>’</w:t>
            </w:r>
            <w:hyperlink r:id="rId43" w:anchor="art5" w:history="1">
              <w:r>
                <w:rPr>
                  <w:rStyle w:val="Hyperlink"/>
                  <w:rFonts w:ascii="Arial" w:hAnsi="Arial"/>
                  <w:snapToGrid w:val="0"/>
                  <w:sz w:val="22"/>
                  <w:szCs w:val="22"/>
                </w:rPr>
                <w:t>article 5</w:t>
              </w:r>
            </w:hyperlink>
            <w:r>
              <w:rPr>
                <w:rFonts w:ascii="Arial" w:hAnsi="Arial"/>
                <w:snapToGrid w:val="0"/>
                <w:sz w:val="22"/>
                <w:szCs w:val="22"/>
              </w:rPr>
              <w:t xml:space="preserve"> de la Convention (vingt-quatre membres).</w:t>
            </w:r>
            <w:r>
              <w:rPr>
                <w:rFonts w:ascii="Arial" w:hAnsi="Arial"/>
                <w:sz w:val="22"/>
                <w:szCs w:val="22"/>
              </w:rPr>
              <w:t xml:space="preserve"> Par conséquent, la mise en œuvre de cette recommandation supposerait d</w:t>
            </w:r>
            <w:r w:rsidR="00DD2F89">
              <w:rPr>
                <w:rFonts w:ascii="Arial" w:hAnsi="Arial"/>
                <w:sz w:val="22"/>
                <w:szCs w:val="22"/>
              </w:rPr>
              <w:t>’</w:t>
            </w:r>
            <w:r>
              <w:rPr>
                <w:rFonts w:ascii="Arial" w:hAnsi="Arial"/>
                <w:sz w:val="22"/>
                <w:szCs w:val="22"/>
              </w:rPr>
              <w:t>amender le texte de la Convention.</w:t>
            </w:r>
          </w:p>
        </w:tc>
      </w:tr>
      <w:tr w:rsidR="009B7C08" w:rsidRPr="007C392A" w14:paraId="5263138F" w14:textId="77777777" w:rsidTr="00B04CDE">
        <w:tc>
          <w:tcPr>
            <w:tcW w:w="6059" w:type="dxa"/>
          </w:tcPr>
          <w:p w14:paraId="3CD796B4" w14:textId="77777777" w:rsidR="009B7C08" w:rsidRPr="00874122"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Les nominations et les décisions doivent être moins politisées et leur politisation doit être maîtrisée.</w:t>
            </w:r>
          </w:p>
          <w:p w14:paraId="35BD537A" w14:textId="77777777" w:rsidR="009B7C08" w:rsidRPr="00874122" w:rsidRDefault="009B7C08" w:rsidP="00B04CDE">
            <w:pPr>
              <w:spacing w:after="120"/>
              <w:jc w:val="both"/>
              <w:rPr>
                <w:rFonts w:ascii="Arial" w:hAnsi="Arial" w:cs="Arial"/>
                <w:snapToGrid w:val="0"/>
                <w:sz w:val="22"/>
                <w:szCs w:val="22"/>
              </w:rPr>
            </w:pPr>
            <w:r>
              <w:rPr>
                <w:rFonts w:ascii="Arial" w:hAnsi="Arial"/>
                <w:b/>
                <w:bCs/>
                <w:sz w:val="22"/>
                <w:szCs w:val="22"/>
              </w:rPr>
              <w:t>Action nécessaire des États parties</w:t>
            </w:r>
          </w:p>
        </w:tc>
        <w:tc>
          <w:tcPr>
            <w:tcW w:w="8501" w:type="dxa"/>
          </w:tcPr>
          <w:p w14:paraId="3B38523A" w14:textId="09ACADD9" w:rsidR="009B7C08" w:rsidRPr="0049025A" w:rsidRDefault="000271E7" w:rsidP="00A741D3">
            <w:pPr>
              <w:pStyle w:val="ListParagraph"/>
              <w:numPr>
                <w:ilvl w:val="0"/>
                <w:numId w:val="7"/>
              </w:numPr>
              <w:spacing w:after="120"/>
              <w:ind w:left="351" w:hanging="284"/>
              <w:contextualSpacing w:val="0"/>
              <w:jc w:val="both"/>
              <w:rPr>
                <w:rFonts w:ascii="Arial" w:hAnsi="Arial" w:cs="Arial"/>
                <w:snapToGrid w:val="0"/>
                <w:sz w:val="22"/>
                <w:szCs w:val="22"/>
              </w:rPr>
            </w:pPr>
            <w:r>
              <w:rPr>
                <w:rFonts w:ascii="Arial" w:hAnsi="Arial"/>
                <w:snapToGrid w:val="0"/>
                <w:sz w:val="22"/>
                <w:szCs w:val="22"/>
              </w:rPr>
              <w:t>C</w:t>
            </w:r>
            <w:r w:rsidR="00DD2F89">
              <w:rPr>
                <w:rFonts w:ascii="Arial" w:hAnsi="Arial"/>
                <w:snapToGrid w:val="0"/>
                <w:sz w:val="22"/>
                <w:szCs w:val="22"/>
              </w:rPr>
              <w:t>’</w:t>
            </w:r>
            <w:r>
              <w:rPr>
                <w:rFonts w:ascii="Arial" w:hAnsi="Arial"/>
                <w:snapToGrid w:val="0"/>
                <w:sz w:val="22"/>
                <w:szCs w:val="22"/>
              </w:rPr>
              <w:t xml:space="preserve">est </w:t>
            </w:r>
            <w:r w:rsidR="007F24B1">
              <w:rPr>
                <w:rFonts w:ascii="Arial" w:hAnsi="Arial"/>
                <w:snapToGrid w:val="0"/>
                <w:sz w:val="22"/>
                <w:szCs w:val="22"/>
              </w:rPr>
              <w:t xml:space="preserve">principalement </w:t>
            </w:r>
            <w:r>
              <w:rPr>
                <w:rFonts w:ascii="Arial" w:hAnsi="Arial"/>
                <w:snapToGrid w:val="0"/>
                <w:sz w:val="22"/>
                <w:szCs w:val="22"/>
              </w:rPr>
              <w:t>aux États parties que revient la responsabilité de la mise en œuvre de cette recommandation.</w:t>
            </w:r>
          </w:p>
          <w:p w14:paraId="7AB74BEA" w14:textId="51879F6E" w:rsidR="009B7C08" w:rsidRPr="00324032" w:rsidRDefault="009B7C08" w:rsidP="007F24B1">
            <w:pPr>
              <w:pStyle w:val="ListParagraph"/>
              <w:numPr>
                <w:ilvl w:val="0"/>
                <w:numId w:val="7"/>
              </w:numPr>
              <w:spacing w:after="120"/>
              <w:ind w:left="351" w:hanging="284"/>
              <w:contextualSpacing w:val="0"/>
              <w:jc w:val="both"/>
            </w:pPr>
            <w:r>
              <w:rPr>
                <w:rFonts w:ascii="Arial" w:hAnsi="Arial"/>
                <w:snapToGrid w:val="0"/>
                <w:sz w:val="22"/>
                <w:szCs w:val="22"/>
              </w:rPr>
              <w:t>Dans le même temps, il convient de noter que lors de sa onzième session, le Comité a créé un groupe de travail informel ad hoc pour traiter la question de la politisation. Ce groupe a été formé en particulier pour examiner les enjeux liés au processus de dialogue et de consultation entre l</w:t>
            </w:r>
            <w:r w:rsidR="00DD2F89">
              <w:rPr>
                <w:rFonts w:ascii="Arial" w:hAnsi="Arial"/>
                <w:snapToGrid w:val="0"/>
                <w:sz w:val="22"/>
                <w:szCs w:val="22"/>
              </w:rPr>
              <w:t>’</w:t>
            </w:r>
            <w:r>
              <w:rPr>
                <w:rFonts w:ascii="Arial" w:hAnsi="Arial"/>
                <w:snapToGrid w:val="0"/>
                <w:sz w:val="22"/>
                <w:szCs w:val="22"/>
              </w:rPr>
              <w:t>Organe d</w:t>
            </w:r>
            <w:r w:rsidR="00DD2F89">
              <w:rPr>
                <w:rFonts w:ascii="Arial" w:hAnsi="Arial"/>
                <w:snapToGrid w:val="0"/>
                <w:sz w:val="22"/>
                <w:szCs w:val="22"/>
              </w:rPr>
              <w:t>’</w:t>
            </w:r>
            <w:r>
              <w:rPr>
                <w:rFonts w:ascii="Arial" w:hAnsi="Arial"/>
                <w:snapToGrid w:val="0"/>
                <w:sz w:val="22"/>
                <w:szCs w:val="22"/>
              </w:rPr>
              <w:t xml:space="preserve">évaluation et les États soumissionnaires et au processus de prise de décisions par le Comité </w:t>
            </w:r>
            <w:r>
              <w:rPr>
                <w:rFonts w:ascii="Arial" w:hAnsi="Arial"/>
                <w:snapToGrid w:val="0"/>
                <w:sz w:val="22"/>
                <w:szCs w:val="22"/>
              </w:rPr>
              <w:lastRenderedPageBreak/>
              <w:t xml:space="preserve">concernant les candidatures, les propositions et les demandes ; ainsi que toute autre question permettant de renforcer la mise en œuvre de la Convention. Lors de sa douzième session, le Comité a examiné le rapport de ce groupe et a décidé de le soumettre à la </w:t>
            </w:r>
            <w:r w:rsidR="007F24B1">
              <w:rPr>
                <w:rFonts w:ascii="Arial" w:hAnsi="Arial"/>
                <w:snapToGrid w:val="0"/>
                <w:sz w:val="22"/>
                <w:szCs w:val="22"/>
              </w:rPr>
              <w:t xml:space="preserve">septième </w:t>
            </w:r>
            <w:r>
              <w:rPr>
                <w:rFonts w:ascii="Arial" w:hAnsi="Arial"/>
                <w:snapToGrid w:val="0"/>
                <w:sz w:val="22"/>
                <w:szCs w:val="22"/>
              </w:rPr>
              <w:t>session de l</w:t>
            </w:r>
            <w:r w:rsidR="00DD2F89">
              <w:rPr>
                <w:rFonts w:ascii="Arial" w:hAnsi="Arial"/>
                <w:snapToGrid w:val="0"/>
                <w:sz w:val="22"/>
                <w:szCs w:val="22"/>
              </w:rPr>
              <w:t>’</w:t>
            </w:r>
            <w:r>
              <w:rPr>
                <w:rFonts w:ascii="Arial" w:hAnsi="Arial"/>
                <w:snapToGrid w:val="0"/>
                <w:sz w:val="22"/>
                <w:szCs w:val="22"/>
              </w:rPr>
              <w:t>Assemblée générale (document</w:t>
            </w:r>
            <w:r w:rsidR="00E316EC">
              <w:rPr>
                <w:rFonts w:ascii="Arial" w:hAnsi="Arial"/>
                <w:snapToGrid w:val="0"/>
                <w:sz w:val="22"/>
                <w:szCs w:val="22"/>
              </w:rPr>
              <w:t> </w:t>
            </w:r>
            <w:hyperlink r:id="rId44" w:history="1">
              <w:r>
                <w:rPr>
                  <w:rStyle w:val="Hyperlink"/>
                  <w:rFonts w:ascii="Arial" w:hAnsi="Arial"/>
                  <w:snapToGrid w:val="0"/>
                  <w:sz w:val="22"/>
                  <w:szCs w:val="22"/>
                </w:rPr>
                <w:t>ITH/18/7.GA/6</w:t>
              </w:r>
            </w:hyperlink>
            <w:r>
              <w:rPr>
                <w:rFonts w:ascii="Arial" w:hAnsi="Arial"/>
                <w:snapToGrid w:val="0"/>
                <w:sz w:val="22"/>
                <w:szCs w:val="22"/>
              </w:rPr>
              <w:t>).</w:t>
            </w:r>
          </w:p>
          <w:p w14:paraId="64E84FD5" w14:textId="11C00E9F" w:rsidR="009B7C08" w:rsidRPr="00EE4900" w:rsidRDefault="009B7C08" w:rsidP="00A741D3">
            <w:pPr>
              <w:pStyle w:val="GAPara"/>
              <w:numPr>
                <w:ilvl w:val="0"/>
                <w:numId w:val="7"/>
              </w:numPr>
              <w:ind w:left="351" w:hanging="284"/>
              <w:jc w:val="both"/>
            </w:pPr>
            <w:r>
              <w:t xml:space="preserve">En outre, par sa </w:t>
            </w:r>
            <w:hyperlink r:id="rId45" w:history="1">
              <w:r w:rsidRPr="0048583D">
                <w:rPr>
                  <w:rStyle w:val="Hyperlink"/>
                </w:rPr>
                <w:t>décision 12.COM 13</w:t>
              </w:r>
            </w:hyperlink>
            <w:r>
              <w:t>, le Comité a décidé de poursuivre en 2018 le groupe de travail informel ad hoc, qui est désormais à composition non limitée et dont le mandat a été élargi.</w:t>
            </w:r>
          </w:p>
          <w:p w14:paraId="3F4B9A16" w14:textId="2C549693" w:rsidR="00310F56" w:rsidRPr="00EE4900" w:rsidRDefault="00236BBD" w:rsidP="00A741D3">
            <w:pPr>
              <w:pStyle w:val="GAPara"/>
              <w:numPr>
                <w:ilvl w:val="0"/>
                <w:numId w:val="7"/>
              </w:numPr>
              <w:ind w:left="351" w:hanging="284"/>
              <w:jc w:val="both"/>
              <w:rPr>
                <w:b/>
                <w:u w:val="single"/>
              </w:rPr>
            </w:pPr>
            <w:r>
              <w:rPr>
                <w:b/>
                <w:u w:val="single"/>
              </w:rPr>
              <w:t xml:space="preserve">Mise à jour : </w:t>
            </w:r>
            <w:r>
              <w:rPr>
                <w:u w:val="single"/>
              </w:rPr>
              <w:t xml:space="preserve">le rapport du groupe de travail informel à composition non limitée est présenté à la session actuelle du Comité (voir le </w:t>
            </w:r>
            <w:r w:rsidRPr="0048583D">
              <w:rPr>
                <w:u w:val="single"/>
              </w:rPr>
              <w:t>document </w:t>
            </w:r>
            <w:hyperlink r:id="rId46" w:history="1">
              <w:r w:rsidRPr="0048583D">
                <w:rPr>
                  <w:rStyle w:val="Hyperlink"/>
                </w:rPr>
                <w:t>ITH/18/13.COM</w:t>
              </w:r>
              <w:r w:rsidR="005E2285" w:rsidRPr="0048583D">
                <w:rPr>
                  <w:rStyle w:val="Hyperlink"/>
                </w:rPr>
                <w:t>/</w:t>
              </w:r>
              <w:r w:rsidRPr="0048583D">
                <w:rPr>
                  <w:rStyle w:val="Hyperlink"/>
                </w:rPr>
                <w:t>16</w:t>
              </w:r>
            </w:hyperlink>
            <w:r>
              <w:rPr>
                <w:u w:val="single"/>
              </w:rPr>
              <w:t>).</w:t>
            </w:r>
          </w:p>
        </w:tc>
      </w:tr>
      <w:tr w:rsidR="009B7C08" w:rsidRPr="007C392A" w14:paraId="119A8B88" w14:textId="77777777" w:rsidTr="00B04CDE">
        <w:tc>
          <w:tcPr>
            <w:tcW w:w="6059" w:type="dxa"/>
          </w:tcPr>
          <w:p w14:paraId="3DF23F6C" w14:textId="72B71194" w:rsidR="009B7C08" w:rsidRPr="00874122" w:rsidRDefault="009B7C08" w:rsidP="00A741D3">
            <w:pPr>
              <w:pStyle w:val="ListParagraph"/>
              <w:numPr>
                <w:ilvl w:val="0"/>
                <w:numId w:val="8"/>
              </w:numPr>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Afin d</w:t>
            </w:r>
            <w:r w:rsidR="00DD2F89">
              <w:rPr>
                <w:rFonts w:ascii="Arial" w:hAnsi="Arial"/>
                <w:snapToGrid w:val="0"/>
                <w:sz w:val="22"/>
                <w:szCs w:val="22"/>
              </w:rPr>
              <w:t>’</w:t>
            </w:r>
            <w:r>
              <w:rPr>
                <w:rFonts w:ascii="Arial" w:hAnsi="Arial"/>
                <w:snapToGrid w:val="0"/>
                <w:sz w:val="22"/>
                <w:szCs w:val="22"/>
              </w:rPr>
              <w:t>accroître la visibilité et l</w:t>
            </w:r>
            <w:r w:rsidR="00DD2F89">
              <w:rPr>
                <w:rFonts w:ascii="Arial" w:hAnsi="Arial"/>
                <w:snapToGrid w:val="0"/>
                <w:sz w:val="22"/>
                <w:szCs w:val="22"/>
              </w:rPr>
              <w:t>’</w:t>
            </w:r>
            <w:r>
              <w:rPr>
                <w:rFonts w:ascii="Arial" w:hAnsi="Arial"/>
                <w:snapToGrid w:val="0"/>
                <w:sz w:val="22"/>
                <w:szCs w:val="22"/>
              </w:rPr>
              <w:t>efficacité de l</w:t>
            </w:r>
            <w:r w:rsidR="00DD2F89">
              <w:rPr>
                <w:rFonts w:ascii="Arial" w:hAnsi="Arial"/>
                <w:snapToGrid w:val="0"/>
                <w:sz w:val="22"/>
                <w:szCs w:val="22"/>
              </w:rPr>
              <w:t>’</w:t>
            </w:r>
            <w:r>
              <w:rPr>
                <w:rFonts w:ascii="Arial" w:hAnsi="Arial"/>
                <w:snapToGrid w:val="0"/>
                <w:sz w:val="22"/>
                <w:szCs w:val="22"/>
              </w:rPr>
              <w:t>action des OII, il est recommandé de diffuser les informations plus efficacement grâce à une mise à jour et à l</w:t>
            </w:r>
            <w:r w:rsidR="00DD2F89">
              <w:rPr>
                <w:rFonts w:ascii="Arial" w:hAnsi="Arial"/>
                <w:snapToGrid w:val="0"/>
                <w:sz w:val="22"/>
                <w:szCs w:val="22"/>
              </w:rPr>
              <w:t>’</w:t>
            </w:r>
            <w:r>
              <w:rPr>
                <w:rFonts w:ascii="Arial" w:hAnsi="Arial"/>
                <w:snapToGrid w:val="0"/>
                <w:sz w:val="22"/>
                <w:szCs w:val="22"/>
              </w:rPr>
              <w:t>amélioration des sites Web et de la communication en direction de tous les acteurs concernés, notamment les États membres et leurs commissions nationales.</w:t>
            </w:r>
          </w:p>
          <w:p w14:paraId="1177F059" w14:textId="77777777" w:rsidR="009B7C08" w:rsidRPr="00874122" w:rsidRDefault="009B7C08" w:rsidP="00DD2F89">
            <w:pPr>
              <w:spacing w:after="120"/>
              <w:rPr>
                <w:rFonts w:ascii="Arial" w:hAnsi="Arial" w:cs="Arial"/>
                <w:snapToGrid w:val="0"/>
                <w:sz w:val="22"/>
                <w:szCs w:val="22"/>
              </w:rPr>
            </w:pPr>
            <w:r>
              <w:rPr>
                <w:rFonts w:ascii="Arial" w:hAnsi="Arial"/>
                <w:b/>
                <w:bCs/>
                <w:snapToGrid w:val="0"/>
                <w:sz w:val="22"/>
                <w:szCs w:val="22"/>
              </w:rPr>
              <w:t>Mise en œuvre achevée</w:t>
            </w:r>
            <w:r>
              <w:rPr>
                <w:rFonts w:ascii="Arial" w:hAnsi="Arial"/>
                <w:b/>
                <w:bCs/>
              </w:rPr>
              <w:br/>
            </w:r>
            <w:r>
              <w:rPr>
                <w:rFonts w:ascii="Arial" w:hAnsi="Arial"/>
                <w:b/>
                <w:bCs/>
                <w:snapToGrid w:val="0"/>
                <w:sz w:val="22"/>
                <w:szCs w:val="22"/>
              </w:rPr>
              <w:t>(Bonne pratique)</w:t>
            </w:r>
          </w:p>
        </w:tc>
        <w:tc>
          <w:tcPr>
            <w:tcW w:w="8501" w:type="dxa"/>
          </w:tcPr>
          <w:p w14:paraId="414C3F34"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Secrétariat publie toutes les informations relatives aux réunions, événements et projets concernant la Convention de 2003 sur le site Web de la Convention.</w:t>
            </w:r>
          </w:p>
          <w:p w14:paraId="25218290"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Par ailleurs, lorsque cela est nécessaire, le Secrétariat communique également par écrit avec les États parties, les organisations non gouvernementales accréditées et les centres de catégorie 2 dans le domaine du patrimoine culturel immatériel.</w:t>
            </w:r>
          </w:p>
        </w:tc>
      </w:tr>
      <w:tr w:rsidR="009B7C08" w:rsidRPr="007C392A" w14:paraId="58DEDE66" w14:textId="77777777" w:rsidTr="00B04CDE">
        <w:tc>
          <w:tcPr>
            <w:tcW w:w="6059" w:type="dxa"/>
          </w:tcPr>
          <w:p w14:paraId="70E7A33D" w14:textId="16C6639B" w:rsidR="009B7C08" w:rsidRPr="0000757E" w:rsidRDefault="009B7C08" w:rsidP="007F24B1">
            <w:pPr>
              <w:pStyle w:val="ListParagraph"/>
              <w:numPr>
                <w:ilvl w:val="0"/>
                <w:numId w:val="8"/>
              </w:numPr>
              <w:spacing w:after="120"/>
              <w:ind w:left="567" w:hanging="567"/>
              <w:contextualSpacing w:val="0"/>
              <w:jc w:val="both"/>
              <w:rPr>
                <w:rFonts w:ascii="Arial" w:hAnsi="Arial" w:cs="Arial"/>
                <w:snapToGrid w:val="0"/>
                <w:sz w:val="22"/>
                <w:szCs w:val="22"/>
              </w:rPr>
            </w:pPr>
            <w:r>
              <w:rPr>
                <w:rFonts w:ascii="Arial" w:hAnsi="Arial"/>
                <w:snapToGrid w:val="0"/>
                <w:sz w:val="22"/>
                <w:szCs w:val="22"/>
              </w:rPr>
              <w:t>Il est recommandé d</w:t>
            </w:r>
            <w:r w:rsidR="00DD2F89">
              <w:rPr>
                <w:rFonts w:ascii="Arial" w:hAnsi="Arial"/>
                <w:snapToGrid w:val="0"/>
                <w:sz w:val="22"/>
                <w:szCs w:val="22"/>
              </w:rPr>
              <w:t>’</w:t>
            </w:r>
            <w:r>
              <w:rPr>
                <w:rFonts w:ascii="Arial" w:hAnsi="Arial"/>
                <w:snapToGrid w:val="0"/>
                <w:sz w:val="22"/>
                <w:szCs w:val="22"/>
              </w:rPr>
              <w:t xml:space="preserve">élaborer et de diffuser à un stade plus </w:t>
            </w:r>
            <w:r w:rsidR="007F24B1">
              <w:rPr>
                <w:rFonts w:ascii="Arial" w:hAnsi="Arial"/>
                <w:snapToGrid w:val="0"/>
                <w:sz w:val="22"/>
                <w:szCs w:val="22"/>
              </w:rPr>
              <w:t xml:space="preserve">avancé </w:t>
            </w:r>
            <w:r>
              <w:rPr>
                <w:rFonts w:ascii="Arial" w:hAnsi="Arial"/>
                <w:snapToGrid w:val="0"/>
                <w:sz w:val="22"/>
                <w:szCs w:val="22"/>
              </w:rPr>
              <w:t>les projets d</w:t>
            </w:r>
            <w:r w:rsidR="00DD2F89">
              <w:rPr>
                <w:rFonts w:ascii="Arial" w:hAnsi="Arial"/>
                <w:snapToGrid w:val="0"/>
                <w:sz w:val="22"/>
                <w:szCs w:val="22"/>
              </w:rPr>
              <w:t>’</w:t>
            </w:r>
            <w:r>
              <w:rPr>
                <w:rFonts w:ascii="Arial" w:hAnsi="Arial"/>
                <w:snapToGrid w:val="0"/>
                <w:sz w:val="22"/>
                <w:szCs w:val="22"/>
              </w:rPr>
              <w:t>ordre du jour et les calendriers préliminaires, et ce principalement en utilisant le même modèle, avec des hyperliens renvoyant vers les documents à adopter/examiner en séance.</w:t>
            </w:r>
          </w:p>
          <w:p w14:paraId="016E5C44" w14:textId="77777777" w:rsidR="009B7C08" w:rsidRPr="0000757E" w:rsidRDefault="009B7C08" w:rsidP="00B04CDE">
            <w:pPr>
              <w:pStyle w:val="ListParagraph"/>
              <w:spacing w:after="120"/>
              <w:ind w:left="0"/>
              <w:contextualSpacing w:val="0"/>
              <w:rPr>
                <w:rFonts w:ascii="Arial" w:hAnsi="Arial" w:cs="Arial"/>
                <w:snapToGrid w:val="0"/>
                <w:sz w:val="22"/>
                <w:szCs w:val="22"/>
              </w:rPr>
            </w:pPr>
            <w:r>
              <w:rPr>
                <w:rFonts w:ascii="Arial" w:hAnsi="Arial"/>
                <w:b/>
                <w:bCs/>
                <w:snapToGrid w:val="0"/>
                <w:sz w:val="22"/>
                <w:szCs w:val="22"/>
              </w:rPr>
              <w:t>Mise en œuvre achevée</w:t>
            </w:r>
            <w:r>
              <w:rPr>
                <w:rFonts w:ascii="Arial" w:hAnsi="Arial"/>
                <w:b/>
                <w:bCs/>
              </w:rPr>
              <w:br/>
            </w:r>
            <w:r>
              <w:rPr>
                <w:rFonts w:ascii="Arial" w:hAnsi="Arial"/>
                <w:b/>
                <w:bCs/>
                <w:snapToGrid w:val="0"/>
                <w:sz w:val="22"/>
                <w:szCs w:val="22"/>
              </w:rPr>
              <w:t>(Bonne pratique)</w:t>
            </w:r>
          </w:p>
        </w:tc>
        <w:tc>
          <w:tcPr>
            <w:tcW w:w="8501" w:type="dxa"/>
          </w:tcPr>
          <w:p w14:paraId="01D64EFC" w14:textId="1154A339"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Les délais statutaires pour la distribution de l</w:t>
            </w:r>
            <w:r w:rsidR="00DD2F89">
              <w:rPr>
                <w:rFonts w:ascii="Arial" w:hAnsi="Arial"/>
                <w:snapToGrid w:val="0"/>
                <w:sz w:val="22"/>
                <w:szCs w:val="22"/>
              </w:rPr>
              <w:t>’</w:t>
            </w:r>
            <w:r>
              <w:rPr>
                <w:rFonts w:ascii="Arial" w:hAnsi="Arial"/>
                <w:snapToGrid w:val="0"/>
                <w:sz w:val="22"/>
                <w:szCs w:val="22"/>
              </w:rPr>
              <w:t>ordre du jour provisoire de l</w:t>
            </w:r>
            <w:r w:rsidR="00DD2F89">
              <w:rPr>
                <w:rFonts w:ascii="Arial" w:hAnsi="Arial"/>
                <w:snapToGrid w:val="0"/>
                <w:sz w:val="22"/>
                <w:szCs w:val="22"/>
              </w:rPr>
              <w:t>’</w:t>
            </w:r>
            <w:r>
              <w:rPr>
                <w:rFonts w:ascii="Arial" w:hAnsi="Arial"/>
                <w:snapToGrid w:val="0"/>
                <w:sz w:val="22"/>
                <w:szCs w:val="22"/>
              </w:rPr>
              <w:t>Assemblée générale et du Comité sont fixés respectivement à trente jours (</w:t>
            </w:r>
            <w:hyperlink r:id="rId47" w:anchor="Article16" w:history="1">
              <w:r>
                <w:rPr>
                  <w:rStyle w:val="Hyperlink"/>
                  <w:rFonts w:ascii="Arial" w:hAnsi="Arial"/>
                  <w:snapToGrid w:val="0"/>
                  <w:sz w:val="22"/>
                  <w:szCs w:val="22"/>
                </w:rPr>
                <w:t>article 16.3</w:t>
              </w:r>
            </w:hyperlink>
            <w:r>
              <w:rPr>
                <w:rFonts w:ascii="Arial" w:hAnsi="Arial"/>
                <w:snapToGrid w:val="0"/>
                <w:sz w:val="22"/>
                <w:szCs w:val="22"/>
              </w:rPr>
              <w:t>) et soixante jours (</w:t>
            </w:r>
            <w:hyperlink r:id="rId48" w:anchor="Article3" w:history="1">
              <w:r>
                <w:rPr>
                  <w:rStyle w:val="Hyperlink"/>
                  <w:rFonts w:ascii="Arial" w:hAnsi="Arial"/>
                  <w:snapToGrid w:val="0"/>
                  <w:sz w:val="22"/>
                  <w:szCs w:val="22"/>
                </w:rPr>
                <w:t>article 3.2</w:t>
              </w:r>
            </w:hyperlink>
            <w:r>
              <w:rPr>
                <w:rFonts w:ascii="Arial" w:hAnsi="Arial"/>
                <w:snapToGrid w:val="0"/>
                <w:sz w:val="22"/>
                <w:szCs w:val="22"/>
              </w:rPr>
              <w:t>) avant l</w:t>
            </w:r>
            <w:r w:rsidR="00DD2F89">
              <w:rPr>
                <w:rFonts w:ascii="Arial" w:hAnsi="Arial"/>
                <w:snapToGrid w:val="0"/>
                <w:sz w:val="22"/>
                <w:szCs w:val="22"/>
              </w:rPr>
              <w:t>’</w:t>
            </w:r>
            <w:r>
              <w:rPr>
                <w:rFonts w:ascii="Arial" w:hAnsi="Arial"/>
                <w:snapToGrid w:val="0"/>
                <w:sz w:val="22"/>
                <w:szCs w:val="22"/>
              </w:rPr>
              <w:t>ouverture des sessions. En pratique, l</w:t>
            </w:r>
            <w:r w:rsidR="00DD2F89">
              <w:rPr>
                <w:rFonts w:ascii="Arial" w:hAnsi="Arial"/>
                <w:snapToGrid w:val="0"/>
                <w:sz w:val="22"/>
                <w:szCs w:val="22"/>
              </w:rPr>
              <w:t>’</w:t>
            </w:r>
            <w:r>
              <w:rPr>
                <w:rFonts w:ascii="Arial" w:hAnsi="Arial"/>
                <w:snapToGrid w:val="0"/>
                <w:sz w:val="22"/>
                <w:szCs w:val="22"/>
              </w:rPr>
              <w:t>ordre du jour provisoire est publié en ligne et joint aux courriers d</w:t>
            </w:r>
            <w:r w:rsidR="00DD2F89">
              <w:rPr>
                <w:rFonts w:ascii="Arial" w:hAnsi="Arial"/>
                <w:snapToGrid w:val="0"/>
                <w:sz w:val="22"/>
                <w:szCs w:val="22"/>
              </w:rPr>
              <w:t>’</w:t>
            </w:r>
            <w:r>
              <w:rPr>
                <w:rFonts w:ascii="Arial" w:hAnsi="Arial"/>
                <w:snapToGrid w:val="0"/>
                <w:sz w:val="22"/>
                <w:szCs w:val="22"/>
              </w:rPr>
              <w:t>invitation aux sessions de l</w:t>
            </w:r>
            <w:r w:rsidR="00DD2F89">
              <w:rPr>
                <w:rFonts w:ascii="Arial" w:hAnsi="Arial"/>
                <w:snapToGrid w:val="0"/>
                <w:sz w:val="22"/>
                <w:szCs w:val="22"/>
              </w:rPr>
              <w:t>’</w:t>
            </w:r>
            <w:r>
              <w:rPr>
                <w:rFonts w:ascii="Arial" w:hAnsi="Arial"/>
                <w:snapToGrid w:val="0"/>
                <w:sz w:val="22"/>
                <w:szCs w:val="22"/>
              </w:rPr>
              <w:t>Assemblée générale et du Comité bien avant l</w:t>
            </w:r>
            <w:r w:rsidR="00DD2F89">
              <w:rPr>
                <w:rFonts w:ascii="Arial" w:hAnsi="Arial"/>
                <w:snapToGrid w:val="0"/>
                <w:sz w:val="22"/>
                <w:szCs w:val="22"/>
              </w:rPr>
              <w:t>’</w:t>
            </w:r>
            <w:r>
              <w:rPr>
                <w:rFonts w:ascii="Arial" w:hAnsi="Arial"/>
                <w:snapToGrid w:val="0"/>
                <w:sz w:val="22"/>
                <w:szCs w:val="22"/>
              </w:rPr>
              <w:t>expiration de ces délais statutaires. Par exemple, le Secrétariat a envoyé les courriers d</w:t>
            </w:r>
            <w:r w:rsidR="00DD2F89">
              <w:rPr>
                <w:rFonts w:ascii="Arial" w:hAnsi="Arial"/>
                <w:snapToGrid w:val="0"/>
                <w:sz w:val="22"/>
                <w:szCs w:val="22"/>
              </w:rPr>
              <w:t>’</w:t>
            </w:r>
            <w:r>
              <w:rPr>
                <w:rFonts w:ascii="Arial" w:hAnsi="Arial"/>
                <w:snapToGrid w:val="0"/>
                <w:sz w:val="22"/>
                <w:szCs w:val="22"/>
              </w:rPr>
              <w:t>invitation et les ordres du jour provisoires des onzième et douzième sessions du Comité le 2 septembre 2016 et le 21 septembre 2017, alors que les délais statutaires couraient jusqu</w:t>
            </w:r>
            <w:r w:rsidR="00DD2F89">
              <w:rPr>
                <w:rFonts w:ascii="Arial" w:hAnsi="Arial"/>
                <w:snapToGrid w:val="0"/>
                <w:sz w:val="22"/>
                <w:szCs w:val="22"/>
              </w:rPr>
              <w:t>’</w:t>
            </w:r>
            <w:r>
              <w:rPr>
                <w:rFonts w:ascii="Arial" w:hAnsi="Arial"/>
                <w:snapToGrid w:val="0"/>
                <w:sz w:val="22"/>
                <w:szCs w:val="22"/>
              </w:rPr>
              <w:t>au 29 septembre 2016 et au 5 octobre 2017.</w:t>
            </w:r>
          </w:p>
          <w:p w14:paraId="15A0C875" w14:textId="0E8986FF"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Conformément à l</w:t>
            </w:r>
            <w:r w:rsidR="00DD2F89">
              <w:rPr>
                <w:rFonts w:ascii="Arial" w:hAnsi="Arial"/>
                <w:snapToGrid w:val="0"/>
                <w:sz w:val="22"/>
                <w:szCs w:val="22"/>
              </w:rPr>
              <w:t>’</w:t>
            </w:r>
            <w:hyperlink r:id="rId49" w:anchor="Article12" w:history="1">
              <w:r>
                <w:rPr>
                  <w:rStyle w:val="Hyperlink"/>
                  <w:rFonts w:ascii="Arial" w:hAnsi="Arial"/>
                  <w:snapToGrid w:val="0"/>
                  <w:sz w:val="22"/>
                  <w:szCs w:val="22"/>
                </w:rPr>
                <w:t>article 12.2</w:t>
              </w:r>
            </w:hyperlink>
            <w:r>
              <w:rPr>
                <w:rFonts w:ascii="Arial" w:hAnsi="Arial"/>
                <w:snapToGrid w:val="0"/>
                <w:sz w:val="22"/>
                <w:szCs w:val="22"/>
              </w:rPr>
              <w:t xml:space="preserve"> du Règlement intérieur du Comité, le calendrier provisoire du Comité est adopté par le Bureau du Comité, puis présenté le jour même lors d</w:t>
            </w:r>
            <w:r w:rsidR="00DD2F89">
              <w:rPr>
                <w:rFonts w:ascii="Arial" w:hAnsi="Arial"/>
                <w:snapToGrid w:val="0"/>
                <w:sz w:val="22"/>
                <w:szCs w:val="22"/>
              </w:rPr>
              <w:t>’</w:t>
            </w:r>
            <w:r>
              <w:rPr>
                <w:rFonts w:ascii="Arial" w:hAnsi="Arial"/>
                <w:snapToGrid w:val="0"/>
                <w:sz w:val="22"/>
                <w:szCs w:val="22"/>
              </w:rPr>
              <w:t>une session d</w:t>
            </w:r>
            <w:r w:rsidR="00DD2F89">
              <w:rPr>
                <w:rFonts w:ascii="Arial" w:hAnsi="Arial"/>
                <w:snapToGrid w:val="0"/>
                <w:sz w:val="22"/>
                <w:szCs w:val="22"/>
              </w:rPr>
              <w:t>’</w:t>
            </w:r>
            <w:r>
              <w:rPr>
                <w:rFonts w:ascii="Arial" w:hAnsi="Arial"/>
                <w:snapToGrid w:val="0"/>
                <w:sz w:val="22"/>
                <w:szCs w:val="22"/>
              </w:rPr>
              <w:t>information et d</w:t>
            </w:r>
            <w:r w:rsidR="00DD2F89">
              <w:rPr>
                <w:rFonts w:ascii="Arial" w:hAnsi="Arial"/>
                <w:snapToGrid w:val="0"/>
                <w:sz w:val="22"/>
                <w:szCs w:val="22"/>
              </w:rPr>
              <w:t>’</w:t>
            </w:r>
            <w:r>
              <w:rPr>
                <w:rFonts w:ascii="Arial" w:hAnsi="Arial"/>
                <w:snapToGrid w:val="0"/>
                <w:sz w:val="22"/>
                <w:szCs w:val="22"/>
              </w:rPr>
              <w:t>échange (chaque année en octobre).</w:t>
            </w:r>
          </w:p>
          <w:p w14:paraId="5436E43D" w14:textId="7A4ABA61"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lastRenderedPageBreak/>
              <w:t>Les hyperliens sont fréquemment utilisés dans les documents de travail et d</w:t>
            </w:r>
            <w:r w:rsidR="00DD2F89">
              <w:rPr>
                <w:rFonts w:ascii="Arial" w:hAnsi="Arial"/>
                <w:snapToGrid w:val="0"/>
                <w:sz w:val="22"/>
                <w:szCs w:val="22"/>
              </w:rPr>
              <w:t>’</w:t>
            </w:r>
            <w:r>
              <w:rPr>
                <w:rFonts w:ascii="Arial" w:hAnsi="Arial"/>
                <w:snapToGrid w:val="0"/>
                <w:sz w:val="22"/>
                <w:szCs w:val="22"/>
              </w:rPr>
              <w:t>information des organes directeurs de la Convention de 2003 ainsi que sur les pages Web consacrées aux réunions. En revanche, leur utilisation dans l</w:t>
            </w:r>
            <w:r w:rsidR="00DD2F89">
              <w:rPr>
                <w:rFonts w:ascii="Arial" w:hAnsi="Arial"/>
                <w:snapToGrid w:val="0"/>
                <w:sz w:val="22"/>
                <w:szCs w:val="22"/>
              </w:rPr>
              <w:t>’</w:t>
            </w:r>
            <w:r>
              <w:rPr>
                <w:rFonts w:ascii="Arial" w:hAnsi="Arial"/>
                <w:snapToGrid w:val="0"/>
                <w:sz w:val="22"/>
                <w:szCs w:val="22"/>
              </w:rPr>
              <w:t>ordre du jour provisoire n</w:t>
            </w:r>
            <w:r w:rsidR="00DD2F89">
              <w:rPr>
                <w:rFonts w:ascii="Arial" w:hAnsi="Arial"/>
                <w:snapToGrid w:val="0"/>
                <w:sz w:val="22"/>
                <w:szCs w:val="22"/>
              </w:rPr>
              <w:t>’</w:t>
            </w:r>
            <w:r>
              <w:rPr>
                <w:rFonts w:ascii="Arial" w:hAnsi="Arial"/>
                <w:snapToGrid w:val="0"/>
                <w:sz w:val="22"/>
                <w:szCs w:val="22"/>
              </w:rPr>
              <w:t>est pas conseillée car toute révision ou ajout entraînerait une modification de l</w:t>
            </w:r>
            <w:r w:rsidR="00DD2F89">
              <w:rPr>
                <w:rFonts w:ascii="Arial" w:hAnsi="Arial"/>
                <w:snapToGrid w:val="0"/>
                <w:sz w:val="22"/>
                <w:szCs w:val="22"/>
              </w:rPr>
              <w:t>’</w:t>
            </w:r>
            <w:r>
              <w:rPr>
                <w:rFonts w:ascii="Arial" w:hAnsi="Arial"/>
                <w:snapToGrid w:val="0"/>
                <w:sz w:val="22"/>
                <w:szCs w:val="22"/>
              </w:rPr>
              <w:t>URL du document. Un hyperlien renvoyant à une version précédente du document pourrait être source de confusion.</w:t>
            </w:r>
          </w:p>
        </w:tc>
      </w:tr>
      <w:tr w:rsidR="009B7C08" w:rsidRPr="007C392A" w14:paraId="1F60043E" w14:textId="77777777" w:rsidTr="00B04CDE">
        <w:tc>
          <w:tcPr>
            <w:tcW w:w="6059" w:type="dxa"/>
          </w:tcPr>
          <w:p w14:paraId="7906D64D"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Il conviendrait de mener des consultations informelles ouvertes sur les projets de décision afin de promouvoir un processus décisionnel plus inclusif et efficace.</w:t>
            </w:r>
          </w:p>
          <w:p w14:paraId="165853B7" w14:textId="77777777" w:rsidR="009B7C08" w:rsidRPr="00874122" w:rsidRDefault="009B7C08" w:rsidP="00B04CDE">
            <w:pPr>
              <w:spacing w:after="120"/>
              <w:jc w:val="both"/>
              <w:rPr>
                <w:rFonts w:ascii="Arial" w:hAnsi="Arial" w:cs="Arial"/>
                <w:snapToGrid w:val="0"/>
                <w:sz w:val="22"/>
                <w:szCs w:val="22"/>
              </w:rPr>
            </w:pPr>
            <w:r>
              <w:rPr>
                <w:rFonts w:ascii="Arial" w:hAnsi="Arial"/>
                <w:b/>
                <w:bCs/>
                <w:sz w:val="22"/>
                <w:szCs w:val="22"/>
              </w:rPr>
              <w:t>Action nécessaire des États parties</w:t>
            </w:r>
          </w:p>
        </w:tc>
        <w:tc>
          <w:tcPr>
            <w:tcW w:w="8501" w:type="dxa"/>
          </w:tcPr>
          <w:p w14:paraId="5590642D" w14:textId="494F9853"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C</w:t>
            </w:r>
            <w:r w:rsidR="00DD2F89">
              <w:rPr>
                <w:rFonts w:ascii="Arial" w:hAnsi="Arial"/>
                <w:snapToGrid w:val="0"/>
                <w:sz w:val="22"/>
                <w:szCs w:val="22"/>
              </w:rPr>
              <w:t>’</w:t>
            </w:r>
            <w:r>
              <w:rPr>
                <w:rFonts w:ascii="Arial" w:hAnsi="Arial"/>
                <w:snapToGrid w:val="0"/>
                <w:sz w:val="22"/>
                <w:szCs w:val="22"/>
              </w:rPr>
              <w:t>est aux États parties que revient la responsabilité de la mise en</w:t>
            </w:r>
            <w:r w:rsidR="00742D54">
              <w:rPr>
                <w:rFonts w:ascii="Arial" w:hAnsi="Arial"/>
                <w:snapToGrid w:val="0"/>
                <w:sz w:val="22"/>
                <w:szCs w:val="22"/>
              </w:rPr>
              <w:t xml:space="preserve"> œuvre de cette recommandation.</w:t>
            </w:r>
          </w:p>
        </w:tc>
      </w:tr>
      <w:tr w:rsidR="009B7C08" w:rsidRPr="007C392A" w14:paraId="6D5931A8" w14:textId="77777777" w:rsidTr="00B04CDE">
        <w:tc>
          <w:tcPr>
            <w:tcW w:w="6059" w:type="dxa"/>
          </w:tcPr>
          <w:p w14:paraId="418F7599" w14:textId="4AF913C9" w:rsidR="009B7C08" w:rsidRPr="0049025A"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t>Il est recommandé d</w:t>
            </w:r>
            <w:r w:rsidR="00DD2F89">
              <w:rPr>
                <w:rFonts w:ascii="Arial" w:hAnsi="Arial"/>
                <w:snapToGrid w:val="0"/>
                <w:sz w:val="22"/>
                <w:szCs w:val="22"/>
              </w:rPr>
              <w:t>’</w:t>
            </w:r>
            <w:r>
              <w:rPr>
                <w:rFonts w:ascii="Arial" w:hAnsi="Arial"/>
                <w:snapToGrid w:val="0"/>
                <w:sz w:val="22"/>
                <w:szCs w:val="22"/>
              </w:rPr>
              <w:t>amender le Règlement intérieur des OII, le cas échéant, de manière à avancer la date limite fixée pour la présentation des candidatures à leurs organes subsidiaires, de 48 heures à sept jours avant la date des scrutins.</w:t>
            </w:r>
          </w:p>
          <w:p w14:paraId="379F3577" w14:textId="77777777" w:rsidR="009B7C08" w:rsidRPr="0049025A" w:rsidRDefault="006337E7" w:rsidP="00B04CDE">
            <w:pPr>
              <w:spacing w:after="120"/>
              <w:jc w:val="both"/>
              <w:rPr>
                <w:rFonts w:ascii="Arial" w:hAnsi="Arial" w:cs="Arial"/>
                <w:snapToGrid w:val="0"/>
                <w:sz w:val="22"/>
                <w:szCs w:val="22"/>
              </w:rPr>
            </w:pPr>
            <w:r>
              <w:rPr>
                <w:rFonts w:ascii="Arial" w:hAnsi="Arial"/>
                <w:b/>
                <w:bCs/>
                <w:sz w:val="22"/>
                <w:szCs w:val="22"/>
              </w:rPr>
              <w:t>Action en cours</w:t>
            </w:r>
          </w:p>
        </w:tc>
        <w:tc>
          <w:tcPr>
            <w:tcW w:w="8501" w:type="dxa"/>
          </w:tcPr>
          <w:p w14:paraId="71D2E99F" w14:textId="169A1320" w:rsidR="009B7C08" w:rsidRPr="00DD2F89" w:rsidRDefault="00D351EB" w:rsidP="00A741D3">
            <w:pPr>
              <w:pStyle w:val="ListParagraph"/>
              <w:numPr>
                <w:ilvl w:val="0"/>
                <w:numId w:val="7"/>
              </w:numPr>
              <w:spacing w:after="120"/>
              <w:ind w:left="357" w:hanging="357"/>
              <w:contextualSpacing w:val="0"/>
              <w:jc w:val="both"/>
              <w:rPr>
                <w:rFonts w:ascii="Arial" w:hAnsi="Arial" w:cs="Arial"/>
                <w:snapToGrid w:val="0"/>
                <w:sz w:val="22"/>
                <w:szCs w:val="22"/>
              </w:rPr>
            </w:pPr>
            <w:r w:rsidRPr="00DD2F89">
              <w:rPr>
                <w:rFonts w:ascii="Arial" w:hAnsi="Arial" w:cs="Arial"/>
                <w:sz w:val="22"/>
                <w:szCs w:val="22"/>
              </w:rPr>
              <w:t>L</w:t>
            </w:r>
            <w:r w:rsidR="00DD2F89" w:rsidRPr="00DD2F89">
              <w:rPr>
                <w:rFonts w:ascii="Arial" w:hAnsi="Arial" w:cs="Arial"/>
                <w:sz w:val="22"/>
                <w:szCs w:val="22"/>
              </w:rPr>
              <w:t>’</w:t>
            </w:r>
            <w:hyperlink r:id="rId50" w:anchor="Article14" w:history="1">
              <w:r w:rsidRPr="00DD2F89">
                <w:rPr>
                  <w:rStyle w:val="Hyperlink"/>
                  <w:rFonts w:ascii="Arial" w:hAnsi="Arial" w:cs="Arial"/>
                  <w:snapToGrid w:val="0"/>
                  <w:sz w:val="22"/>
                  <w:szCs w:val="22"/>
                </w:rPr>
                <w:t>article 14.4</w:t>
              </w:r>
            </w:hyperlink>
            <w:r w:rsidRPr="00DD2F89">
              <w:rPr>
                <w:rFonts w:ascii="Arial" w:hAnsi="Arial" w:cs="Arial"/>
                <w:snapToGrid w:val="0"/>
                <w:sz w:val="22"/>
                <w:szCs w:val="22"/>
              </w:rPr>
              <w:t xml:space="preserve"> du Règlement intérieur de l</w:t>
            </w:r>
            <w:r w:rsidR="00DD2F89" w:rsidRPr="00DD2F89">
              <w:rPr>
                <w:rFonts w:ascii="Arial" w:hAnsi="Arial" w:cs="Arial"/>
                <w:snapToGrid w:val="0"/>
                <w:sz w:val="22"/>
                <w:szCs w:val="22"/>
              </w:rPr>
              <w:t>’</w:t>
            </w:r>
            <w:r w:rsidRPr="00DD2F89">
              <w:rPr>
                <w:rFonts w:ascii="Arial" w:hAnsi="Arial" w:cs="Arial"/>
                <w:snapToGrid w:val="0"/>
                <w:sz w:val="22"/>
                <w:szCs w:val="22"/>
              </w:rPr>
              <w:t>Asse</w:t>
            </w:r>
            <w:r w:rsidR="00EA1A91" w:rsidRPr="00DD2F89">
              <w:rPr>
                <w:rFonts w:ascii="Arial" w:hAnsi="Arial" w:cs="Arial"/>
                <w:snapToGrid w:val="0"/>
                <w:sz w:val="22"/>
                <w:szCs w:val="22"/>
              </w:rPr>
              <w:t>mblée générale stipule que « </w:t>
            </w:r>
            <w:r w:rsidR="00523817" w:rsidRPr="00DD2F89">
              <w:rPr>
                <w:rFonts w:ascii="Arial" w:hAnsi="Arial" w:cs="Arial"/>
                <w:snapToGrid w:val="0"/>
                <w:sz w:val="22"/>
                <w:szCs w:val="22"/>
              </w:rPr>
              <w:t>l</w:t>
            </w:r>
            <w:r w:rsidRPr="00DD2F89">
              <w:rPr>
                <w:rFonts w:ascii="Arial" w:hAnsi="Arial" w:cs="Arial"/>
                <w:snapToGrid w:val="0"/>
                <w:sz w:val="22"/>
                <w:szCs w:val="22"/>
              </w:rPr>
              <w:t>a liste des candidatures est finalisée trois jours ouvrables avant l</w:t>
            </w:r>
            <w:r w:rsidR="00DD2F89" w:rsidRPr="00DD2F89">
              <w:rPr>
                <w:rFonts w:ascii="Arial" w:hAnsi="Arial" w:cs="Arial"/>
                <w:snapToGrid w:val="0"/>
                <w:sz w:val="22"/>
                <w:szCs w:val="22"/>
              </w:rPr>
              <w:t>’</w:t>
            </w:r>
            <w:r w:rsidRPr="00DD2F89">
              <w:rPr>
                <w:rFonts w:ascii="Arial" w:hAnsi="Arial" w:cs="Arial"/>
                <w:snapToGrid w:val="0"/>
                <w:sz w:val="22"/>
                <w:szCs w:val="22"/>
              </w:rPr>
              <w:t>ouverture de l</w:t>
            </w:r>
            <w:r w:rsidR="00DD2F89" w:rsidRPr="00DD2F89">
              <w:rPr>
                <w:rFonts w:ascii="Arial" w:hAnsi="Arial" w:cs="Arial"/>
                <w:snapToGrid w:val="0"/>
                <w:sz w:val="22"/>
                <w:szCs w:val="22"/>
              </w:rPr>
              <w:t>’</w:t>
            </w:r>
            <w:r w:rsidRPr="00DD2F89">
              <w:rPr>
                <w:rFonts w:ascii="Arial" w:hAnsi="Arial" w:cs="Arial"/>
                <w:snapToGrid w:val="0"/>
                <w:sz w:val="22"/>
                <w:szCs w:val="22"/>
              </w:rPr>
              <w:t>Assemblée générale. Aucune candidature ne sera acceptée pendant les trois jours ouvrables précé</w:t>
            </w:r>
            <w:r w:rsidR="002353CA" w:rsidRPr="00DD2F89">
              <w:rPr>
                <w:rFonts w:ascii="Arial" w:hAnsi="Arial" w:cs="Arial"/>
                <w:snapToGrid w:val="0"/>
                <w:sz w:val="22"/>
                <w:szCs w:val="22"/>
              </w:rPr>
              <w:t>dant l</w:t>
            </w:r>
            <w:r w:rsidR="00DD2F89" w:rsidRPr="00DD2F89">
              <w:rPr>
                <w:rFonts w:ascii="Arial" w:hAnsi="Arial" w:cs="Arial"/>
                <w:snapToGrid w:val="0"/>
                <w:sz w:val="22"/>
                <w:szCs w:val="22"/>
              </w:rPr>
              <w:t>’</w:t>
            </w:r>
            <w:r w:rsidR="002353CA" w:rsidRPr="00DD2F89">
              <w:rPr>
                <w:rFonts w:ascii="Arial" w:hAnsi="Arial" w:cs="Arial"/>
                <w:snapToGrid w:val="0"/>
                <w:sz w:val="22"/>
                <w:szCs w:val="22"/>
              </w:rPr>
              <w:t>ouverture de l</w:t>
            </w:r>
            <w:r w:rsidR="00DD2F89" w:rsidRPr="00DD2F89">
              <w:rPr>
                <w:rFonts w:ascii="Arial" w:hAnsi="Arial" w:cs="Arial"/>
                <w:snapToGrid w:val="0"/>
                <w:sz w:val="22"/>
                <w:szCs w:val="22"/>
              </w:rPr>
              <w:t>’</w:t>
            </w:r>
            <w:r w:rsidR="002353CA" w:rsidRPr="00DD2F89">
              <w:rPr>
                <w:rFonts w:ascii="Arial" w:hAnsi="Arial" w:cs="Arial"/>
                <w:snapToGrid w:val="0"/>
                <w:sz w:val="22"/>
                <w:szCs w:val="22"/>
              </w:rPr>
              <w:t>Assemblée</w:t>
            </w:r>
            <w:r w:rsidRPr="00DD2F89">
              <w:rPr>
                <w:rFonts w:ascii="Arial" w:hAnsi="Arial" w:cs="Arial"/>
                <w:snapToGrid w:val="0"/>
                <w:sz w:val="22"/>
                <w:szCs w:val="22"/>
              </w:rPr>
              <w:t> »</w:t>
            </w:r>
            <w:r w:rsidR="002353CA" w:rsidRPr="00DD2F89">
              <w:rPr>
                <w:rFonts w:ascii="Arial" w:hAnsi="Arial" w:cs="Arial"/>
                <w:snapToGrid w:val="0"/>
                <w:sz w:val="22"/>
                <w:szCs w:val="22"/>
              </w:rPr>
              <w:t>.</w:t>
            </w:r>
          </w:p>
          <w:p w14:paraId="43597F55" w14:textId="3CEA715F"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En outre, conformément à l</w:t>
            </w:r>
            <w:r w:rsidR="00DD2F89">
              <w:rPr>
                <w:rFonts w:ascii="Arial" w:hAnsi="Arial"/>
                <w:snapToGrid w:val="0"/>
                <w:sz w:val="22"/>
                <w:szCs w:val="22"/>
              </w:rPr>
              <w:t>’</w:t>
            </w:r>
            <w:hyperlink r:id="rId51" w:anchor="Article14" w:history="1">
              <w:r>
                <w:rPr>
                  <w:rStyle w:val="Hyperlink"/>
                  <w:rFonts w:ascii="Arial" w:hAnsi="Arial"/>
                  <w:snapToGrid w:val="0"/>
                  <w:sz w:val="22"/>
                  <w:szCs w:val="22"/>
                </w:rPr>
                <w:t>article 14.3</w:t>
              </w:r>
            </w:hyperlink>
            <w:r w:rsidR="00413491">
              <w:rPr>
                <w:rFonts w:ascii="Arial" w:hAnsi="Arial"/>
                <w:snapToGrid w:val="0"/>
                <w:sz w:val="22"/>
                <w:szCs w:val="22"/>
              </w:rPr>
              <w:t>, « a</w:t>
            </w:r>
            <w:r>
              <w:rPr>
                <w:rFonts w:ascii="Arial" w:hAnsi="Arial"/>
                <w:snapToGrid w:val="0"/>
                <w:sz w:val="22"/>
                <w:szCs w:val="22"/>
              </w:rPr>
              <w:t>ucun paiement de contributions obligatoires et volontaires au Fonds (ayant pour but de présenter une candidature au Comité) ne peut être accepté pendant la semaine précédant l</w:t>
            </w:r>
            <w:r w:rsidR="00DD2F89">
              <w:rPr>
                <w:rFonts w:ascii="Arial" w:hAnsi="Arial"/>
                <w:snapToGrid w:val="0"/>
                <w:sz w:val="22"/>
                <w:szCs w:val="22"/>
              </w:rPr>
              <w:t>’</w:t>
            </w:r>
            <w:r>
              <w:rPr>
                <w:rFonts w:ascii="Arial" w:hAnsi="Arial"/>
                <w:snapToGrid w:val="0"/>
                <w:sz w:val="22"/>
                <w:szCs w:val="22"/>
              </w:rPr>
              <w:t>ouverture de l</w:t>
            </w:r>
            <w:r w:rsidR="00DD2F89">
              <w:rPr>
                <w:rFonts w:ascii="Arial" w:hAnsi="Arial"/>
                <w:snapToGrid w:val="0"/>
                <w:sz w:val="22"/>
                <w:szCs w:val="22"/>
              </w:rPr>
              <w:t>’</w:t>
            </w:r>
            <w:r>
              <w:rPr>
                <w:rFonts w:ascii="Arial" w:hAnsi="Arial"/>
                <w:snapToGrid w:val="0"/>
                <w:sz w:val="22"/>
                <w:szCs w:val="22"/>
              </w:rPr>
              <w:t>Assemblée ».</w:t>
            </w:r>
          </w:p>
          <w:p w14:paraId="5B76C269" w14:textId="09AC9C91"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Assemblée générale pourrait choisir de modifier son Règlement intérieur ou bien poursuivre la pratique actuelle.</w:t>
            </w:r>
          </w:p>
          <w:p w14:paraId="760D0A83" w14:textId="5276575E" w:rsidR="00310F56" w:rsidRPr="0049025A" w:rsidRDefault="00236BBD" w:rsidP="00173F35">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b/>
                <w:snapToGrid w:val="0"/>
                <w:sz w:val="22"/>
                <w:szCs w:val="22"/>
                <w:u w:val="single"/>
              </w:rPr>
              <w:t>Mise à jour</w:t>
            </w:r>
            <w:r>
              <w:rPr>
                <w:rFonts w:ascii="Arial" w:hAnsi="Arial"/>
                <w:snapToGrid w:val="0"/>
                <w:sz w:val="22"/>
                <w:szCs w:val="22"/>
                <w:u w:val="single"/>
              </w:rPr>
              <w:t xml:space="preserve"> : conformément aux </w:t>
            </w:r>
            <w:r w:rsidR="00E316EC" w:rsidRPr="00173F35">
              <w:rPr>
                <w:rFonts w:ascii="Arial" w:hAnsi="Arial"/>
                <w:snapToGrid w:val="0"/>
                <w:sz w:val="22"/>
                <w:szCs w:val="22"/>
                <w:u w:val="single"/>
              </w:rPr>
              <w:t>r</w:t>
            </w:r>
            <w:r w:rsidRPr="00173F35">
              <w:rPr>
                <w:rFonts w:ascii="Arial" w:hAnsi="Arial"/>
                <w:snapToGrid w:val="0"/>
                <w:sz w:val="22"/>
                <w:szCs w:val="22"/>
                <w:u w:val="single"/>
              </w:rPr>
              <w:t>ésolutions </w:t>
            </w:r>
            <w:hyperlink r:id="rId52" w:history="1">
              <w:r w:rsidRPr="00173F35">
                <w:rPr>
                  <w:rStyle w:val="Hyperlink"/>
                  <w:rFonts w:ascii="Arial" w:hAnsi="Arial"/>
                  <w:snapToGrid w:val="0"/>
                  <w:sz w:val="22"/>
                  <w:szCs w:val="22"/>
                </w:rPr>
                <w:t>7.GA 12</w:t>
              </w:r>
            </w:hyperlink>
            <w:r w:rsidRPr="00173F35">
              <w:rPr>
                <w:rFonts w:ascii="Arial" w:hAnsi="Arial"/>
                <w:snapToGrid w:val="0"/>
                <w:sz w:val="22"/>
                <w:szCs w:val="22"/>
                <w:u w:val="single"/>
              </w:rPr>
              <w:t xml:space="preserve"> et </w:t>
            </w:r>
            <w:hyperlink r:id="rId53" w:history="1">
              <w:r w:rsidRPr="00173F35">
                <w:rPr>
                  <w:rStyle w:val="Hyperlink"/>
                  <w:rFonts w:ascii="Arial" w:hAnsi="Arial"/>
                  <w:snapToGrid w:val="0"/>
                  <w:sz w:val="22"/>
                  <w:szCs w:val="22"/>
                </w:rPr>
                <w:t>7.GA 13</w:t>
              </w:r>
            </w:hyperlink>
            <w:r>
              <w:rPr>
                <w:rFonts w:ascii="Arial" w:hAnsi="Arial"/>
                <w:snapToGrid w:val="0"/>
                <w:sz w:val="22"/>
                <w:szCs w:val="22"/>
                <w:u w:val="single"/>
              </w:rPr>
              <w:t>, une révision d</w:t>
            </w:r>
            <w:r w:rsidR="00173F35">
              <w:rPr>
                <w:rFonts w:ascii="Arial" w:hAnsi="Arial"/>
                <w:snapToGrid w:val="0"/>
                <w:sz w:val="22"/>
                <w:szCs w:val="22"/>
                <w:u w:val="single"/>
              </w:rPr>
              <w:t>u</w:t>
            </w:r>
            <w:r>
              <w:rPr>
                <w:rFonts w:ascii="Arial" w:hAnsi="Arial"/>
                <w:snapToGrid w:val="0"/>
                <w:sz w:val="22"/>
                <w:szCs w:val="22"/>
                <w:u w:val="single"/>
              </w:rPr>
              <w:t xml:space="preserve"> Règlement intérieur </w:t>
            </w:r>
            <w:r w:rsidR="00173F35">
              <w:rPr>
                <w:rFonts w:ascii="Arial" w:hAnsi="Arial"/>
                <w:snapToGrid w:val="0"/>
                <w:sz w:val="22"/>
                <w:szCs w:val="22"/>
                <w:u w:val="single"/>
              </w:rPr>
              <w:t xml:space="preserve">de l’Assemblée générale </w:t>
            </w:r>
            <w:r>
              <w:rPr>
                <w:rFonts w:ascii="Arial" w:hAnsi="Arial"/>
                <w:snapToGrid w:val="0"/>
                <w:sz w:val="22"/>
                <w:szCs w:val="22"/>
                <w:u w:val="single"/>
              </w:rPr>
              <w:t>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 en 2020.</w:t>
            </w:r>
          </w:p>
        </w:tc>
      </w:tr>
      <w:tr w:rsidR="009B7C08" w:rsidRPr="007C392A" w14:paraId="64DF6CAA" w14:textId="77777777" w:rsidTr="00B04CDE">
        <w:trPr>
          <w:trHeight w:val="340"/>
        </w:trPr>
        <w:tc>
          <w:tcPr>
            <w:tcW w:w="14560" w:type="dxa"/>
            <w:gridSpan w:val="2"/>
            <w:shd w:val="clear" w:color="auto" w:fill="F2F2F2" w:themeFill="background1" w:themeFillShade="F2"/>
            <w:vAlign w:val="center"/>
          </w:tcPr>
          <w:p w14:paraId="11D2F3CB" w14:textId="77777777" w:rsidR="009B7C08" w:rsidRPr="0050450D" w:rsidRDefault="009B7C08" w:rsidP="00B04CDE">
            <w:pPr>
              <w:keepNext/>
              <w:rPr>
                <w:rFonts w:ascii="Arial" w:hAnsi="Arial" w:cs="Arial"/>
                <w:b/>
                <w:snapToGrid w:val="0"/>
                <w:sz w:val="22"/>
                <w:szCs w:val="22"/>
              </w:rPr>
            </w:pPr>
            <w:r>
              <w:rPr>
                <w:rFonts w:ascii="Arial" w:hAnsi="Arial"/>
                <w:b/>
                <w:snapToGrid w:val="0"/>
                <w:sz w:val="22"/>
                <w:szCs w:val="22"/>
              </w:rPr>
              <w:t>Harmonisation (rôle des bureaux, transparence)</w:t>
            </w:r>
          </w:p>
        </w:tc>
      </w:tr>
      <w:tr w:rsidR="009B7C08" w:rsidRPr="007C392A" w14:paraId="05933E79" w14:textId="77777777" w:rsidTr="00B04CDE">
        <w:tc>
          <w:tcPr>
            <w:tcW w:w="6059" w:type="dxa"/>
          </w:tcPr>
          <w:p w14:paraId="6A589F41"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 rôle, la composition et les procédures des bureaux, ainsi que leurs membres, doivent être clarifiés et harmonisés par une codification dans les statuts et règlements intérieurs ou par la définition de directives générales pour tous les OII, en collaboration étroite avec le Secrétariat.</w:t>
            </w:r>
          </w:p>
          <w:p w14:paraId="64E27739" w14:textId="77777777" w:rsidR="009B7C08" w:rsidRPr="00874122" w:rsidRDefault="009B7C08" w:rsidP="00B04CDE">
            <w:pPr>
              <w:spacing w:after="120"/>
              <w:jc w:val="both"/>
              <w:rPr>
                <w:rFonts w:ascii="Arial" w:hAnsi="Arial" w:cs="Arial"/>
                <w:snapToGrid w:val="0"/>
                <w:sz w:val="22"/>
                <w:szCs w:val="22"/>
              </w:rPr>
            </w:pPr>
            <w:r>
              <w:rPr>
                <w:rFonts w:ascii="Arial" w:hAnsi="Arial"/>
                <w:b/>
                <w:bCs/>
                <w:sz w:val="22"/>
                <w:szCs w:val="22"/>
              </w:rPr>
              <w:lastRenderedPageBreak/>
              <w:t>Action proposée</w:t>
            </w:r>
          </w:p>
        </w:tc>
        <w:tc>
          <w:tcPr>
            <w:tcW w:w="8501" w:type="dxa"/>
          </w:tcPr>
          <w:p w14:paraId="5F04B426" w14:textId="75085DB1"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lastRenderedPageBreak/>
              <w:t>Alors que l</w:t>
            </w:r>
            <w:r w:rsidR="00DD2F89">
              <w:rPr>
                <w:rFonts w:ascii="Arial" w:hAnsi="Arial"/>
                <w:snapToGrid w:val="0"/>
                <w:sz w:val="22"/>
                <w:szCs w:val="22"/>
              </w:rPr>
              <w:t>’</w:t>
            </w:r>
            <w:hyperlink r:id="rId54" w:anchor="Article12" w:history="1">
              <w:r>
                <w:rPr>
                  <w:rStyle w:val="Hyperlink"/>
                  <w:rFonts w:ascii="Arial" w:hAnsi="Arial"/>
                  <w:snapToGrid w:val="0"/>
                  <w:sz w:val="22"/>
                  <w:szCs w:val="22"/>
                </w:rPr>
                <w:t>article 12</w:t>
              </w:r>
            </w:hyperlink>
            <w:r>
              <w:rPr>
                <w:rFonts w:ascii="Arial" w:hAnsi="Arial"/>
                <w:snapToGrid w:val="0"/>
                <w:sz w:val="22"/>
                <w:szCs w:val="22"/>
              </w:rPr>
              <w:t xml:space="preserve"> du Règlement intérieur du Comité définit le rôle du Bureau du Comité, le rôle du Bureau de l</w:t>
            </w:r>
            <w:r w:rsidR="00DD2F89">
              <w:rPr>
                <w:rFonts w:ascii="Arial" w:hAnsi="Arial"/>
                <w:snapToGrid w:val="0"/>
                <w:sz w:val="22"/>
                <w:szCs w:val="22"/>
              </w:rPr>
              <w:t>’</w:t>
            </w:r>
            <w:r>
              <w:rPr>
                <w:rFonts w:ascii="Arial" w:hAnsi="Arial"/>
                <w:snapToGrid w:val="0"/>
                <w:sz w:val="22"/>
                <w:szCs w:val="22"/>
              </w:rPr>
              <w:t>Assemblée générale n</w:t>
            </w:r>
            <w:r w:rsidR="00DD2F89">
              <w:rPr>
                <w:rFonts w:ascii="Arial" w:hAnsi="Arial"/>
                <w:snapToGrid w:val="0"/>
                <w:sz w:val="22"/>
                <w:szCs w:val="22"/>
              </w:rPr>
              <w:t>’</w:t>
            </w:r>
            <w:r>
              <w:rPr>
                <w:rFonts w:ascii="Arial" w:hAnsi="Arial"/>
                <w:snapToGrid w:val="0"/>
                <w:sz w:val="22"/>
                <w:szCs w:val="22"/>
              </w:rPr>
              <w:t>est pas décrit dans le Règlement intérieur de l</w:t>
            </w:r>
            <w:r w:rsidR="00DD2F89">
              <w:rPr>
                <w:rFonts w:ascii="Arial" w:hAnsi="Arial"/>
                <w:snapToGrid w:val="0"/>
                <w:sz w:val="22"/>
                <w:szCs w:val="22"/>
              </w:rPr>
              <w:t>’</w:t>
            </w:r>
            <w:r>
              <w:rPr>
                <w:rFonts w:ascii="Arial" w:hAnsi="Arial"/>
                <w:snapToGrid w:val="0"/>
                <w:sz w:val="22"/>
                <w:szCs w:val="22"/>
              </w:rPr>
              <w:t>Assemblée. Ni le Règlement intérieur du Comité ni celui de l</w:t>
            </w:r>
            <w:r w:rsidR="00DD2F89">
              <w:rPr>
                <w:rFonts w:ascii="Arial" w:hAnsi="Arial"/>
                <w:snapToGrid w:val="0"/>
                <w:sz w:val="22"/>
                <w:szCs w:val="22"/>
              </w:rPr>
              <w:t>’</w:t>
            </w:r>
            <w:r>
              <w:rPr>
                <w:rFonts w:ascii="Arial" w:hAnsi="Arial"/>
                <w:snapToGrid w:val="0"/>
                <w:sz w:val="22"/>
                <w:szCs w:val="22"/>
              </w:rPr>
              <w:t>Assemblée générale ne précisent la composition de leurs bureaux respectifs.</w:t>
            </w:r>
          </w:p>
          <w:p w14:paraId="52800BF7" w14:textId="16A75E2F"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lastRenderedPageBreak/>
              <w:t>L</w:t>
            </w:r>
            <w:r w:rsidR="00DD2F89">
              <w:rPr>
                <w:rFonts w:ascii="Arial" w:hAnsi="Arial"/>
                <w:snapToGrid w:val="0"/>
                <w:sz w:val="22"/>
                <w:szCs w:val="22"/>
              </w:rPr>
              <w:t>’</w:t>
            </w:r>
            <w:r>
              <w:rPr>
                <w:rFonts w:ascii="Arial" w:hAnsi="Arial"/>
                <w:snapToGrid w:val="0"/>
                <w:sz w:val="22"/>
                <w:szCs w:val="22"/>
              </w:rPr>
              <w:t>Assemblée générale pourrait choisir de modifier son Règlement intérieur pour préciser le rôle et la composition de son Bureau ou bien poursuivre la pratique actuelle.</w:t>
            </w:r>
          </w:p>
          <w:p w14:paraId="1557EDBB" w14:textId="0467AC7F" w:rsidR="00236BBD" w:rsidRDefault="00236BBD" w:rsidP="00173F35">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b/>
                <w:snapToGrid w:val="0"/>
                <w:sz w:val="22"/>
                <w:szCs w:val="22"/>
                <w:u w:val="single"/>
              </w:rPr>
              <w:t>Mise à jour</w:t>
            </w:r>
            <w:r>
              <w:rPr>
                <w:rFonts w:ascii="Arial" w:hAnsi="Arial"/>
                <w:snapToGrid w:val="0"/>
                <w:sz w:val="22"/>
                <w:szCs w:val="22"/>
                <w:u w:val="single"/>
              </w:rPr>
              <w:t xml:space="preserve"> : conformément aux </w:t>
            </w:r>
            <w:r w:rsidR="00E316EC" w:rsidRPr="00173F35">
              <w:rPr>
                <w:rFonts w:ascii="Arial" w:hAnsi="Arial"/>
                <w:snapToGrid w:val="0"/>
                <w:sz w:val="22"/>
                <w:szCs w:val="22"/>
                <w:u w:val="single"/>
              </w:rPr>
              <w:t>r</w:t>
            </w:r>
            <w:r w:rsidRPr="00173F35">
              <w:rPr>
                <w:rFonts w:ascii="Arial" w:hAnsi="Arial"/>
                <w:snapToGrid w:val="0"/>
                <w:sz w:val="22"/>
                <w:szCs w:val="22"/>
                <w:u w:val="single"/>
              </w:rPr>
              <w:t>ésolutions </w:t>
            </w:r>
            <w:hyperlink r:id="rId55" w:history="1">
              <w:r w:rsidRPr="00173F35">
                <w:rPr>
                  <w:rStyle w:val="Hyperlink"/>
                  <w:rFonts w:ascii="Arial" w:hAnsi="Arial"/>
                  <w:snapToGrid w:val="0"/>
                  <w:sz w:val="22"/>
                  <w:szCs w:val="22"/>
                </w:rPr>
                <w:t>7.GA 12</w:t>
              </w:r>
            </w:hyperlink>
            <w:r w:rsidRPr="00173F35">
              <w:rPr>
                <w:rFonts w:ascii="Arial" w:hAnsi="Arial"/>
                <w:snapToGrid w:val="0"/>
                <w:sz w:val="22"/>
                <w:szCs w:val="22"/>
                <w:u w:val="single"/>
              </w:rPr>
              <w:t xml:space="preserve"> et </w:t>
            </w:r>
            <w:hyperlink r:id="rId56" w:history="1">
              <w:r w:rsidRPr="00173F35">
                <w:rPr>
                  <w:rStyle w:val="Hyperlink"/>
                  <w:rFonts w:ascii="Arial" w:hAnsi="Arial"/>
                  <w:snapToGrid w:val="0"/>
                  <w:sz w:val="22"/>
                  <w:szCs w:val="22"/>
                </w:rPr>
                <w:t>7.GA 13</w:t>
              </w:r>
            </w:hyperlink>
            <w:r>
              <w:rPr>
                <w:rFonts w:ascii="Arial" w:hAnsi="Arial"/>
                <w:snapToGrid w:val="0"/>
                <w:sz w:val="22"/>
                <w:szCs w:val="22"/>
                <w:u w:val="single"/>
              </w:rPr>
              <w:t>, une révision d</w:t>
            </w:r>
            <w:r w:rsidR="00173F35">
              <w:rPr>
                <w:rFonts w:ascii="Arial" w:hAnsi="Arial"/>
                <w:snapToGrid w:val="0"/>
                <w:sz w:val="22"/>
                <w:szCs w:val="22"/>
                <w:u w:val="single"/>
              </w:rPr>
              <w:t>u</w:t>
            </w:r>
            <w:r>
              <w:rPr>
                <w:rFonts w:ascii="Arial" w:hAnsi="Arial"/>
                <w:snapToGrid w:val="0"/>
                <w:sz w:val="22"/>
                <w:szCs w:val="22"/>
                <w:u w:val="single"/>
              </w:rPr>
              <w:t xml:space="preserve"> Règlement intérieur </w:t>
            </w:r>
            <w:r w:rsidR="00173F35">
              <w:rPr>
                <w:rFonts w:ascii="Arial" w:hAnsi="Arial"/>
                <w:snapToGrid w:val="0"/>
                <w:sz w:val="22"/>
                <w:szCs w:val="22"/>
                <w:u w:val="single"/>
              </w:rPr>
              <w:t xml:space="preserve">de l’Assemblée générale </w:t>
            </w:r>
            <w:r>
              <w:rPr>
                <w:rFonts w:ascii="Arial" w:hAnsi="Arial"/>
                <w:snapToGrid w:val="0"/>
                <w:sz w:val="22"/>
                <w:szCs w:val="22"/>
                <w:u w:val="single"/>
              </w:rPr>
              <w:t>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 en 2020.</w:t>
            </w:r>
          </w:p>
          <w:p w14:paraId="6947E118"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Comité pourrait choisir de modifier son Règlement intérieur pour préciser la composition de son Bureau ou bien poursuivre la pratique actuelle.</w:t>
            </w:r>
          </w:p>
        </w:tc>
      </w:tr>
      <w:tr w:rsidR="009B7C08" w:rsidRPr="007523AD" w14:paraId="425FA0D6" w14:textId="77777777" w:rsidTr="00B04CDE">
        <w:tc>
          <w:tcPr>
            <w:tcW w:w="6059" w:type="dxa"/>
          </w:tcPr>
          <w:p w14:paraId="7CD058E2"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Il est suggéré que la composition des bureaux soit fixée, dans une mesure aussi compatible que possible avec les mandats de chaque OII, à six membres au maximum (un(e) président(e), un rapporteur et quatre vice-président(e)s issus des six groupes électoraux).</w:t>
            </w:r>
          </w:p>
          <w:p w14:paraId="5FEEC764" w14:textId="77777777" w:rsidR="009B7C08" w:rsidRPr="00874122" w:rsidRDefault="009B7C08" w:rsidP="00B04CDE">
            <w:pPr>
              <w:spacing w:after="120"/>
              <w:jc w:val="both"/>
              <w:rPr>
                <w:rFonts w:ascii="Arial" w:hAnsi="Arial" w:cs="Arial"/>
                <w:snapToGrid w:val="0"/>
                <w:sz w:val="22"/>
                <w:szCs w:val="22"/>
              </w:rPr>
            </w:pPr>
            <w:r>
              <w:rPr>
                <w:rFonts w:ascii="Arial" w:hAnsi="Arial"/>
                <w:b/>
                <w:bCs/>
                <w:sz w:val="22"/>
                <w:szCs w:val="22"/>
              </w:rPr>
              <w:t>Action proposée</w:t>
            </w:r>
          </w:p>
        </w:tc>
        <w:tc>
          <w:tcPr>
            <w:tcW w:w="8501" w:type="dxa"/>
          </w:tcPr>
          <w:p w14:paraId="666439BE" w14:textId="29A3F433"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En pratique, aussi bien pour l</w:t>
            </w:r>
            <w:r w:rsidR="00DD2F89">
              <w:rPr>
                <w:rFonts w:ascii="Arial" w:hAnsi="Arial"/>
                <w:snapToGrid w:val="0"/>
                <w:sz w:val="22"/>
                <w:szCs w:val="22"/>
              </w:rPr>
              <w:t>’</w:t>
            </w:r>
            <w:r>
              <w:rPr>
                <w:rFonts w:ascii="Arial" w:hAnsi="Arial"/>
                <w:snapToGrid w:val="0"/>
                <w:sz w:val="22"/>
                <w:szCs w:val="22"/>
              </w:rPr>
              <w:t>Assemblée générale que pour le Comité, la composition du Bureau est fixée à sept membres au maximum (un(e) président(e), un rapporteur et quatre ou cinq vice-président(e)s). En revanche, ni le Règlement intérieur du Comité ni celui de l</w:t>
            </w:r>
            <w:r w:rsidR="00DD2F89">
              <w:rPr>
                <w:rFonts w:ascii="Arial" w:hAnsi="Arial"/>
                <w:snapToGrid w:val="0"/>
                <w:sz w:val="22"/>
                <w:szCs w:val="22"/>
              </w:rPr>
              <w:t>’</w:t>
            </w:r>
            <w:r>
              <w:rPr>
                <w:rFonts w:ascii="Arial" w:hAnsi="Arial"/>
                <w:snapToGrid w:val="0"/>
                <w:sz w:val="22"/>
                <w:szCs w:val="22"/>
              </w:rPr>
              <w:t>Assemblée générale ne précisent la composition de leurs bureaux respectifs.</w:t>
            </w:r>
          </w:p>
          <w:p w14:paraId="2E0815E0" w14:textId="17B4F093" w:rsidR="00236BBD" w:rsidRDefault="00236BBD" w:rsidP="00173F35">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b/>
                <w:snapToGrid w:val="0"/>
                <w:sz w:val="22"/>
                <w:szCs w:val="22"/>
                <w:u w:val="single"/>
              </w:rPr>
              <w:t>Mise à jour</w:t>
            </w:r>
            <w:r>
              <w:rPr>
                <w:rFonts w:ascii="Arial" w:hAnsi="Arial"/>
                <w:snapToGrid w:val="0"/>
                <w:sz w:val="22"/>
                <w:szCs w:val="22"/>
                <w:u w:val="single"/>
              </w:rPr>
              <w:t xml:space="preserve"> : conformément </w:t>
            </w:r>
            <w:r w:rsidRPr="00173F35">
              <w:rPr>
                <w:rFonts w:ascii="Arial" w:hAnsi="Arial"/>
                <w:snapToGrid w:val="0"/>
                <w:sz w:val="22"/>
                <w:szCs w:val="22"/>
                <w:u w:val="single"/>
              </w:rPr>
              <w:t xml:space="preserve">aux </w:t>
            </w:r>
            <w:r w:rsidR="00E316EC" w:rsidRPr="00173F35">
              <w:rPr>
                <w:rFonts w:ascii="Arial" w:hAnsi="Arial"/>
                <w:snapToGrid w:val="0"/>
                <w:sz w:val="22"/>
                <w:szCs w:val="22"/>
                <w:u w:val="single"/>
              </w:rPr>
              <w:t>r</w:t>
            </w:r>
            <w:r w:rsidRPr="00173F35">
              <w:rPr>
                <w:rFonts w:ascii="Arial" w:hAnsi="Arial"/>
                <w:snapToGrid w:val="0"/>
                <w:sz w:val="22"/>
                <w:szCs w:val="22"/>
                <w:u w:val="single"/>
              </w:rPr>
              <w:t>ésolutions </w:t>
            </w:r>
            <w:hyperlink r:id="rId57" w:history="1">
              <w:r w:rsidRPr="00173F35">
                <w:rPr>
                  <w:rStyle w:val="Hyperlink"/>
                  <w:rFonts w:ascii="Arial" w:hAnsi="Arial"/>
                  <w:snapToGrid w:val="0"/>
                  <w:sz w:val="22"/>
                  <w:szCs w:val="22"/>
                </w:rPr>
                <w:t>7.GA 12</w:t>
              </w:r>
            </w:hyperlink>
            <w:r w:rsidRPr="00173F35">
              <w:rPr>
                <w:rFonts w:ascii="Arial" w:hAnsi="Arial"/>
                <w:snapToGrid w:val="0"/>
                <w:sz w:val="22"/>
                <w:szCs w:val="22"/>
                <w:u w:val="single"/>
              </w:rPr>
              <w:t xml:space="preserve"> et </w:t>
            </w:r>
            <w:hyperlink r:id="rId58" w:history="1">
              <w:r w:rsidRPr="00173F35">
                <w:rPr>
                  <w:rStyle w:val="Hyperlink"/>
                  <w:rFonts w:ascii="Arial" w:hAnsi="Arial"/>
                  <w:snapToGrid w:val="0"/>
                  <w:sz w:val="22"/>
                  <w:szCs w:val="22"/>
                </w:rPr>
                <w:t>7.GA 13</w:t>
              </w:r>
            </w:hyperlink>
            <w:r>
              <w:rPr>
                <w:rFonts w:ascii="Arial" w:hAnsi="Arial"/>
                <w:snapToGrid w:val="0"/>
                <w:sz w:val="22"/>
                <w:szCs w:val="22"/>
                <w:u w:val="single"/>
              </w:rPr>
              <w:t>, une révision d</w:t>
            </w:r>
            <w:r w:rsidR="00173F35">
              <w:rPr>
                <w:rFonts w:ascii="Arial" w:hAnsi="Arial"/>
                <w:snapToGrid w:val="0"/>
                <w:sz w:val="22"/>
                <w:szCs w:val="22"/>
                <w:u w:val="single"/>
              </w:rPr>
              <w:t>u</w:t>
            </w:r>
            <w:r>
              <w:rPr>
                <w:rFonts w:ascii="Arial" w:hAnsi="Arial"/>
                <w:snapToGrid w:val="0"/>
                <w:sz w:val="22"/>
                <w:szCs w:val="22"/>
                <w:u w:val="single"/>
              </w:rPr>
              <w:t xml:space="preserve"> Règlement intérieur</w:t>
            </w:r>
            <w:r w:rsidR="00173F35">
              <w:rPr>
                <w:rFonts w:ascii="Arial" w:hAnsi="Arial"/>
                <w:snapToGrid w:val="0"/>
                <w:sz w:val="22"/>
                <w:szCs w:val="22"/>
                <w:u w:val="single"/>
              </w:rPr>
              <w:t xml:space="preserve"> de l’Assemblée générale</w:t>
            </w:r>
            <w:r>
              <w:rPr>
                <w:rFonts w:ascii="Arial" w:hAnsi="Arial"/>
                <w:snapToGrid w:val="0"/>
                <w:sz w:val="22"/>
                <w:szCs w:val="22"/>
                <w:u w:val="single"/>
              </w:rPr>
              <w:t xml:space="preserve"> 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 en 2020.</w:t>
            </w:r>
          </w:p>
          <w:p w14:paraId="073C02C7" w14:textId="77777777" w:rsidR="00376821" w:rsidRDefault="00376821"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Comité pourrait choisir de modifier son Règlement intérieur pour préciser la composition de son Bureau ou bien poursuivre la pratique actuelle.</w:t>
            </w:r>
          </w:p>
          <w:p w14:paraId="24433BF3" w14:textId="77777777"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Voir la recommandation 66.</w:t>
            </w:r>
          </w:p>
        </w:tc>
      </w:tr>
      <w:tr w:rsidR="009B7C08" w:rsidRPr="007C392A" w14:paraId="726B0A9B" w14:textId="77777777" w:rsidTr="00B04CDE">
        <w:tc>
          <w:tcPr>
            <w:tcW w:w="6059" w:type="dxa"/>
          </w:tcPr>
          <w:p w14:paraId="69A9F720" w14:textId="67CF2CCE"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 caractère intergouvernemental des bureaux devrait être réaffirmé tout en conservant la participation des experts. À cet effet, il est recommandé de diffuser auprès de tous les organes directeurs et OII les directives ci-jointes (</w:t>
            </w:r>
            <w:hyperlink r:id="rId59" w:anchor="page=27" w:history="1">
              <w:r>
                <w:rPr>
                  <w:rStyle w:val="Hyperlink"/>
                  <w:rFonts w:ascii="Arial" w:hAnsi="Arial"/>
                  <w:sz w:val="22"/>
                </w:rPr>
                <w:t>appendice 2</w:t>
              </w:r>
            </w:hyperlink>
            <w:r>
              <w:t>).</w:t>
            </w:r>
          </w:p>
          <w:p w14:paraId="387A681C" w14:textId="77777777" w:rsidR="009B7C08" w:rsidRPr="00874122" w:rsidRDefault="009B7C08" w:rsidP="00B04CDE">
            <w:pPr>
              <w:spacing w:after="120"/>
              <w:jc w:val="both"/>
              <w:rPr>
                <w:rFonts w:ascii="Arial" w:hAnsi="Arial" w:cs="Arial"/>
                <w:snapToGrid w:val="0"/>
                <w:sz w:val="22"/>
                <w:szCs w:val="22"/>
              </w:rPr>
            </w:pPr>
            <w:r>
              <w:rPr>
                <w:rFonts w:ascii="Arial" w:hAnsi="Arial"/>
                <w:b/>
                <w:bCs/>
                <w:sz w:val="22"/>
                <w:szCs w:val="22"/>
              </w:rPr>
              <w:t>Action nécessaire des États parties</w:t>
            </w:r>
          </w:p>
        </w:tc>
        <w:tc>
          <w:tcPr>
            <w:tcW w:w="8501" w:type="dxa"/>
          </w:tcPr>
          <w:p w14:paraId="4AF8B9B6" w14:textId="6D342CEE"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 xml:space="preserve">Par sa </w:t>
            </w:r>
            <w:hyperlink r:id="rId60" w:history="1">
              <w:r w:rsidR="00C20BBC">
                <w:rPr>
                  <w:rStyle w:val="Hyperlink"/>
                  <w:rFonts w:ascii="Arial" w:hAnsi="Arial"/>
                  <w:snapToGrid w:val="0"/>
                  <w:sz w:val="22"/>
                  <w:szCs w:val="22"/>
                </w:rPr>
                <w:t>d</w:t>
              </w:r>
              <w:r>
                <w:rPr>
                  <w:rStyle w:val="Hyperlink"/>
                  <w:rFonts w:ascii="Arial" w:hAnsi="Arial"/>
                  <w:snapToGrid w:val="0"/>
                  <w:sz w:val="22"/>
                  <w:szCs w:val="22"/>
                </w:rPr>
                <w:t>écision 12.COM 16</w:t>
              </w:r>
            </w:hyperlink>
            <w:r>
              <w:rPr>
                <w:rFonts w:ascii="Arial" w:hAnsi="Arial"/>
                <w:snapToGrid w:val="0"/>
                <w:sz w:val="22"/>
                <w:szCs w:val="22"/>
              </w:rPr>
              <w:t>, le Comité a invité le Bureau à mener ses travaux en conformité avec les principes directeurs concernant les responsabilités des représentants des groupes électoraux au sein des bureaux.</w:t>
            </w:r>
          </w:p>
          <w:p w14:paraId="42F95628" w14:textId="4ED49FEC" w:rsidR="006337E7" w:rsidRPr="00EE4900" w:rsidRDefault="00334F6F" w:rsidP="00A741D3">
            <w:pPr>
              <w:pStyle w:val="ListParagraph"/>
              <w:numPr>
                <w:ilvl w:val="0"/>
                <w:numId w:val="7"/>
              </w:numPr>
              <w:spacing w:after="120"/>
              <w:ind w:left="357" w:hanging="357"/>
              <w:contextualSpacing w:val="0"/>
              <w:jc w:val="both"/>
              <w:rPr>
                <w:rFonts w:ascii="Arial" w:hAnsi="Arial" w:cs="Arial"/>
                <w:snapToGrid w:val="0"/>
                <w:sz w:val="22"/>
                <w:szCs w:val="22"/>
                <w:u w:val="single"/>
              </w:rPr>
            </w:pPr>
            <w:r>
              <w:rPr>
                <w:rFonts w:ascii="Arial" w:hAnsi="Arial"/>
                <w:b/>
                <w:bCs/>
                <w:snapToGrid w:val="0"/>
                <w:sz w:val="22"/>
                <w:szCs w:val="22"/>
                <w:u w:val="single"/>
              </w:rPr>
              <w:t>Mise à jour</w:t>
            </w:r>
            <w:r>
              <w:rPr>
                <w:rFonts w:ascii="Arial" w:hAnsi="Arial"/>
                <w:snapToGrid w:val="0"/>
                <w:sz w:val="22"/>
                <w:szCs w:val="22"/>
                <w:u w:val="single"/>
              </w:rPr>
              <w:t> : lorsqu</w:t>
            </w:r>
            <w:r w:rsidR="00DD2F89">
              <w:rPr>
                <w:rFonts w:ascii="Arial" w:hAnsi="Arial"/>
                <w:snapToGrid w:val="0"/>
                <w:sz w:val="22"/>
                <w:szCs w:val="22"/>
                <w:u w:val="single"/>
              </w:rPr>
              <w:t>’</w:t>
            </w:r>
            <w:r>
              <w:rPr>
                <w:rFonts w:ascii="Arial" w:hAnsi="Arial"/>
                <w:snapToGrid w:val="0"/>
                <w:sz w:val="22"/>
                <w:szCs w:val="22"/>
                <w:u w:val="single"/>
              </w:rPr>
              <w:t>une réunion du Bureau est convoquée, le Secrétariat demande aux membres du Bureau de communiquer la date et le lieu de la réunion du Bureau au sein de chaque groupe électoral.</w:t>
            </w:r>
          </w:p>
        </w:tc>
      </w:tr>
      <w:tr w:rsidR="009B7C08" w:rsidRPr="007C392A" w14:paraId="5F14B6D8" w14:textId="77777777" w:rsidTr="00B04CDE">
        <w:tc>
          <w:tcPr>
            <w:tcW w:w="6059" w:type="dxa"/>
          </w:tcPr>
          <w:p w14:paraId="0F82C07E"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t xml:space="preserve">Les documents concernant les réunions de bureaux devraient être publiés en ligne avant la tenue desdites réunions ; les conclusions, notamment les rapports des réunions des bureaux, devraient être communiquées à tous les membres et, le cas </w:t>
            </w:r>
            <w:r>
              <w:rPr>
                <w:rFonts w:ascii="Arial" w:hAnsi="Arial"/>
                <w:snapToGrid w:val="0"/>
                <w:sz w:val="22"/>
                <w:szCs w:val="22"/>
              </w:rPr>
              <w:lastRenderedPageBreak/>
              <w:t>échéant, à toutes les délégations permanentes dans les meilleurs délais.</w:t>
            </w:r>
          </w:p>
          <w:p w14:paraId="261F4FB5" w14:textId="77777777" w:rsidR="009B7C08" w:rsidRPr="00874122" w:rsidRDefault="009B7C08" w:rsidP="00173F35">
            <w:pPr>
              <w:spacing w:after="120"/>
              <w:rPr>
                <w:rFonts w:ascii="Arial" w:hAnsi="Arial" w:cs="Arial"/>
                <w:snapToGrid w:val="0"/>
                <w:sz w:val="22"/>
                <w:szCs w:val="22"/>
              </w:rPr>
            </w:pPr>
            <w:r>
              <w:rPr>
                <w:rFonts w:ascii="Arial" w:hAnsi="Arial"/>
                <w:b/>
                <w:bCs/>
                <w:snapToGrid w:val="0"/>
                <w:sz w:val="22"/>
                <w:szCs w:val="22"/>
              </w:rPr>
              <w:t>Mise en œuvre achevée</w:t>
            </w:r>
            <w:r>
              <w:rPr>
                <w:rFonts w:ascii="Arial" w:hAnsi="Arial"/>
                <w:b/>
                <w:bCs/>
              </w:rPr>
              <w:br/>
            </w:r>
            <w:r>
              <w:rPr>
                <w:rFonts w:ascii="Arial" w:hAnsi="Arial"/>
                <w:b/>
                <w:bCs/>
                <w:snapToGrid w:val="0"/>
                <w:sz w:val="22"/>
                <w:szCs w:val="22"/>
              </w:rPr>
              <w:t>(Bonne pratique)</w:t>
            </w:r>
          </w:p>
        </w:tc>
        <w:tc>
          <w:tcPr>
            <w:tcW w:w="8501" w:type="dxa"/>
          </w:tcPr>
          <w:p w14:paraId="1A41937F" w14:textId="26CAE10C"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lastRenderedPageBreak/>
              <w:t>En pratique, les documents de travail et d</w:t>
            </w:r>
            <w:r w:rsidR="00DD2F89">
              <w:rPr>
                <w:rFonts w:ascii="Arial" w:hAnsi="Arial"/>
                <w:snapToGrid w:val="0"/>
                <w:sz w:val="22"/>
                <w:szCs w:val="22"/>
              </w:rPr>
              <w:t>’</w:t>
            </w:r>
            <w:r>
              <w:rPr>
                <w:rFonts w:ascii="Arial" w:hAnsi="Arial"/>
                <w:snapToGrid w:val="0"/>
                <w:sz w:val="22"/>
                <w:szCs w:val="22"/>
              </w:rPr>
              <w:t>information relatifs aux réunions du Bureau du Comité sont publiés en ligne au moins deux semaines avant la date de chaque réunion. Le Secrétariat en informe les membres du Bureau par courrier électronique le jour de la mise en ligne.</w:t>
            </w:r>
          </w:p>
          <w:p w14:paraId="60C42037" w14:textId="4DEF406A" w:rsidR="009B7C08" w:rsidRPr="00942976" w:rsidRDefault="00401E2F" w:rsidP="00A741D3">
            <w:pPr>
              <w:pStyle w:val="ListParagraph"/>
              <w:numPr>
                <w:ilvl w:val="0"/>
                <w:numId w:val="7"/>
              </w:numPr>
              <w:spacing w:after="120"/>
              <w:ind w:left="357" w:hanging="357"/>
              <w:contextualSpacing w:val="0"/>
              <w:jc w:val="both"/>
              <w:rPr>
                <w:rFonts w:ascii="Arial" w:hAnsi="Arial" w:cs="Arial"/>
                <w:snapToGrid w:val="0"/>
                <w:sz w:val="22"/>
                <w:szCs w:val="22"/>
              </w:rPr>
            </w:pPr>
            <w:r w:rsidRPr="008D7D7C">
              <w:rPr>
                <w:rFonts w:ascii="Arial" w:hAnsi="Arial" w:cs="Arial"/>
                <w:snapToGrid w:val="0"/>
                <w:sz w:val="22"/>
                <w:szCs w:val="22"/>
              </w:rPr>
              <w:lastRenderedPageBreak/>
              <w:t>Immédiatement après chaque réunion du Bureau, le Secrétariat publie systématiquement en ligne les décisions prises par le Bureau. Tenant compte de cette recommandation, le Secrétariat a commencé en 2018 à transmettre les décisions du Bureau à l’ensemble des États parties par courrier électronique.</w:t>
            </w:r>
          </w:p>
        </w:tc>
      </w:tr>
      <w:tr w:rsidR="009B7C08" w:rsidRPr="007C392A" w14:paraId="3015D482" w14:textId="77777777" w:rsidTr="00B04CDE">
        <w:tc>
          <w:tcPr>
            <w:tcW w:w="6059" w:type="dxa"/>
          </w:tcPr>
          <w:p w14:paraId="38B766A5" w14:textId="3322CA5F"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lastRenderedPageBreak/>
              <w:t>Dans la mesure du possible, les élections des bureaux devraient se tenir peu de temps après les élections destinées à pourvoir les sièges au sein des différents organes pendant la Conférence générale, afin d</w:t>
            </w:r>
            <w:r w:rsidR="00DD2F89">
              <w:rPr>
                <w:rFonts w:ascii="Arial" w:hAnsi="Arial"/>
                <w:snapToGrid w:val="0"/>
                <w:sz w:val="22"/>
                <w:szCs w:val="22"/>
              </w:rPr>
              <w:t>’</w:t>
            </w:r>
            <w:r>
              <w:rPr>
                <w:rFonts w:ascii="Arial" w:hAnsi="Arial"/>
                <w:snapToGrid w:val="0"/>
                <w:sz w:val="22"/>
                <w:szCs w:val="22"/>
              </w:rPr>
              <w:t>éviter que siègent dans les bureaux des États membres qui ne feraient plus partie des OII concernés.</w:t>
            </w:r>
          </w:p>
          <w:p w14:paraId="6EE98A2D" w14:textId="77777777" w:rsidR="009B7C08" w:rsidRPr="00874122" w:rsidRDefault="009B7C08" w:rsidP="00B04CDE">
            <w:pPr>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Pr>
          <w:p w14:paraId="1066D012" w14:textId="037FD3B1"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Assemblée générale élit les membres de son Bureau au début de chaque session.</w:t>
            </w:r>
          </w:p>
          <w:p w14:paraId="5348EF6C" w14:textId="5C7D6568"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Comité élit les membres de son Bureau à la fin de chaque session ordinaire ; ils restent en fonction jusqu</w:t>
            </w:r>
            <w:r w:rsidR="00DD2F89">
              <w:rPr>
                <w:rFonts w:ascii="Arial" w:hAnsi="Arial"/>
                <w:snapToGrid w:val="0"/>
                <w:sz w:val="22"/>
                <w:szCs w:val="22"/>
              </w:rPr>
              <w:t>’</w:t>
            </w:r>
            <w:r>
              <w:rPr>
                <w:rFonts w:ascii="Arial" w:hAnsi="Arial"/>
                <w:snapToGrid w:val="0"/>
                <w:sz w:val="22"/>
                <w:szCs w:val="22"/>
              </w:rPr>
              <w:t>à la fin de la session suivante (</w:t>
            </w:r>
            <w:hyperlink r:id="rId61" w:anchor="Article13" w:history="1">
              <w:r>
                <w:rPr>
                  <w:rStyle w:val="Hyperlink"/>
                  <w:rFonts w:ascii="Arial" w:hAnsi="Arial"/>
                  <w:snapToGrid w:val="0"/>
                  <w:sz w:val="22"/>
                  <w:szCs w:val="22"/>
                </w:rPr>
                <w:t>article 13</w:t>
              </w:r>
            </w:hyperlink>
            <w:r>
              <w:rPr>
                <w:rFonts w:ascii="Arial" w:hAnsi="Arial"/>
                <w:snapToGrid w:val="0"/>
                <w:sz w:val="22"/>
                <w:szCs w:val="22"/>
              </w:rPr>
              <w:t>).</w:t>
            </w:r>
          </w:p>
        </w:tc>
      </w:tr>
      <w:tr w:rsidR="009B7C08" w:rsidRPr="007C392A" w14:paraId="0B742681" w14:textId="77777777" w:rsidTr="00B04CDE">
        <w:tc>
          <w:tcPr>
            <w:tcW w:w="6059" w:type="dxa"/>
          </w:tcPr>
          <w:p w14:paraId="508643A3" w14:textId="77777777" w:rsidR="009B7C08" w:rsidRPr="00874122" w:rsidRDefault="009B7C08" w:rsidP="00A741D3">
            <w:pPr>
              <w:pStyle w:val="ListParagraph"/>
              <w:numPr>
                <w:ilvl w:val="0"/>
                <w:numId w:val="10"/>
              </w:numPr>
              <w:spacing w:after="120"/>
              <w:ind w:left="567" w:hanging="567"/>
              <w:contextualSpacing w:val="0"/>
              <w:jc w:val="both"/>
              <w:rPr>
                <w:rFonts w:ascii="Arial" w:hAnsi="Arial" w:cs="Arial"/>
                <w:snapToGrid w:val="0"/>
                <w:sz w:val="22"/>
                <w:szCs w:val="22"/>
              </w:rPr>
            </w:pPr>
            <w:r>
              <w:rPr>
                <w:rFonts w:ascii="Arial" w:hAnsi="Arial"/>
                <w:snapToGrid w:val="0"/>
                <w:sz w:val="22"/>
                <w:szCs w:val="22"/>
              </w:rPr>
              <w:t>Dans la mesure du possible, les réunions des bureaux devraient être ouvertes aux observateurs et leurs méthodes de travail rendues plus transparentes.</w:t>
            </w:r>
          </w:p>
          <w:p w14:paraId="49DD97D6" w14:textId="77777777" w:rsidR="009B7C08" w:rsidRPr="00874122" w:rsidRDefault="00334F6F" w:rsidP="00B04CDE">
            <w:pPr>
              <w:spacing w:after="120"/>
              <w:jc w:val="both"/>
              <w:rPr>
                <w:rFonts w:ascii="Arial" w:hAnsi="Arial" w:cs="Arial"/>
                <w:snapToGrid w:val="0"/>
                <w:sz w:val="22"/>
                <w:szCs w:val="22"/>
              </w:rPr>
            </w:pPr>
            <w:r>
              <w:rPr>
                <w:rFonts w:ascii="Arial" w:hAnsi="Arial"/>
                <w:b/>
                <w:bCs/>
                <w:sz w:val="22"/>
                <w:szCs w:val="22"/>
              </w:rPr>
              <w:t>Action en cours</w:t>
            </w:r>
          </w:p>
        </w:tc>
        <w:tc>
          <w:tcPr>
            <w:tcW w:w="8501" w:type="dxa"/>
          </w:tcPr>
          <w:p w14:paraId="5516BB7E" w14:textId="3C8788EB"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Il n</w:t>
            </w:r>
            <w:r w:rsidR="00DD2F89">
              <w:rPr>
                <w:rFonts w:ascii="Arial" w:hAnsi="Arial"/>
                <w:snapToGrid w:val="0"/>
                <w:sz w:val="22"/>
                <w:szCs w:val="22"/>
              </w:rPr>
              <w:t>’</w:t>
            </w:r>
            <w:r>
              <w:rPr>
                <w:rFonts w:ascii="Arial" w:hAnsi="Arial"/>
                <w:snapToGrid w:val="0"/>
                <w:sz w:val="22"/>
                <w:szCs w:val="22"/>
              </w:rPr>
              <w:t>y a aucune disposition à cet effet dans le Règlement intérieur de l</w:t>
            </w:r>
            <w:r w:rsidR="00DD2F89">
              <w:rPr>
                <w:rFonts w:ascii="Arial" w:hAnsi="Arial"/>
                <w:snapToGrid w:val="0"/>
                <w:sz w:val="22"/>
                <w:szCs w:val="22"/>
              </w:rPr>
              <w:t>’</w:t>
            </w:r>
            <w:r>
              <w:rPr>
                <w:rFonts w:ascii="Arial" w:hAnsi="Arial"/>
                <w:snapToGrid w:val="0"/>
                <w:sz w:val="22"/>
                <w:szCs w:val="22"/>
              </w:rPr>
              <w:t>Assemblée générale. Toutefois, en pratique, les réunions du Bureau de l</w:t>
            </w:r>
            <w:r w:rsidR="00DD2F89">
              <w:rPr>
                <w:rFonts w:ascii="Arial" w:hAnsi="Arial"/>
                <w:snapToGrid w:val="0"/>
                <w:sz w:val="22"/>
                <w:szCs w:val="22"/>
              </w:rPr>
              <w:t>’</w:t>
            </w:r>
            <w:r>
              <w:rPr>
                <w:rFonts w:ascii="Arial" w:hAnsi="Arial"/>
                <w:snapToGrid w:val="0"/>
                <w:sz w:val="22"/>
                <w:szCs w:val="22"/>
              </w:rPr>
              <w:t>Assemblée générale sont ouvertes aux observateurs. L</w:t>
            </w:r>
            <w:r w:rsidR="00DD2F89">
              <w:rPr>
                <w:rFonts w:ascii="Arial" w:hAnsi="Arial"/>
                <w:snapToGrid w:val="0"/>
                <w:sz w:val="22"/>
                <w:szCs w:val="22"/>
              </w:rPr>
              <w:t>’</w:t>
            </w:r>
            <w:r>
              <w:rPr>
                <w:rFonts w:ascii="Arial" w:hAnsi="Arial"/>
                <w:snapToGrid w:val="0"/>
                <w:sz w:val="22"/>
                <w:szCs w:val="22"/>
              </w:rPr>
              <w:t>Assemblée générale pourrait choisir de modifier son Règlement intérieur pour tenir compte de cette recommandation ou bien poursuivre la pratique actuelle.</w:t>
            </w:r>
          </w:p>
          <w:p w14:paraId="6423A6F0" w14:textId="41E0A861" w:rsidR="00310F56" w:rsidRPr="00EE4900" w:rsidRDefault="008E2FC2" w:rsidP="005B5B5E">
            <w:pPr>
              <w:pStyle w:val="ListParagraph"/>
              <w:numPr>
                <w:ilvl w:val="0"/>
                <w:numId w:val="7"/>
              </w:numPr>
              <w:spacing w:after="120"/>
              <w:ind w:left="357" w:hanging="357"/>
              <w:contextualSpacing w:val="0"/>
              <w:jc w:val="both"/>
              <w:rPr>
                <w:rFonts w:ascii="Arial" w:hAnsi="Arial" w:cs="Arial"/>
                <w:snapToGrid w:val="0"/>
                <w:sz w:val="22"/>
                <w:szCs w:val="22"/>
                <w:u w:val="single"/>
              </w:rPr>
            </w:pPr>
            <w:r>
              <w:rPr>
                <w:rFonts w:ascii="Arial" w:hAnsi="Arial"/>
                <w:b/>
                <w:snapToGrid w:val="0"/>
                <w:sz w:val="22"/>
                <w:szCs w:val="22"/>
                <w:u w:val="single"/>
              </w:rPr>
              <w:t>Mise à jour</w:t>
            </w:r>
            <w:r>
              <w:rPr>
                <w:rFonts w:ascii="Arial" w:hAnsi="Arial"/>
                <w:snapToGrid w:val="0"/>
                <w:sz w:val="22"/>
                <w:szCs w:val="22"/>
                <w:u w:val="single"/>
              </w:rPr>
              <w:t xml:space="preserve"> : conformément aux </w:t>
            </w:r>
            <w:r w:rsidR="00E316EC" w:rsidRPr="005B5B5E">
              <w:rPr>
                <w:rFonts w:ascii="Arial" w:hAnsi="Arial"/>
                <w:snapToGrid w:val="0"/>
                <w:sz w:val="22"/>
                <w:szCs w:val="22"/>
                <w:u w:val="single"/>
              </w:rPr>
              <w:t>r</w:t>
            </w:r>
            <w:r w:rsidRPr="005B5B5E">
              <w:rPr>
                <w:rFonts w:ascii="Arial" w:hAnsi="Arial"/>
                <w:snapToGrid w:val="0"/>
                <w:sz w:val="22"/>
                <w:szCs w:val="22"/>
                <w:u w:val="single"/>
              </w:rPr>
              <w:t>ésolutions </w:t>
            </w:r>
            <w:hyperlink r:id="rId62" w:history="1">
              <w:r w:rsidRPr="005B5B5E">
                <w:rPr>
                  <w:rStyle w:val="Hyperlink"/>
                  <w:rFonts w:ascii="Arial" w:hAnsi="Arial"/>
                  <w:snapToGrid w:val="0"/>
                  <w:sz w:val="22"/>
                  <w:szCs w:val="22"/>
                </w:rPr>
                <w:t>7.GA 12</w:t>
              </w:r>
            </w:hyperlink>
            <w:r w:rsidRPr="005B5B5E">
              <w:rPr>
                <w:rFonts w:ascii="Arial" w:hAnsi="Arial"/>
                <w:snapToGrid w:val="0"/>
                <w:sz w:val="22"/>
                <w:szCs w:val="22"/>
                <w:u w:val="single"/>
              </w:rPr>
              <w:t xml:space="preserve"> et </w:t>
            </w:r>
            <w:hyperlink r:id="rId63" w:history="1">
              <w:r w:rsidRPr="005B5B5E">
                <w:rPr>
                  <w:rStyle w:val="Hyperlink"/>
                  <w:rFonts w:ascii="Arial" w:hAnsi="Arial"/>
                  <w:snapToGrid w:val="0"/>
                  <w:sz w:val="22"/>
                  <w:szCs w:val="22"/>
                </w:rPr>
                <w:t>7.GA 13</w:t>
              </w:r>
            </w:hyperlink>
            <w:r>
              <w:rPr>
                <w:rFonts w:ascii="Arial" w:hAnsi="Arial"/>
                <w:snapToGrid w:val="0"/>
                <w:sz w:val="22"/>
                <w:szCs w:val="22"/>
                <w:u w:val="single"/>
              </w:rPr>
              <w:t>, une révision d</w:t>
            </w:r>
            <w:r w:rsidR="005B5B5E">
              <w:rPr>
                <w:rFonts w:ascii="Arial" w:hAnsi="Arial"/>
                <w:snapToGrid w:val="0"/>
                <w:sz w:val="22"/>
                <w:szCs w:val="22"/>
                <w:u w:val="single"/>
              </w:rPr>
              <w:t>u</w:t>
            </w:r>
            <w:r>
              <w:rPr>
                <w:rFonts w:ascii="Arial" w:hAnsi="Arial"/>
                <w:snapToGrid w:val="0"/>
                <w:sz w:val="22"/>
                <w:szCs w:val="22"/>
                <w:u w:val="single"/>
              </w:rPr>
              <w:t xml:space="preserve"> Règlement intérieur</w:t>
            </w:r>
            <w:r w:rsidR="005B5B5E">
              <w:rPr>
                <w:rFonts w:ascii="Arial" w:hAnsi="Arial"/>
                <w:snapToGrid w:val="0"/>
                <w:sz w:val="22"/>
                <w:szCs w:val="22"/>
                <w:u w:val="single"/>
              </w:rPr>
              <w:t xml:space="preserve"> de l’Assemblée générale</w:t>
            </w:r>
            <w:r>
              <w:rPr>
                <w:rFonts w:ascii="Arial" w:hAnsi="Arial"/>
                <w:snapToGrid w:val="0"/>
                <w:sz w:val="22"/>
                <w:szCs w:val="22"/>
                <w:u w:val="single"/>
              </w:rPr>
              <w:t xml:space="preserve"> 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w:t>
            </w:r>
          </w:p>
          <w:p w14:paraId="46C8410B" w14:textId="0DF32E34" w:rsidR="009B7C08" w:rsidRPr="0049025A"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Conformément à l</w:t>
            </w:r>
            <w:r w:rsidR="00DD2F89">
              <w:rPr>
                <w:rFonts w:ascii="Arial" w:hAnsi="Arial"/>
                <w:snapToGrid w:val="0"/>
                <w:sz w:val="22"/>
                <w:szCs w:val="22"/>
              </w:rPr>
              <w:t>’</w:t>
            </w:r>
            <w:hyperlink r:id="rId64" w:anchor="Article12" w:history="1">
              <w:r>
                <w:rPr>
                  <w:rStyle w:val="Hyperlink"/>
                  <w:rFonts w:ascii="Arial" w:hAnsi="Arial"/>
                  <w:snapToGrid w:val="0"/>
                  <w:sz w:val="22"/>
                  <w:szCs w:val="22"/>
                </w:rPr>
                <w:t>article 12.4</w:t>
              </w:r>
            </w:hyperlink>
            <w:r>
              <w:rPr>
                <w:rFonts w:ascii="Arial" w:hAnsi="Arial"/>
                <w:snapToGrid w:val="0"/>
                <w:sz w:val="22"/>
                <w:szCs w:val="22"/>
              </w:rPr>
              <w:t xml:space="preserve"> du Règlement intérieur du Comité, « [les réunions du Bureau du Comité] sont ouvertes aux États membres du Comité et aux États parties à la Convention en tant qu</w:t>
            </w:r>
            <w:r w:rsidR="00DD2F89">
              <w:rPr>
                <w:rFonts w:ascii="Arial" w:hAnsi="Arial"/>
                <w:snapToGrid w:val="0"/>
                <w:sz w:val="22"/>
                <w:szCs w:val="22"/>
              </w:rPr>
              <w:t>’</w:t>
            </w:r>
            <w:r>
              <w:rPr>
                <w:rFonts w:ascii="Arial" w:hAnsi="Arial"/>
                <w:snapToGrid w:val="0"/>
                <w:sz w:val="22"/>
                <w:szCs w:val="22"/>
              </w:rPr>
              <w:t>observateurs, sauf si le Bureau en décide autrement. Les observateurs ne peuvent intervenir devant le Bureau qu</w:t>
            </w:r>
            <w:r w:rsidR="00DD2F89">
              <w:rPr>
                <w:rFonts w:ascii="Arial" w:hAnsi="Arial"/>
                <w:snapToGrid w:val="0"/>
                <w:sz w:val="22"/>
                <w:szCs w:val="22"/>
              </w:rPr>
              <w:t>’</w:t>
            </w:r>
            <w:r>
              <w:rPr>
                <w:rFonts w:ascii="Arial" w:hAnsi="Arial"/>
                <w:snapToGrid w:val="0"/>
                <w:sz w:val="22"/>
                <w:szCs w:val="22"/>
              </w:rPr>
              <w:t>avec l</w:t>
            </w:r>
            <w:r w:rsidR="00DD2F89">
              <w:rPr>
                <w:rFonts w:ascii="Arial" w:hAnsi="Arial"/>
                <w:snapToGrid w:val="0"/>
                <w:sz w:val="22"/>
                <w:szCs w:val="22"/>
              </w:rPr>
              <w:t>’</w:t>
            </w:r>
            <w:r>
              <w:rPr>
                <w:rFonts w:ascii="Arial" w:hAnsi="Arial"/>
                <w:snapToGrid w:val="0"/>
                <w:sz w:val="22"/>
                <w:szCs w:val="22"/>
              </w:rPr>
              <w:t>accord préalable du Président. »</w:t>
            </w:r>
          </w:p>
        </w:tc>
      </w:tr>
      <w:tr w:rsidR="009B7C08" w:rsidRPr="007C392A" w14:paraId="2B75FE5A" w14:textId="77777777" w:rsidTr="00B04CDE">
        <w:tc>
          <w:tcPr>
            <w:tcW w:w="6059" w:type="dxa"/>
          </w:tcPr>
          <w:p w14:paraId="01F5DEBC" w14:textId="3A18C577" w:rsidR="009B7C08" w:rsidRPr="0000757E" w:rsidRDefault="009B7C08" w:rsidP="00B04CDE">
            <w:pPr>
              <w:pStyle w:val="ListParagraph"/>
              <w:spacing w:after="120"/>
              <w:ind w:left="567" w:hanging="567"/>
              <w:contextualSpacing w:val="0"/>
              <w:jc w:val="both"/>
              <w:rPr>
                <w:rFonts w:ascii="Arial" w:hAnsi="Arial" w:cs="Arial"/>
                <w:snapToGrid w:val="0"/>
                <w:sz w:val="22"/>
                <w:szCs w:val="22"/>
              </w:rPr>
            </w:pPr>
            <w:r>
              <w:rPr>
                <w:rFonts w:ascii="Arial" w:hAnsi="Arial"/>
                <w:snapToGrid w:val="0"/>
                <w:sz w:val="22"/>
                <w:szCs w:val="22"/>
              </w:rPr>
              <w:t>73.</w:t>
            </w:r>
            <w:r>
              <w:rPr>
                <w:rFonts w:ascii="Arial" w:hAnsi="Arial"/>
                <w:snapToGrid w:val="0"/>
                <w:sz w:val="22"/>
                <w:szCs w:val="22"/>
              </w:rPr>
              <w:tab/>
            </w:r>
            <w:r w:rsidR="00401E2F" w:rsidRPr="008D7D7C">
              <w:rPr>
                <w:rFonts w:ascii="Arial" w:hAnsi="Arial" w:cs="Arial"/>
                <w:snapToGrid w:val="0"/>
                <w:sz w:val="22"/>
                <w:szCs w:val="22"/>
              </w:rPr>
              <w:t>Il conviendrait d’adopter, dans tous les documents de l’UNESCO, un langage neutre du point de vue du genre.</w:t>
            </w:r>
          </w:p>
          <w:p w14:paraId="506E8ACB" w14:textId="77777777" w:rsidR="009B7C08" w:rsidRPr="00874122" w:rsidRDefault="00334F6F" w:rsidP="00B04CDE">
            <w:pPr>
              <w:spacing w:after="120"/>
              <w:jc w:val="both"/>
              <w:rPr>
                <w:rFonts w:ascii="Arial" w:hAnsi="Arial" w:cs="Arial"/>
                <w:snapToGrid w:val="0"/>
                <w:sz w:val="22"/>
                <w:szCs w:val="22"/>
              </w:rPr>
            </w:pPr>
            <w:r>
              <w:rPr>
                <w:rFonts w:ascii="Arial" w:hAnsi="Arial"/>
                <w:b/>
                <w:bCs/>
                <w:sz w:val="22"/>
                <w:szCs w:val="22"/>
              </w:rPr>
              <w:t>Mise en œuvre achevée</w:t>
            </w:r>
          </w:p>
        </w:tc>
        <w:tc>
          <w:tcPr>
            <w:tcW w:w="8501" w:type="dxa"/>
          </w:tcPr>
          <w:p w14:paraId="3BCF65F1" w14:textId="45F76362"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Dans certaines sections des Textes fondamentaux de la Convention, le langage adopté n</w:t>
            </w:r>
            <w:r w:rsidR="00DD2F89">
              <w:rPr>
                <w:rFonts w:ascii="Arial" w:hAnsi="Arial"/>
                <w:snapToGrid w:val="0"/>
                <w:sz w:val="22"/>
                <w:szCs w:val="22"/>
              </w:rPr>
              <w:t>’</w:t>
            </w:r>
            <w:r>
              <w:rPr>
                <w:rFonts w:ascii="Arial" w:hAnsi="Arial"/>
                <w:snapToGrid w:val="0"/>
                <w:sz w:val="22"/>
                <w:szCs w:val="22"/>
              </w:rPr>
              <w:t>est pas respectueux de l</w:t>
            </w:r>
            <w:r w:rsidR="00DD2F89">
              <w:rPr>
                <w:rFonts w:ascii="Arial" w:hAnsi="Arial"/>
                <w:snapToGrid w:val="0"/>
                <w:sz w:val="22"/>
                <w:szCs w:val="22"/>
              </w:rPr>
              <w:t>’</w:t>
            </w:r>
            <w:r>
              <w:rPr>
                <w:rFonts w:ascii="Arial" w:hAnsi="Arial"/>
                <w:snapToGrid w:val="0"/>
                <w:sz w:val="22"/>
                <w:szCs w:val="22"/>
              </w:rPr>
              <w:t>égalité des genres. Par conséquent, ces textes pourraient être révisés dans ce sens en vue de leur réédition en 2018.</w:t>
            </w:r>
          </w:p>
          <w:p w14:paraId="1E869104" w14:textId="0D757202" w:rsidR="00310F56" w:rsidRPr="00EE4900" w:rsidRDefault="008E2FC2" w:rsidP="00E316EC">
            <w:pPr>
              <w:pStyle w:val="ListParagraph"/>
              <w:numPr>
                <w:ilvl w:val="0"/>
                <w:numId w:val="7"/>
              </w:numPr>
              <w:spacing w:after="120"/>
              <w:contextualSpacing w:val="0"/>
              <w:jc w:val="both"/>
              <w:rPr>
                <w:rFonts w:ascii="Arial" w:hAnsi="Arial" w:cs="Arial"/>
                <w:snapToGrid w:val="0"/>
                <w:sz w:val="22"/>
                <w:szCs w:val="22"/>
                <w:u w:val="single"/>
              </w:rPr>
            </w:pPr>
            <w:r>
              <w:rPr>
                <w:rFonts w:ascii="Arial" w:hAnsi="Arial"/>
                <w:b/>
                <w:snapToGrid w:val="0"/>
                <w:sz w:val="22"/>
                <w:szCs w:val="22"/>
                <w:u w:val="single"/>
              </w:rPr>
              <w:t>Mise à jour</w:t>
            </w:r>
            <w:r w:rsidRPr="005B5B5E">
              <w:rPr>
                <w:rFonts w:ascii="Arial" w:hAnsi="Arial"/>
                <w:bCs/>
                <w:snapToGrid w:val="0"/>
                <w:sz w:val="22"/>
                <w:szCs w:val="22"/>
                <w:u w:val="single"/>
              </w:rPr>
              <w:t> :</w:t>
            </w:r>
            <w:r>
              <w:rPr>
                <w:rFonts w:ascii="Arial" w:hAnsi="Arial"/>
                <w:snapToGrid w:val="0"/>
                <w:sz w:val="22"/>
                <w:szCs w:val="22"/>
                <w:u w:val="single"/>
              </w:rPr>
              <w:t xml:space="preserve"> conformément à </w:t>
            </w:r>
            <w:r w:rsidRPr="005B5B5E">
              <w:rPr>
                <w:rFonts w:ascii="Arial" w:hAnsi="Arial"/>
                <w:snapToGrid w:val="0"/>
                <w:sz w:val="22"/>
                <w:szCs w:val="22"/>
                <w:u w:val="single"/>
              </w:rPr>
              <w:t xml:space="preserve">la </w:t>
            </w:r>
            <w:hyperlink r:id="rId65" w:history="1">
              <w:r w:rsidR="00E316EC" w:rsidRPr="005B5B5E">
                <w:rPr>
                  <w:rStyle w:val="Hyperlink"/>
                  <w:rFonts w:ascii="Arial" w:hAnsi="Arial"/>
                  <w:snapToGrid w:val="0"/>
                  <w:sz w:val="22"/>
                  <w:szCs w:val="22"/>
                </w:rPr>
                <w:t>r</w:t>
              </w:r>
              <w:r w:rsidRPr="005B5B5E">
                <w:rPr>
                  <w:rStyle w:val="Hyperlink"/>
                  <w:rFonts w:ascii="Arial" w:hAnsi="Arial"/>
                  <w:snapToGrid w:val="0"/>
                  <w:sz w:val="22"/>
                  <w:szCs w:val="22"/>
                </w:rPr>
                <w:t>ésolution 7.GA 12</w:t>
              </w:r>
            </w:hyperlink>
            <w:r w:rsidRPr="005B5B5E">
              <w:rPr>
                <w:rFonts w:ascii="Arial" w:hAnsi="Arial"/>
                <w:snapToGrid w:val="0"/>
                <w:sz w:val="22"/>
                <w:szCs w:val="22"/>
                <w:u w:val="single"/>
              </w:rPr>
              <w:t>, l</w:t>
            </w:r>
            <w:r w:rsidR="00DD2F89" w:rsidRPr="005B5B5E">
              <w:rPr>
                <w:rFonts w:ascii="Arial" w:hAnsi="Arial"/>
                <w:snapToGrid w:val="0"/>
                <w:sz w:val="22"/>
                <w:szCs w:val="22"/>
                <w:u w:val="single"/>
              </w:rPr>
              <w:t>’</w:t>
            </w:r>
            <w:r w:rsidRPr="005B5B5E">
              <w:rPr>
                <w:rFonts w:ascii="Arial" w:hAnsi="Arial"/>
                <w:snapToGrid w:val="0"/>
                <w:sz w:val="22"/>
                <w:szCs w:val="22"/>
                <w:u w:val="single"/>
              </w:rPr>
              <w:t>édition</w:t>
            </w:r>
            <w:r>
              <w:rPr>
                <w:rFonts w:ascii="Arial" w:hAnsi="Arial"/>
                <w:snapToGrid w:val="0"/>
                <w:sz w:val="22"/>
                <w:szCs w:val="22"/>
                <w:u w:val="single"/>
              </w:rPr>
              <w:t xml:space="preserve"> 2018 des Textes fondamentaux adopte un </w:t>
            </w:r>
            <w:r w:rsidR="00E316EC" w:rsidRPr="00E316EC">
              <w:rPr>
                <w:rFonts w:ascii="Arial" w:hAnsi="Arial"/>
                <w:snapToGrid w:val="0"/>
                <w:sz w:val="22"/>
                <w:szCs w:val="22"/>
                <w:u w:val="single"/>
              </w:rPr>
              <w:t>langage neutre du point de vue du genre</w:t>
            </w:r>
            <w:r>
              <w:rPr>
                <w:rFonts w:ascii="Arial" w:hAnsi="Arial"/>
                <w:snapToGrid w:val="0"/>
                <w:sz w:val="22"/>
                <w:szCs w:val="22"/>
                <w:u w:val="single"/>
              </w:rPr>
              <w:t>, dans les six langues de l</w:t>
            </w:r>
            <w:r w:rsidR="00DD2F89">
              <w:rPr>
                <w:rFonts w:ascii="Arial" w:hAnsi="Arial"/>
                <w:snapToGrid w:val="0"/>
                <w:sz w:val="22"/>
                <w:szCs w:val="22"/>
                <w:u w:val="single"/>
              </w:rPr>
              <w:t>’</w:t>
            </w:r>
            <w:r>
              <w:rPr>
                <w:rFonts w:ascii="Arial" w:hAnsi="Arial"/>
                <w:snapToGrid w:val="0"/>
                <w:sz w:val="22"/>
                <w:szCs w:val="22"/>
                <w:u w:val="single"/>
              </w:rPr>
              <w:t>UNESCO.</w:t>
            </w:r>
          </w:p>
        </w:tc>
      </w:tr>
      <w:tr w:rsidR="009B7C08" w:rsidRPr="007C392A" w14:paraId="17C6E64B" w14:textId="77777777" w:rsidTr="00B04CDE">
        <w:trPr>
          <w:trHeight w:val="340"/>
        </w:trPr>
        <w:tc>
          <w:tcPr>
            <w:tcW w:w="14560" w:type="dxa"/>
            <w:gridSpan w:val="2"/>
            <w:shd w:val="clear" w:color="auto" w:fill="F2F2F2" w:themeFill="background1" w:themeFillShade="F2"/>
          </w:tcPr>
          <w:p w14:paraId="68AB8980" w14:textId="0CAF49F4" w:rsidR="009B7C08" w:rsidRPr="0050450D" w:rsidRDefault="009B7C08" w:rsidP="00B04CDE">
            <w:pPr>
              <w:keepNext/>
              <w:rPr>
                <w:rFonts w:ascii="Arial" w:hAnsi="Arial" w:cs="Arial"/>
                <w:b/>
                <w:snapToGrid w:val="0"/>
                <w:sz w:val="22"/>
                <w:szCs w:val="22"/>
              </w:rPr>
            </w:pPr>
            <w:r>
              <w:rPr>
                <w:rFonts w:ascii="Arial" w:hAnsi="Arial"/>
                <w:b/>
                <w:snapToGrid w:val="0"/>
                <w:sz w:val="22"/>
                <w:szCs w:val="22"/>
              </w:rPr>
              <w:lastRenderedPageBreak/>
              <w:t>Adéquation avec les grandes priorités de l</w:t>
            </w:r>
            <w:r w:rsidR="00DD2F89">
              <w:rPr>
                <w:rFonts w:ascii="Arial" w:hAnsi="Arial"/>
                <w:b/>
                <w:snapToGrid w:val="0"/>
                <w:sz w:val="22"/>
                <w:szCs w:val="22"/>
              </w:rPr>
              <w:t>’</w:t>
            </w:r>
            <w:r>
              <w:rPr>
                <w:rFonts w:ascii="Arial" w:hAnsi="Arial"/>
                <w:b/>
                <w:snapToGrid w:val="0"/>
                <w:sz w:val="22"/>
                <w:szCs w:val="22"/>
              </w:rPr>
              <w:t>UNESCO</w:t>
            </w:r>
          </w:p>
        </w:tc>
      </w:tr>
      <w:tr w:rsidR="009B7C08" w:rsidRPr="007C392A" w14:paraId="6480CDEF" w14:textId="77777777" w:rsidTr="00B04CDE">
        <w:tc>
          <w:tcPr>
            <w:tcW w:w="6059" w:type="dxa"/>
          </w:tcPr>
          <w:p w14:paraId="447D8936" w14:textId="55248010" w:rsidR="009B7C08" w:rsidRPr="00324032" w:rsidRDefault="009B7C08" w:rsidP="00A741D3">
            <w:pPr>
              <w:pStyle w:val="ListParagraph"/>
              <w:numPr>
                <w:ilvl w:val="0"/>
                <w:numId w:val="11"/>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Les séances d</w:t>
            </w:r>
            <w:r w:rsidR="00DD2F89">
              <w:rPr>
                <w:rFonts w:ascii="Arial" w:hAnsi="Arial"/>
                <w:snapToGrid w:val="0"/>
                <w:sz w:val="22"/>
                <w:szCs w:val="22"/>
              </w:rPr>
              <w:t>’</w:t>
            </w:r>
            <w:r>
              <w:rPr>
                <w:rFonts w:ascii="Arial" w:hAnsi="Arial"/>
                <w:snapToGrid w:val="0"/>
                <w:sz w:val="22"/>
                <w:szCs w:val="22"/>
              </w:rPr>
              <w:t>orientation destinées aux nouveaux membres des OII, en particulier les présidents et les membres de bureaux, devraient être institutionnalisées et prévoir une présentation des cadres du C/4 et du C/5. À cette fin, un petit guide pratique recensant les bonnes pratiques et les acronymes pourrait être produit afin d</w:t>
            </w:r>
            <w:r w:rsidR="00DD2F89">
              <w:rPr>
                <w:rFonts w:ascii="Arial" w:hAnsi="Arial"/>
                <w:snapToGrid w:val="0"/>
                <w:sz w:val="22"/>
                <w:szCs w:val="22"/>
              </w:rPr>
              <w:t>’</w:t>
            </w:r>
            <w:r>
              <w:rPr>
                <w:rFonts w:ascii="Arial" w:hAnsi="Arial"/>
                <w:snapToGrid w:val="0"/>
                <w:sz w:val="22"/>
                <w:szCs w:val="22"/>
              </w:rPr>
              <w:t>aider les membres à se familiariser avec les méthodes de travail et les mécanismes du C/4 et du C/5.</w:t>
            </w:r>
          </w:p>
          <w:p w14:paraId="1F05BEC7" w14:textId="77777777" w:rsidR="009B7C08" w:rsidRPr="00324032" w:rsidRDefault="009B7C08" w:rsidP="00B04CDE">
            <w:pPr>
              <w:spacing w:after="120"/>
              <w:jc w:val="both"/>
              <w:rPr>
                <w:rFonts w:ascii="Arial" w:hAnsi="Arial" w:cs="Arial"/>
                <w:snapToGrid w:val="0"/>
                <w:sz w:val="22"/>
                <w:szCs w:val="22"/>
              </w:rPr>
            </w:pPr>
            <w:r>
              <w:rPr>
                <w:rFonts w:ascii="Arial" w:hAnsi="Arial"/>
                <w:b/>
                <w:bCs/>
                <w:snapToGrid w:val="0"/>
                <w:sz w:val="22"/>
                <w:szCs w:val="22"/>
              </w:rPr>
              <w:t>Action en cours</w:t>
            </w:r>
          </w:p>
        </w:tc>
        <w:tc>
          <w:tcPr>
            <w:tcW w:w="8501" w:type="dxa"/>
          </w:tcPr>
          <w:p w14:paraId="3A7489D2" w14:textId="38659959" w:rsidR="009B7C08" w:rsidRPr="00324032"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En ce qui concerne l</w:t>
            </w:r>
            <w:r w:rsidR="00DD2F89">
              <w:rPr>
                <w:rFonts w:ascii="Arial" w:hAnsi="Arial"/>
                <w:snapToGrid w:val="0"/>
                <w:sz w:val="22"/>
                <w:szCs w:val="22"/>
              </w:rPr>
              <w:t>’</w:t>
            </w:r>
            <w:r>
              <w:rPr>
                <w:rFonts w:ascii="Arial" w:hAnsi="Arial"/>
                <w:snapToGrid w:val="0"/>
                <w:sz w:val="22"/>
                <w:szCs w:val="22"/>
              </w:rPr>
              <w:t>Assemblée générale, le Secrétariat envoie, à chaque nouvel État partie à la Convention, une lettre de bienvenue qui attire son attention sur les Textes fondamentaux de la Convention et lui communique les coordonnées des responsables désignés pour le soutenir. Le Président est élu à l</w:t>
            </w:r>
            <w:r w:rsidR="00DD2F89">
              <w:rPr>
                <w:rFonts w:ascii="Arial" w:hAnsi="Arial"/>
                <w:snapToGrid w:val="0"/>
                <w:sz w:val="22"/>
                <w:szCs w:val="22"/>
              </w:rPr>
              <w:t>’</w:t>
            </w:r>
            <w:r>
              <w:rPr>
                <w:rFonts w:ascii="Arial" w:hAnsi="Arial"/>
                <w:snapToGrid w:val="0"/>
                <w:sz w:val="22"/>
                <w:szCs w:val="22"/>
              </w:rPr>
              <w:t>ouverture de chaque session et, par conséquent, ne reçoit aucune orientation préalable.</w:t>
            </w:r>
          </w:p>
          <w:p w14:paraId="23D8199A" w14:textId="195DBD84" w:rsidR="009B7C08" w:rsidRPr="00324032"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Concernant le Comité, lors d</w:t>
            </w:r>
            <w:r w:rsidR="00DD2F89">
              <w:rPr>
                <w:rFonts w:ascii="Arial" w:hAnsi="Arial"/>
                <w:snapToGrid w:val="0"/>
                <w:sz w:val="22"/>
                <w:szCs w:val="22"/>
              </w:rPr>
              <w:t>’</w:t>
            </w:r>
            <w:r>
              <w:rPr>
                <w:rFonts w:ascii="Arial" w:hAnsi="Arial"/>
                <w:snapToGrid w:val="0"/>
                <w:sz w:val="22"/>
                <w:szCs w:val="22"/>
              </w:rPr>
              <w:t>une mission préparatoire dans le pays hôte (en mars/avril chaque année), le Secrétaire tient des réunions avec le Président sur les points de l</w:t>
            </w:r>
            <w:r w:rsidR="00DD2F89">
              <w:rPr>
                <w:rFonts w:ascii="Arial" w:hAnsi="Arial"/>
                <w:snapToGrid w:val="0"/>
                <w:sz w:val="22"/>
                <w:szCs w:val="22"/>
              </w:rPr>
              <w:t>’</w:t>
            </w:r>
            <w:r>
              <w:rPr>
                <w:rFonts w:ascii="Arial" w:hAnsi="Arial"/>
                <w:snapToGrid w:val="0"/>
                <w:sz w:val="22"/>
                <w:szCs w:val="22"/>
              </w:rPr>
              <w:t>ordre du jour, le rôle du Président, le Règlement intérieur du Comité et les méthodes de travail.</w:t>
            </w:r>
          </w:p>
          <w:p w14:paraId="345AFA65" w14:textId="11F1D126" w:rsidR="009B7C08" w:rsidRPr="00334F6F"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Pour les États membres du Comité, une séance d</w:t>
            </w:r>
            <w:r w:rsidR="00DD2F89">
              <w:rPr>
                <w:rFonts w:ascii="Arial" w:hAnsi="Arial"/>
                <w:snapToGrid w:val="0"/>
                <w:sz w:val="22"/>
                <w:szCs w:val="22"/>
              </w:rPr>
              <w:t>’</w:t>
            </w:r>
            <w:r>
              <w:rPr>
                <w:rFonts w:ascii="Arial" w:hAnsi="Arial"/>
                <w:snapToGrid w:val="0"/>
                <w:sz w:val="22"/>
                <w:szCs w:val="22"/>
              </w:rPr>
              <w:t>orientation est organisée à la veille de l</w:t>
            </w:r>
            <w:r w:rsidR="00DD2F89">
              <w:rPr>
                <w:rFonts w:ascii="Arial" w:hAnsi="Arial"/>
                <w:snapToGrid w:val="0"/>
                <w:sz w:val="22"/>
                <w:szCs w:val="22"/>
              </w:rPr>
              <w:t>’</w:t>
            </w:r>
            <w:r>
              <w:rPr>
                <w:rFonts w:ascii="Arial" w:hAnsi="Arial"/>
                <w:snapToGrid w:val="0"/>
                <w:sz w:val="22"/>
                <w:szCs w:val="22"/>
              </w:rPr>
              <w:t>ouverture de la session du Comité chaque année paire lorsque des nouveaux membres du Comité sont élus. En outre, une session d</w:t>
            </w:r>
            <w:r w:rsidR="00DD2F89">
              <w:rPr>
                <w:rFonts w:ascii="Arial" w:hAnsi="Arial"/>
                <w:snapToGrid w:val="0"/>
                <w:sz w:val="22"/>
                <w:szCs w:val="22"/>
              </w:rPr>
              <w:t>’</w:t>
            </w:r>
            <w:r>
              <w:rPr>
                <w:rFonts w:ascii="Arial" w:hAnsi="Arial"/>
                <w:snapToGrid w:val="0"/>
                <w:sz w:val="22"/>
                <w:szCs w:val="22"/>
              </w:rPr>
              <w:t>information et d</w:t>
            </w:r>
            <w:r w:rsidR="00DD2F89">
              <w:rPr>
                <w:rFonts w:ascii="Arial" w:hAnsi="Arial"/>
                <w:snapToGrid w:val="0"/>
                <w:sz w:val="22"/>
                <w:szCs w:val="22"/>
              </w:rPr>
              <w:t>’</w:t>
            </w:r>
            <w:r>
              <w:rPr>
                <w:rFonts w:ascii="Arial" w:hAnsi="Arial"/>
                <w:snapToGrid w:val="0"/>
                <w:sz w:val="22"/>
                <w:szCs w:val="22"/>
              </w:rPr>
              <w:t>échange portant sur la session à venir du Comité est organisée chaque année en octobre. Afin de permettre aux membres du Comité de comprendre les tâches et responsabilités qui leur incombent rapidement suite à leur élection, le Secrétariat pourrait partager des notes d</w:t>
            </w:r>
            <w:r w:rsidR="00DD2F89">
              <w:rPr>
                <w:rFonts w:ascii="Arial" w:hAnsi="Arial"/>
                <w:snapToGrid w:val="0"/>
                <w:sz w:val="22"/>
                <w:szCs w:val="22"/>
              </w:rPr>
              <w:t>’</w:t>
            </w:r>
            <w:r>
              <w:rPr>
                <w:rFonts w:ascii="Arial" w:hAnsi="Arial"/>
                <w:snapToGrid w:val="0"/>
                <w:sz w:val="22"/>
                <w:szCs w:val="22"/>
              </w:rPr>
              <w:t>information avec les nouveaux membres du Comité.</w:t>
            </w:r>
          </w:p>
          <w:p w14:paraId="2144B92E" w14:textId="5545E7C4" w:rsidR="00026A2B" w:rsidRPr="00EE4900" w:rsidRDefault="008E2FC2" w:rsidP="00A741D3">
            <w:pPr>
              <w:pStyle w:val="ListParagraph"/>
              <w:numPr>
                <w:ilvl w:val="0"/>
                <w:numId w:val="7"/>
              </w:numPr>
              <w:spacing w:after="120"/>
              <w:ind w:left="357" w:hanging="357"/>
              <w:contextualSpacing w:val="0"/>
              <w:jc w:val="both"/>
              <w:rPr>
                <w:rFonts w:ascii="Arial" w:hAnsi="Arial" w:cs="Arial"/>
                <w:snapToGrid w:val="0"/>
                <w:sz w:val="22"/>
                <w:szCs w:val="22"/>
                <w:u w:val="single"/>
              </w:rPr>
            </w:pPr>
            <w:r>
              <w:rPr>
                <w:rFonts w:ascii="Arial" w:hAnsi="Arial"/>
                <w:b/>
                <w:snapToGrid w:val="0"/>
                <w:sz w:val="22"/>
                <w:szCs w:val="22"/>
                <w:u w:val="single"/>
              </w:rPr>
              <w:t>Mise à jour</w:t>
            </w:r>
            <w:r w:rsidRPr="00742D54">
              <w:rPr>
                <w:rFonts w:ascii="Arial" w:hAnsi="Arial"/>
                <w:bCs/>
                <w:snapToGrid w:val="0"/>
                <w:sz w:val="22"/>
                <w:szCs w:val="22"/>
                <w:u w:val="single"/>
              </w:rPr>
              <w:t> :</w:t>
            </w:r>
            <w:r>
              <w:rPr>
                <w:rFonts w:ascii="Arial" w:hAnsi="Arial"/>
                <w:snapToGrid w:val="0"/>
                <w:sz w:val="22"/>
                <w:szCs w:val="22"/>
                <w:u w:val="single"/>
              </w:rPr>
              <w:t xml:space="preserve"> à la suite de l</w:t>
            </w:r>
            <w:r w:rsidR="00DD2F89">
              <w:rPr>
                <w:rFonts w:ascii="Arial" w:hAnsi="Arial"/>
                <w:snapToGrid w:val="0"/>
                <w:sz w:val="22"/>
                <w:szCs w:val="22"/>
                <w:u w:val="single"/>
              </w:rPr>
              <w:t>’</w:t>
            </w:r>
            <w:r>
              <w:rPr>
                <w:rFonts w:ascii="Arial" w:hAnsi="Arial"/>
                <w:snapToGrid w:val="0"/>
                <w:sz w:val="22"/>
                <w:szCs w:val="22"/>
                <w:u w:val="single"/>
              </w:rPr>
              <w:t>élection des douze nouveaux membres du Comité, en juin 2018, le Secrétariat a envoyé à ces nouveaux membres un document de présentation générale sur la Convention de 2003 ; en outre, une séance d</w:t>
            </w:r>
            <w:r w:rsidR="00DD2F89">
              <w:rPr>
                <w:rFonts w:ascii="Arial" w:hAnsi="Arial"/>
                <w:snapToGrid w:val="0"/>
                <w:sz w:val="22"/>
                <w:szCs w:val="22"/>
                <w:u w:val="single"/>
              </w:rPr>
              <w:t>’</w:t>
            </w:r>
            <w:r>
              <w:rPr>
                <w:rFonts w:ascii="Arial" w:hAnsi="Arial"/>
                <w:snapToGrid w:val="0"/>
                <w:sz w:val="22"/>
                <w:szCs w:val="22"/>
                <w:u w:val="single"/>
              </w:rPr>
              <w:t>orientation a été organisée pendant la session d</w:t>
            </w:r>
            <w:r w:rsidR="00DD2F89">
              <w:rPr>
                <w:rFonts w:ascii="Arial" w:hAnsi="Arial"/>
                <w:snapToGrid w:val="0"/>
                <w:sz w:val="22"/>
                <w:szCs w:val="22"/>
                <w:u w:val="single"/>
              </w:rPr>
              <w:t>’</w:t>
            </w:r>
            <w:r>
              <w:rPr>
                <w:rFonts w:ascii="Arial" w:hAnsi="Arial"/>
                <w:snapToGrid w:val="0"/>
                <w:sz w:val="22"/>
                <w:szCs w:val="22"/>
                <w:u w:val="single"/>
              </w:rPr>
              <w:t>information et d</w:t>
            </w:r>
            <w:r w:rsidR="00DD2F89">
              <w:rPr>
                <w:rFonts w:ascii="Arial" w:hAnsi="Arial"/>
                <w:snapToGrid w:val="0"/>
                <w:sz w:val="22"/>
                <w:szCs w:val="22"/>
                <w:u w:val="single"/>
              </w:rPr>
              <w:t>’</w:t>
            </w:r>
            <w:r>
              <w:rPr>
                <w:rFonts w:ascii="Arial" w:hAnsi="Arial"/>
                <w:snapToGrid w:val="0"/>
                <w:sz w:val="22"/>
                <w:szCs w:val="22"/>
                <w:u w:val="single"/>
              </w:rPr>
              <w:t>échange qui s</w:t>
            </w:r>
            <w:r w:rsidR="00DD2F89">
              <w:rPr>
                <w:rFonts w:ascii="Arial" w:hAnsi="Arial"/>
                <w:snapToGrid w:val="0"/>
                <w:sz w:val="22"/>
                <w:szCs w:val="22"/>
                <w:u w:val="single"/>
              </w:rPr>
              <w:t>’</w:t>
            </w:r>
            <w:r>
              <w:rPr>
                <w:rFonts w:ascii="Arial" w:hAnsi="Arial"/>
                <w:snapToGrid w:val="0"/>
                <w:sz w:val="22"/>
                <w:szCs w:val="22"/>
                <w:u w:val="single"/>
              </w:rPr>
              <w:t>est tenue le 2 octobre 2018, concernant la treizième session du Comité.</w:t>
            </w:r>
          </w:p>
        </w:tc>
      </w:tr>
      <w:tr w:rsidR="009B7C08" w:rsidRPr="00C2060D" w14:paraId="2C023A78"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3C693AD1" w14:textId="77777777" w:rsidR="009B7C08" w:rsidRPr="003E5477" w:rsidRDefault="009B7C08" w:rsidP="00B04CDE">
            <w:pPr>
              <w:keepNext/>
              <w:rPr>
                <w:rFonts w:ascii="Arial" w:hAnsi="Arial" w:cs="Arial"/>
                <w:b/>
                <w:snapToGrid w:val="0"/>
                <w:sz w:val="22"/>
                <w:szCs w:val="22"/>
              </w:rPr>
            </w:pPr>
            <w:r>
              <w:rPr>
                <w:rFonts w:ascii="Arial" w:hAnsi="Arial"/>
                <w:b/>
                <w:snapToGrid w:val="0"/>
                <w:sz w:val="22"/>
                <w:szCs w:val="22"/>
              </w:rPr>
              <w:t>Cohérence, coordination et synergies</w:t>
            </w:r>
          </w:p>
        </w:tc>
      </w:tr>
      <w:tr w:rsidR="009B7C08" w:rsidRPr="007C392A" w14:paraId="7CB60BD9" w14:textId="77777777" w:rsidTr="00B04CDE">
        <w:tc>
          <w:tcPr>
            <w:tcW w:w="6059" w:type="dxa"/>
          </w:tcPr>
          <w:p w14:paraId="6C89DF90" w14:textId="64DC1D74" w:rsidR="009B7C08" w:rsidRDefault="009B7C08" w:rsidP="00A741D3">
            <w:pPr>
              <w:pStyle w:val="ListParagraph"/>
              <w:numPr>
                <w:ilvl w:val="0"/>
                <w:numId w:val="12"/>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 recours à différentes langues reste un objectif majeur sur le plan de l</w:t>
            </w:r>
            <w:r w:rsidR="00DD2F89">
              <w:rPr>
                <w:rFonts w:ascii="Arial" w:hAnsi="Arial"/>
                <w:snapToGrid w:val="0"/>
                <w:sz w:val="22"/>
                <w:szCs w:val="22"/>
              </w:rPr>
              <w:t>’</w:t>
            </w:r>
            <w:r>
              <w:rPr>
                <w:rFonts w:ascii="Arial" w:hAnsi="Arial"/>
                <w:snapToGrid w:val="0"/>
                <w:sz w:val="22"/>
                <w:szCs w:val="22"/>
              </w:rPr>
              <w:t>inclusion et de l</w:t>
            </w:r>
            <w:r w:rsidR="00DD2F89">
              <w:rPr>
                <w:rFonts w:ascii="Arial" w:hAnsi="Arial"/>
                <w:snapToGrid w:val="0"/>
                <w:sz w:val="22"/>
                <w:szCs w:val="22"/>
              </w:rPr>
              <w:t>’</w:t>
            </w:r>
            <w:r>
              <w:rPr>
                <w:rFonts w:ascii="Arial" w:hAnsi="Arial"/>
                <w:snapToGrid w:val="0"/>
                <w:sz w:val="22"/>
                <w:szCs w:val="22"/>
              </w:rPr>
              <w:t>efficacité.</w:t>
            </w:r>
          </w:p>
          <w:p w14:paraId="00528C94" w14:textId="77777777" w:rsidR="009B7C08" w:rsidRPr="00E863FC" w:rsidRDefault="009B7C08" w:rsidP="00B04CDE">
            <w:pPr>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Pr>
          <w:p w14:paraId="79E7C794" w14:textId="4B612192" w:rsidR="009B7C08" w:rsidRDefault="009B7C08" w:rsidP="00DD2F89">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Les langues de travail de l</w:t>
            </w:r>
            <w:r w:rsidR="00DD2F89">
              <w:rPr>
                <w:rFonts w:ascii="Arial" w:hAnsi="Arial"/>
                <w:snapToGrid w:val="0"/>
                <w:sz w:val="22"/>
                <w:szCs w:val="22"/>
              </w:rPr>
              <w:t>’</w:t>
            </w:r>
            <w:r>
              <w:rPr>
                <w:rFonts w:ascii="Arial" w:hAnsi="Arial"/>
                <w:snapToGrid w:val="0"/>
                <w:sz w:val="22"/>
                <w:szCs w:val="22"/>
              </w:rPr>
              <w:t>Assemblée sont l</w:t>
            </w:r>
            <w:r w:rsidR="00DD2F89">
              <w:rPr>
                <w:rFonts w:ascii="Arial" w:hAnsi="Arial"/>
                <w:snapToGrid w:val="0"/>
                <w:sz w:val="22"/>
                <w:szCs w:val="22"/>
              </w:rPr>
              <w:t>’</w:t>
            </w:r>
            <w:r>
              <w:rPr>
                <w:rFonts w:ascii="Arial" w:hAnsi="Arial"/>
                <w:snapToGrid w:val="0"/>
                <w:sz w:val="22"/>
                <w:szCs w:val="22"/>
              </w:rPr>
              <w:t>anglais, l</w:t>
            </w:r>
            <w:r w:rsidR="00DD2F89">
              <w:rPr>
                <w:rFonts w:ascii="Arial" w:hAnsi="Arial"/>
                <w:snapToGrid w:val="0"/>
                <w:sz w:val="22"/>
                <w:szCs w:val="22"/>
              </w:rPr>
              <w:t>’</w:t>
            </w:r>
            <w:r>
              <w:rPr>
                <w:rFonts w:ascii="Arial" w:hAnsi="Arial"/>
                <w:snapToGrid w:val="0"/>
                <w:sz w:val="22"/>
                <w:szCs w:val="22"/>
              </w:rPr>
              <w:t>arabe, le chinois, l</w:t>
            </w:r>
            <w:r w:rsidR="00DD2F89">
              <w:rPr>
                <w:rFonts w:ascii="Arial" w:hAnsi="Arial"/>
                <w:snapToGrid w:val="0"/>
                <w:sz w:val="22"/>
                <w:szCs w:val="22"/>
              </w:rPr>
              <w:t>’</w:t>
            </w:r>
            <w:r>
              <w:rPr>
                <w:rFonts w:ascii="Arial" w:hAnsi="Arial"/>
                <w:snapToGrid w:val="0"/>
                <w:sz w:val="22"/>
                <w:szCs w:val="22"/>
              </w:rPr>
              <w:t>espagnol, le français et le russe (</w:t>
            </w:r>
            <w:hyperlink r:id="rId66" w:anchor="Article10" w:history="1">
              <w:r>
                <w:rPr>
                  <w:rStyle w:val="Hyperlink"/>
                  <w:rFonts w:ascii="Arial" w:hAnsi="Arial"/>
                  <w:snapToGrid w:val="0"/>
                  <w:sz w:val="22"/>
                  <w:szCs w:val="22"/>
                </w:rPr>
                <w:t>article 10.1</w:t>
              </w:r>
            </w:hyperlink>
            <w:r>
              <w:rPr>
                <w:rFonts w:ascii="Arial" w:hAnsi="Arial"/>
                <w:snapToGrid w:val="0"/>
                <w:sz w:val="22"/>
                <w:szCs w:val="22"/>
              </w:rPr>
              <w:t>). « Les orateurs peuvent cependant s</w:t>
            </w:r>
            <w:r w:rsidR="00DD2F89">
              <w:rPr>
                <w:rFonts w:ascii="Arial" w:hAnsi="Arial"/>
                <w:snapToGrid w:val="0"/>
                <w:sz w:val="22"/>
                <w:szCs w:val="22"/>
              </w:rPr>
              <w:t>’</w:t>
            </w:r>
            <w:r>
              <w:rPr>
                <w:rFonts w:ascii="Arial" w:hAnsi="Arial"/>
                <w:snapToGrid w:val="0"/>
                <w:sz w:val="22"/>
                <w:szCs w:val="22"/>
              </w:rPr>
              <w:t>exprimer dans toute autre langue à condition de veiller eux-mêmes à ce que leurs interventions soient interprétées dans l</w:t>
            </w:r>
            <w:r w:rsidR="00DD2F89">
              <w:rPr>
                <w:rFonts w:ascii="Arial" w:hAnsi="Arial"/>
                <w:snapToGrid w:val="0"/>
                <w:sz w:val="22"/>
                <w:szCs w:val="22"/>
              </w:rPr>
              <w:t>’</w:t>
            </w:r>
            <w:r>
              <w:rPr>
                <w:rFonts w:ascii="Arial" w:hAnsi="Arial"/>
                <w:snapToGrid w:val="0"/>
                <w:sz w:val="22"/>
                <w:szCs w:val="22"/>
              </w:rPr>
              <w:t>une des langues de travail » (</w:t>
            </w:r>
            <w:hyperlink r:id="rId67" w:anchor="Article10" w:history="1">
              <w:r>
                <w:rPr>
                  <w:rStyle w:val="Hyperlink"/>
                  <w:rFonts w:ascii="Arial" w:hAnsi="Arial"/>
                  <w:snapToGrid w:val="0"/>
                  <w:sz w:val="22"/>
                  <w:szCs w:val="22"/>
                </w:rPr>
                <w:t>article 10.3</w:t>
              </w:r>
            </w:hyperlink>
            <w:r>
              <w:rPr>
                <w:rFonts w:ascii="Arial" w:hAnsi="Arial"/>
                <w:snapToGrid w:val="0"/>
                <w:sz w:val="22"/>
                <w:szCs w:val="22"/>
              </w:rPr>
              <w:t>).</w:t>
            </w:r>
          </w:p>
          <w:p w14:paraId="4BE07359" w14:textId="7F1263DC" w:rsidR="009B7C08" w:rsidRPr="00333D58" w:rsidRDefault="009B7C08" w:rsidP="005B5B5E">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Les langues de travail du Comité sont l</w:t>
            </w:r>
            <w:r w:rsidR="00DD2F89">
              <w:rPr>
                <w:rFonts w:ascii="Arial" w:hAnsi="Arial"/>
                <w:snapToGrid w:val="0"/>
                <w:sz w:val="22"/>
                <w:szCs w:val="22"/>
              </w:rPr>
              <w:t>’</w:t>
            </w:r>
            <w:r>
              <w:rPr>
                <w:rFonts w:ascii="Arial" w:hAnsi="Arial"/>
                <w:snapToGrid w:val="0"/>
                <w:sz w:val="22"/>
                <w:szCs w:val="22"/>
              </w:rPr>
              <w:t>anglais et le français.</w:t>
            </w:r>
            <w:r w:rsidRPr="00E316EC">
              <w:rPr>
                <w:rFonts w:ascii="Arial" w:hAnsi="Arial" w:cs="Arial"/>
                <w:snapToGrid w:val="0"/>
                <w:sz w:val="22"/>
                <w:szCs w:val="22"/>
              </w:rPr>
              <w:t xml:space="preserve"> </w:t>
            </w:r>
            <w:r w:rsidRPr="005B5B5E">
              <w:rPr>
                <w:rFonts w:ascii="Arial" w:hAnsi="Arial" w:cs="Arial"/>
                <w:sz w:val="22"/>
                <w:szCs w:val="22"/>
              </w:rPr>
              <w:t>L</w:t>
            </w:r>
            <w:r w:rsidR="00DD2F89" w:rsidRPr="005B5B5E">
              <w:rPr>
                <w:rFonts w:ascii="Arial" w:hAnsi="Arial" w:cs="Arial"/>
                <w:sz w:val="22"/>
                <w:szCs w:val="22"/>
              </w:rPr>
              <w:t>’</w:t>
            </w:r>
            <w:hyperlink r:id="rId68" w:anchor="Article41" w:history="1">
              <w:r>
                <w:rPr>
                  <w:rStyle w:val="Hyperlink"/>
                  <w:rFonts w:ascii="Arial" w:hAnsi="Arial"/>
                  <w:snapToGrid w:val="0"/>
                  <w:sz w:val="22"/>
                  <w:szCs w:val="22"/>
                </w:rPr>
                <w:t>article 41.1</w:t>
              </w:r>
            </w:hyperlink>
            <w:r>
              <w:rPr>
                <w:rFonts w:ascii="Arial" w:hAnsi="Arial"/>
                <w:snapToGrid w:val="0"/>
                <w:sz w:val="22"/>
                <w:szCs w:val="22"/>
              </w:rPr>
              <w:t xml:space="preserve"> précise que « [t]</w:t>
            </w:r>
            <w:proofErr w:type="spellStart"/>
            <w:r>
              <w:rPr>
                <w:rFonts w:ascii="Arial" w:hAnsi="Arial"/>
                <w:snapToGrid w:val="0"/>
                <w:sz w:val="22"/>
                <w:szCs w:val="22"/>
              </w:rPr>
              <w:t>ou</w:t>
            </w:r>
            <w:r w:rsidR="00401E2F">
              <w:rPr>
                <w:rFonts w:ascii="Arial" w:hAnsi="Arial"/>
                <w:snapToGrid w:val="0"/>
                <w:sz w:val="22"/>
                <w:szCs w:val="22"/>
              </w:rPr>
              <w:t>s</w:t>
            </w:r>
            <w:proofErr w:type="spellEnd"/>
            <w:r w:rsidR="00401E2F">
              <w:rPr>
                <w:rFonts w:ascii="Arial" w:hAnsi="Arial"/>
                <w:snapToGrid w:val="0"/>
                <w:sz w:val="22"/>
                <w:szCs w:val="22"/>
              </w:rPr>
              <w:t xml:space="preserve"> les efforts seront faits</w:t>
            </w:r>
            <w:r>
              <w:rPr>
                <w:rFonts w:ascii="Arial" w:hAnsi="Arial"/>
                <w:snapToGrid w:val="0"/>
                <w:sz w:val="22"/>
                <w:szCs w:val="22"/>
              </w:rPr>
              <w:t>, y compris l</w:t>
            </w:r>
            <w:r w:rsidR="00DD2F89">
              <w:rPr>
                <w:rFonts w:ascii="Arial" w:hAnsi="Arial"/>
                <w:snapToGrid w:val="0"/>
                <w:sz w:val="22"/>
                <w:szCs w:val="22"/>
              </w:rPr>
              <w:t>’</w:t>
            </w:r>
            <w:r>
              <w:rPr>
                <w:rFonts w:ascii="Arial" w:hAnsi="Arial"/>
                <w:snapToGrid w:val="0"/>
                <w:sz w:val="22"/>
                <w:szCs w:val="22"/>
              </w:rPr>
              <w:t>u</w:t>
            </w:r>
            <w:r w:rsidR="00401E2F">
              <w:rPr>
                <w:rFonts w:ascii="Arial" w:hAnsi="Arial"/>
                <w:snapToGrid w:val="0"/>
                <w:sz w:val="22"/>
                <w:szCs w:val="22"/>
              </w:rPr>
              <w:t xml:space="preserve">sage </w:t>
            </w:r>
            <w:r>
              <w:rPr>
                <w:rFonts w:ascii="Arial" w:hAnsi="Arial"/>
                <w:snapToGrid w:val="0"/>
                <w:sz w:val="22"/>
                <w:szCs w:val="22"/>
              </w:rPr>
              <w:t xml:space="preserve">de fonds extrabudgétaires, </w:t>
            </w:r>
            <w:r w:rsidR="00401E2F">
              <w:rPr>
                <w:rFonts w:ascii="Arial" w:hAnsi="Arial"/>
                <w:snapToGrid w:val="0"/>
                <w:sz w:val="22"/>
                <w:szCs w:val="22"/>
              </w:rPr>
              <w:t xml:space="preserve">afin de </w:t>
            </w:r>
            <w:r>
              <w:rPr>
                <w:rFonts w:ascii="Arial" w:hAnsi="Arial"/>
                <w:snapToGrid w:val="0"/>
                <w:sz w:val="22"/>
                <w:szCs w:val="22"/>
              </w:rPr>
              <w:t>faciliter l</w:t>
            </w:r>
            <w:r w:rsidR="00DD2F89">
              <w:rPr>
                <w:rFonts w:ascii="Arial" w:hAnsi="Arial"/>
                <w:snapToGrid w:val="0"/>
                <w:sz w:val="22"/>
                <w:szCs w:val="22"/>
              </w:rPr>
              <w:t>’</w:t>
            </w:r>
            <w:r>
              <w:rPr>
                <w:rFonts w:ascii="Arial" w:hAnsi="Arial"/>
                <w:snapToGrid w:val="0"/>
                <w:sz w:val="22"/>
                <w:szCs w:val="22"/>
              </w:rPr>
              <w:t xml:space="preserve">emploi des autres langues officielles des Nations Unies en tant que langues de travail ». Avant chaque session du Comité, </w:t>
            </w:r>
            <w:r>
              <w:rPr>
                <w:rFonts w:ascii="Arial" w:hAnsi="Arial"/>
                <w:snapToGrid w:val="0"/>
                <w:sz w:val="22"/>
                <w:szCs w:val="22"/>
              </w:rPr>
              <w:lastRenderedPageBreak/>
              <w:t>il est rappelé aux États parties que l</w:t>
            </w:r>
            <w:r w:rsidR="00DD2F89">
              <w:rPr>
                <w:rFonts w:ascii="Arial" w:hAnsi="Arial"/>
                <w:snapToGrid w:val="0"/>
                <w:sz w:val="22"/>
                <w:szCs w:val="22"/>
              </w:rPr>
              <w:t>’</w:t>
            </w:r>
            <w:r>
              <w:rPr>
                <w:rFonts w:ascii="Arial" w:hAnsi="Arial"/>
                <w:snapToGrid w:val="0"/>
                <w:sz w:val="22"/>
                <w:szCs w:val="22"/>
              </w:rPr>
              <w:t>interprétation dans d</w:t>
            </w:r>
            <w:r w:rsidR="00DD2F89">
              <w:rPr>
                <w:rFonts w:ascii="Arial" w:hAnsi="Arial"/>
                <w:snapToGrid w:val="0"/>
                <w:sz w:val="22"/>
                <w:szCs w:val="22"/>
              </w:rPr>
              <w:t>’</w:t>
            </w:r>
            <w:r>
              <w:rPr>
                <w:rFonts w:ascii="Arial" w:hAnsi="Arial"/>
                <w:snapToGrid w:val="0"/>
                <w:sz w:val="22"/>
                <w:szCs w:val="22"/>
              </w:rPr>
              <w:t>autres langues est proposée à condition que des fonds extrabudgétaires puissent y être consacrés.</w:t>
            </w:r>
          </w:p>
        </w:tc>
      </w:tr>
      <w:tr w:rsidR="009B7C08" w:rsidRPr="007C392A" w14:paraId="44CDB31D" w14:textId="77777777" w:rsidTr="00B04CDE">
        <w:tc>
          <w:tcPr>
            <w:tcW w:w="6059" w:type="dxa"/>
          </w:tcPr>
          <w:p w14:paraId="6EF180F6" w14:textId="5651D879" w:rsidR="009B7C08" w:rsidRDefault="009B7C08" w:rsidP="00A741D3">
            <w:pPr>
              <w:pStyle w:val="ListParagraph"/>
              <w:keepNext/>
              <w:numPr>
                <w:ilvl w:val="0"/>
                <w:numId w:val="12"/>
              </w:numPr>
              <w:spacing w:after="120"/>
              <w:ind w:left="561" w:hanging="561"/>
              <w:contextualSpacing w:val="0"/>
              <w:jc w:val="both"/>
              <w:rPr>
                <w:rFonts w:ascii="Arial" w:hAnsi="Arial" w:cs="Arial"/>
                <w:snapToGrid w:val="0"/>
                <w:sz w:val="22"/>
                <w:szCs w:val="22"/>
              </w:rPr>
            </w:pPr>
            <w:r>
              <w:rPr>
                <w:rFonts w:ascii="Arial" w:hAnsi="Arial"/>
                <w:snapToGrid w:val="0"/>
                <w:sz w:val="22"/>
                <w:szCs w:val="22"/>
              </w:rPr>
              <w:lastRenderedPageBreak/>
              <w:t>Il est demandé aux OII et à leurs secrétariats d</w:t>
            </w:r>
            <w:r w:rsidR="00DD2F89">
              <w:rPr>
                <w:rFonts w:ascii="Arial" w:hAnsi="Arial"/>
                <w:snapToGrid w:val="0"/>
                <w:sz w:val="22"/>
                <w:szCs w:val="22"/>
              </w:rPr>
              <w:t>’</w:t>
            </w:r>
            <w:r>
              <w:rPr>
                <w:rFonts w:ascii="Arial" w:hAnsi="Arial"/>
                <w:snapToGrid w:val="0"/>
                <w:sz w:val="22"/>
                <w:szCs w:val="22"/>
              </w:rPr>
              <w:t>améliorer la coordination de la planification des réunions afin d</w:t>
            </w:r>
            <w:r w:rsidR="00DD2F89">
              <w:rPr>
                <w:rFonts w:ascii="Arial" w:hAnsi="Arial"/>
                <w:snapToGrid w:val="0"/>
                <w:sz w:val="22"/>
                <w:szCs w:val="22"/>
              </w:rPr>
              <w:t>’</w:t>
            </w:r>
            <w:r>
              <w:rPr>
                <w:rFonts w:ascii="Arial" w:hAnsi="Arial"/>
                <w:snapToGrid w:val="0"/>
                <w:sz w:val="22"/>
                <w:szCs w:val="22"/>
              </w:rPr>
              <w:t>éviter les chevauchements.</w:t>
            </w:r>
          </w:p>
          <w:p w14:paraId="41ED4465" w14:textId="77777777" w:rsidR="009B7C08" w:rsidRPr="00E863FC" w:rsidRDefault="009B7C08" w:rsidP="00B04CDE">
            <w:pPr>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Borders>
              <w:right w:val="single" w:sz="4" w:space="0" w:color="auto"/>
            </w:tcBorders>
          </w:tcPr>
          <w:p w14:paraId="4665A73D" w14:textId="230027B2"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w:t>
            </w:r>
            <w:r w:rsidR="00DD2F89">
              <w:rPr>
                <w:rFonts w:ascii="Arial" w:hAnsi="Arial"/>
                <w:snapToGrid w:val="0"/>
                <w:sz w:val="22"/>
                <w:szCs w:val="22"/>
              </w:rPr>
              <w:t>’</w:t>
            </w:r>
            <w:r>
              <w:rPr>
                <w:rFonts w:ascii="Arial" w:hAnsi="Arial"/>
                <w:snapToGrid w:val="0"/>
                <w:sz w:val="22"/>
                <w:szCs w:val="22"/>
              </w:rPr>
              <w:t>Unité des partenariats, de la communication et des réunions (anciennement Unité des services communs des conventions) du Secteur de la culture veille à ce qu</w:t>
            </w:r>
            <w:r w:rsidR="00DD2F89">
              <w:rPr>
                <w:rFonts w:ascii="Arial" w:hAnsi="Arial"/>
                <w:snapToGrid w:val="0"/>
                <w:sz w:val="22"/>
                <w:szCs w:val="22"/>
              </w:rPr>
              <w:t>’</w:t>
            </w:r>
            <w:r>
              <w:rPr>
                <w:rFonts w:ascii="Arial" w:hAnsi="Arial"/>
                <w:snapToGrid w:val="0"/>
                <w:sz w:val="22"/>
                <w:szCs w:val="22"/>
              </w:rPr>
              <w:t>il n</w:t>
            </w:r>
            <w:r w:rsidR="00DD2F89">
              <w:rPr>
                <w:rFonts w:ascii="Arial" w:hAnsi="Arial"/>
                <w:snapToGrid w:val="0"/>
                <w:sz w:val="22"/>
                <w:szCs w:val="22"/>
              </w:rPr>
              <w:t>’</w:t>
            </w:r>
            <w:r>
              <w:rPr>
                <w:rFonts w:ascii="Arial" w:hAnsi="Arial"/>
                <w:snapToGrid w:val="0"/>
                <w:sz w:val="22"/>
                <w:szCs w:val="22"/>
              </w:rPr>
              <w:t>y ait pas de chevauchement entre les réunions des six conventions culturelles.</w:t>
            </w:r>
          </w:p>
        </w:tc>
      </w:tr>
      <w:tr w:rsidR="009B7C08" w:rsidRPr="007C392A" w14:paraId="6F35151C" w14:textId="77777777" w:rsidTr="00B04CDE">
        <w:trPr>
          <w:trHeight w:val="454"/>
        </w:trPr>
        <w:tc>
          <w:tcPr>
            <w:tcW w:w="14560" w:type="dxa"/>
            <w:gridSpan w:val="2"/>
            <w:tcBorders>
              <w:right w:val="single" w:sz="4" w:space="0" w:color="auto"/>
            </w:tcBorders>
            <w:shd w:val="clear" w:color="auto" w:fill="D9D9D9" w:themeFill="background1" w:themeFillShade="D9"/>
            <w:vAlign w:val="center"/>
          </w:tcPr>
          <w:p w14:paraId="225D4537" w14:textId="307DE640" w:rsidR="009B7C08" w:rsidRPr="003E5477" w:rsidRDefault="009B7C08" w:rsidP="00B04CDE">
            <w:pPr>
              <w:keepNext/>
              <w:tabs>
                <w:tab w:val="left" w:pos="555"/>
              </w:tabs>
              <w:rPr>
                <w:rFonts w:ascii="Arial" w:hAnsi="Arial" w:cs="Arial"/>
                <w:b/>
                <w:smallCaps/>
                <w:snapToGrid w:val="0"/>
                <w:sz w:val="22"/>
                <w:szCs w:val="22"/>
              </w:rPr>
            </w:pPr>
            <w:r>
              <w:rPr>
                <w:rFonts w:ascii="Arial" w:hAnsi="Arial"/>
                <w:b/>
                <w:smallCaps/>
                <w:snapToGrid w:val="0"/>
                <w:sz w:val="22"/>
                <w:szCs w:val="22"/>
              </w:rPr>
              <w:t>E.</w:t>
            </w:r>
            <w:r>
              <w:rPr>
                <w:rFonts w:ascii="Arial" w:hAnsi="Arial"/>
                <w:b/>
                <w:smallCaps/>
                <w:snapToGrid w:val="0"/>
                <w:sz w:val="22"/>
                <w:szCs w:val="22"/>
              </w:rPr>
              <w:tab/>
              <w:t xml:space="preserve">Recommandations spécifiques </w:t>
            </w:r>
            <w:r w:rsidR="005B5B5E">
              <w:rPr>
                <w:rFonts w:ascii="Arial" w:hAnsi="Arial"/>
                <w:b/>
                <w:smallCaps/>
                <w:snapToGrid w:val="0"/>
                <w:sz w:val="22"/>
                <w:szCs w:val="22"/>
              </w:rPr>
              <w:t>à</w:t>
            </w:r>
            <w:r>
              <w:rPr>
                <w:rFonts w:ascii="Arial" w:hAnsi="Arial"/>
                <w:b/>
                <w:smallCaps/>
                <w:snapToGrid w:val="0"/>
                <w:sz w:val="22"/>
                <w:szCs w:val="22"/>
              </w:rPr>
              <w:t xml:space="preserve"> toutes les conventions de l</w:t>
            </w:r>
            <w:r w:rsidR="00DD2F89">
              <w:rPr>
                <w:rFonts w:ascii="Arial" w:hAnsi="Arial"/>
                <w:b/>
                <w:smallCaps/>
                <w:snapToGrid w:val="0"/>
                <w:sz w:val="22"/>
                <w:szCs w:val="22"/>
              </w:rPr>
              <w:t>’</w:t>
            </w:r>
            <w:r>
              <w:rPr>
                <w:rFonts w:ascii="Arial" w:hAnsi="Arial"/>
                <w:b/>
                <w:smallCaps/>
                <w:snapToGrid w:val="0"/>
                <w:sz w:val="22"/>
                <w:szCs w:val="22"/>
              </w:rPr>
              <w:t>UNESCO</w:t>
            </w:r>
          </w:p>
        </w:tc>
      </w:tr>
      <w:tr w:rsidR="009B7C08" w:rsidRPr="00985ABE" w14:paraId="2A0BDA97"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6277D3F9" w14:textId="3D8D058E" w:rsidR="009B7C08" w:rsidRPr="003E5477" w:rsidRDefault="009B7C08" w:rsidP="00B04CDE">
            <w:pPr>
              <w:keepNext/>
              <w:rPr>
                <w:rFonts w:ascii="Arial" w:hAnsi="Arial" w:cs="Arial"/>
                <w:b/>
                <w:snapToGrid w:val="0"/>
                <w:sz w:val="22"/>
                <w:szCs w:val="22"/>
              </w:rPr>
            </w:pPr>
            <w:r>
              <w:rPr>
                <w:rFonts w:ascii="Arial" w:hAnsi="Arial"/>
                <w:b/>
                <w:snapToGrid w:val="0"/>
                <w:sz w:val="22"/>
                <w:szCs w:val="22"/>
              </w:rPr>
              <w:t>Conventions</w:t>
            </w:r>
            <w:r w:rsidR="00401E2F" w:rsidRPr="008D7D7C">
              <w:rPr>
                <w:rFonts w:ascii="Arial" w:hAnsi="Arial" w:cs="Arial"/>
                <w:b/>
                <w:snapToGrid w:val="0"/>
                <w:sz w:val="22"/>
                <w:szCs w:val="22"/>
              </w:rPr>
              <w:t xml:space="preserve"> relatives à la culture</w:t>
            </w:r>
          </w:p>
        </w:tc>
      </w:tr>
      <w:tr w:rsidR="009B7C08" w:rsidRPr="007C392A" w14:paraId="1730F0C4" w14:textId="77777777" w:rsidTr="00B04CDE">
        <w:tc>
          <w:tcPr>
            <w:tcW w:w="6059" w:type="dxa"/>
          </w:tcPr>
          <w:p w14:paraId="23CD923F" w14:textId="7BC9CC59" w:rsidR="009B7C08" w:rsidRPr="00942976" w:rsidRDefault="009B7C08" w:rsidP="00B04CDE">
            <w:pPr>
              <w:spacing w:after="120"/>
              <w:ind w:left="567" w:hanging="567"/>
              <w:jc w:val="both"/>
              <w:rPr>
                <w:rFonts w:ascii="Arial" w:hAnsi="Arial" w:cs="Arial"/>
                <w:snapToGrid w:val="0"/>
                <w:sz w:val="22"/>
                <w:szCs w:val="22"/>
              </w:rPr>
            </w:pPr>
            <w:r>
              <w:rPr>
                <w:rFonts w:ascii="Arial" w:hAnsi="Arial"/>
                <w:snapToGrid w:val="0"/>
                <w:sz w:val="22"/>
                <w:szCs w:val="22"/>
              </w:rPr>
              <w:t>94.</w:t>
            </w:r>
            <w:r>
              <w:rPr>
                <w:rFonts w:ascii="Arial" w:hAnsi="Arial"/>
                <w:snapToGrid w:val="0"/>
                <w:sz w:val="22"/>
                <w:szCs w:val="22"/>
              </w:rPr>
              <w:tab/>
              <w:t>Un meilleur équilibre en termes d</w:t>
            </w:r>
            <w:r w:rsidR="00DD2F89">
              <w:rPr>
                <w:rFonts w:ascii="Arial" w:hAnsi="Arial"/>
                <w:snapToGrid w:val="0"/>
                <w:sz w:val="22"/>
                <w:szCs w:val="22"/>
              </w:rPr>
              <w:t>’</w:t>
            </w:r>
            <w:r>
              <w:rPr>
                <w:rFonts w:ascii="Arial" w:hAnsi="Arial"/>
                <w:snapToGrid w:val="0"/>
                <w:sz w:val="22"/>
                <w:szCs w:val="22"/>
              </w:rPr>
              <w:t xml:space="preserve">allocation équitable des ressources humaines et financières à toutes les conventions </w:t>
            </w:r>
            <w:r w:rsidR="00401E2F" w:rsidRPr="00693AD7">
              <w:rPr>
                <w:rFonts w:ascii="Arial" w:hAnsi="Arial" w:cs="Arial"/>
                <w:bCs/>
                <w:snapToGrid w:val="0"/>
                <w:sz w:val="22"/>
                <w:szCs w:val="22"/>
              </w:rPr>
              <w:t>relatives à la culture</w:t>
            </w:r>
            <w:r>
              <w:rPr>
                <w:rFonts w:ascii="Arial" w:hAnsi="Arial"/>
                <w:snapToGrid w:val="0"/>
                <w:sz w:val="22"/>
                <w:szCs w:val="22"/>
              </w:rPr>
              <w:t xml:space="preserve"> est souhaité, compte tenu de leur importance au regard du mandat de l</w:t>
            </w:r>
            <w:r w:rsidR="00DD2F89">
              <w:rPr>
                <w:rFonts w:ascii="Arial" w:hAnsi="Arial"/>
                <w:snapToGrid w:val="0"/>
                <w:sz w:val="22"/>
                <w:szCs w:val="22"/>
              </w:rPr>
              <w:t>’</w:t>
            </w:r>
            <w:r>
              <w:rPr>
                <w:rFonts w:ascii="Arial" w:hAnsi="Arial"/>
                <w:snapToGrid w:val="0"/>
                <w:sz w:val="22"/>
                <w:szCs w:val="22"/>
              </w:rPr>
              <w:t>UNESCO. Toutes les conventions culturelles ont besoin de ressources supplémentaires pour remplir pleinement leurs objectifs.</w:t>
            </w:r>
          </w:p>
          <w:p w14:paraId="207047FD" w14:textId="77777777" w:rsidR="009B7C08" w:rsidRPr="00E863FC" w:rsidRDefault="00334F6F" w:rsidP="00B04CDE">
            <w:pPr>
              <w:spacing w:after="120"/>
              <w:jc w:val="both"/>
              <w:rPr>
                <w:rFonts w:ascii="Arial" w:hAnsi="Arial" w:cs="Arial"/>
                <w:snapToGrid w:val="0"/>
                <w:sz w:val="22"/>
                <w:szCs w:val="22"/>
                <w:highlight w:val="cyan"/>
              </w:rPr>
            </w:pPr>
            <w:r>
              <w:rPr>
                <w:rFonts w:ascii="Arial" w:hAnsi="Arial"/>
                <w:b/>
                <w:bCs/>
                <w:sz w:val="22"/>
                <w:szCs w:val="22"/>
              </w:rPr>
              <w:t>Action en cours</w:t>
            </w:r>
          </w:p>
        </w:tc>
        <w:tc>
          <w:tcPr>
            <w:tcW w:w="8501" w:type="dxa"/>
            <w:tcBorders>
              <w:right w:val="single" w:sz="4" w:space="0" w:color="auto"/>
            </w:tcBorders>
          </w:tcPr>
          <w:p w14:paraId="0E868B3B" w14:textId="13C30B60" w:rsidR="009B7C08" w:rsidRDefault="009B7C08" w:rsidP="00693AD7">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Les États parties sont directement responsables de la mise en œuvre de cette recommandation. Toutefois, le Secrétariat a mis en lumière la nécessité de renforcer les ressources humaines du Secrétariat pour mettre en œuvre les mécanismes d</w:t>
            </w:r>
            <w:r w:rsidR="00DD2F89">
              <w:rPr>
                <w:rFonts w:ascii="Arial" w:hAnsi="Arial"/>
                <w:snapToGrid w:val="0"/>
                <w:sz w:val="22"/>
                <w:szCs w:val="22"/>
              </w:rPr>
              <w:t>’</w:t>
            </w:r>
            <w:r>
              <w:rPr>
                <w:rFonts w:ascii="Arial" w:hAnsi="Arial"/>
                <w:snapToGrid w:val="0"/>
                <w:sz w:val="22"/>
                <w:szCs w:val="22"/>
              </w:rPr>
              <w:t xml:space="preserve">assistance internationale du Fonds, et notamment pour assurer leur suivi efficace (voir le </w:t>
            </w:r>
            <w:r w:rsidR="00693AD7">
              <w:rPr>
                <w:rFonts w:ascii="Arial" w:hAnsi="Arial"/>
                <w:snapToGrid w:val="0"/>
                <w:sz w:val="22"/>
                <w:szCs w:val="22"/>
              </w:rPr>
              <w:t>document </w:t>
            </w:r>
            <w:hyperlink r:id="rId69" w:history="1">
              <w:r>
                <w:rPr>
                  <w:rStyle w:val="Hyperlink"/>
                  <w:rFonts w:ascii="Arial" w:hAnsi="Arial"/>
                  <w:snapToGrid w:val="0"/>
                  <w:sz w:val="22"/>
                  <w:szCs w:val="22"/>
                </w:rPr>
                <w:t>ITH/17/12.COM/7</w:t>
              </w:r>
            </w:hyperlink>
            <w:r>
              <w:rPr>
                <w:rFonts w:ascii="Arial" w:hAnsi="Arial"/>
                <w:snapToGrid w:val="0"/>
                <w:sz w:val="22"/>
                <w:szCs w:val="22"/>
              </w:rPr>
              <w:t>). En réaction, le Comité a recommandé à l</w:t>
            </w:r>
            <w:r w:rsidR="00DD2F89">
              <w:rPr>
                <w:rFonts w:ascii="Arial" w:hAnsi="Arial"/>
                <w:snapToGrid w:val="0"/>
                <w:sz w:val="22"/>
                <w:szCs w:val="22"/>
              </w:rPr>
              <w:t>’</w:t>
            </w:r>
            <w:r>
              <w:rPr>
                <w:rFonts w:ascii="Arial" w:hAnsi="Arial"/>
                <w:snapToGrid w:val="0"/>
                <w:sz w:val="22"/>
                <w:szCs w:val="22"/>
              </w:rPr>
              <w:t>Assemblée générale d</w:t>
            </w:r>
            <w:r w:rsidR="00DD2F89">
              <w:rPr>
                <w:rFonts w:ascii="Arial" w:hAnsi="Arial"/>
                <w:snapToGrid w:val="0"/>
                <w:sz w:val="22"/>
                <w:szCs w:val="22"/>
              </w:rPr>
              <w:t>’</w:t>
            </w:r>
            <w:r>
              <w:rPr>
                <w:rFonts w:ascii="Arial" w:hAnsi="Arial"/>
                <w:snapToGrid w:val="0"/>
                <w:sz w:val="22"/>
                <w:szCs w:val="22"/>
              </w:rPr>
              <w:t>approuver la création de trois nouveaux postes à durée déterminée financés à l</w:t>
            </w:r>
            <w:r w:rsidR="00DD2F89">
              <w:rPr>
                <w:rFonts w:ascii="Arial" w:hAnsi="Arial"/>
                <w:snapToGrid w:val="0"/>
                <w:sz w:val="22"/>
                <w:szCs w:val="22"/>
              </w:rPr>
              <w:t>’</w:t>
            </w:r>
            <w:r>
              <w:rPr>
                <w:rFonts w:ascii="Arial" w:hAnsi="Arial"/>
                <w:snapToGrid w:val="0"/>
                <w:sz w:val="22"/>
                <w:szCs w:val="22"/>
              </w:rPr>
              <w:t>aide de fonds extrabudgétaires (</w:t>
            </w:r>
            <w:hyperlink r:id="rId70" w:history="1">
              <w:r>
                <w:rPr>
                  <w:rStyle w:val="Hyperlink"/>
                  <w:rFonts w:ascii="Arial" w:hAnsi="Arial"/>
                  <w:snapToGrid w:val="0"/>
                  <w:sz w:val="22"/>
                  <w:szCs w:val="22"/>
                </w:rPr>
                <w:t>décision</w:t>
              </w:r>
              <w:r w:rsidR="00C20BBC">
                <w:rPr>
                  <w:rStyle w:val="Hyperlink"/>
                  <w:rFonts w:ascii="Arial" w:hAnsi="Arial"/>
                  <w:snapToGrid w:val="0"/>
                  <w:sz w:val="22"/>
                  <w:szCs w:val="22"/>
                </w:rPr>
                <w:t> </w:t>
              </w:r>
              <w:r>
                <w:rPr>
                  <w:rStyle w:val="Hyperlink"/>
                  <w:rFonts w:ascii="Arial" w:hAnsi="Arial"/>
                  <w:snapToGrid w:val="0"/>
                  <w:sz w:val="22"/>
                  <w:szCs w:val="22"/>
                </w:rPr>
                <w:t>12.COM 7</w:t>
              </w:r>
            </w:hyperlink>
            <w:r w:rsidRPr="00693AD7">
              <w:rPr>
                <w:rStyle w:val="Hyperlink"/>
                <w:rFonts w:ascii="Arial" w:hAnsi="Arial"/>
                <w:snapToGrid w:val="0"/>
                <w:color w:val="auto"/>
                <w:sz w:val="22"/>
                <w:szCs w:val="22"/>
                <w:u w:val="none"/>
              </w:rPr>
              <w:t>)</w:t>
            </w:r>
            <w:r>
              <w:rPr>
                <w:rFonts w:ascii="Arial" w:hAnsi="Arial"/>
                <w:snapToGrid w:val="0"/>
                <w:sz w:val="22"/>
                <w:szCs w:val="22"/>
              </w:rPr>
              <w:t>.</w:t>
            </w:r>
          </w:p>
          <w:p w14:paraId="5A981380" w14:textId="0C7E918A" w:rsidR="008E2FC2" w:rsidRPr="00EE4900" w:rsidRDefault="008E2FC2" w:rsidP="00A741D3">
            <w:pPr>
              <w:pStyle w:val="ListParagraph"/>
              <w:numPr>
                <w:ilvl w:val="0"/>
                <w:numId w:val="7"/>
              </w:numPr>
              <w:spacing w:after="120"/>
              <w:ind w:left="357" w:hanging="357"/>
              <w:contextualSpacing w:val="0"/>
              <w:jc w:val="both"/>
              <w:rPr>
                <w:rFonts w:ascii="Arial" w:hAnsi="Arial" w:cs="Arial"/>
                <w:snapToGrid w:val="0"/>
                <w:sz w:val="22"/>
                <w:szCs w:val="22"/>
                <w:u w:val="single"/>
              </w:rPr>
            </w:pPr>
            <w:r>
              <w:rPr>
                <w:rFonts w:ascii="Arial" w:hAnsi="Arial"/>
                <w:b/>
                <w:snapToGrid w:val="0"/>
                <w:sz w:val="22"/>
                <w:szCs w:val="22"/>
                <w:u w:val="single"/>
              </w:rPr>
              <w:t>Mise à jour</w:t>
            </w:r>
            <w:r w:rsidRPr="00742D54">
              <w:rPr>
                <w:rFonts w:ascii="Arial" w:hAnsi="Arial"/>
                <w:bCs/>
                <w:snapToGrid w:val="0"/>
                <w:sz w:val="22"/>
                <w:szCs w:val="22"/>
                <w:u w:val="single"/>
              </w:rPr>
              <w:t> :</w:t>
            </w:r>
            <w:r>
              <w:rPr>
                <w:rFonts w:ascii="Arial" w:hAnsi="Arial"/>
                <w:snapToGrid w:val="0"/>
                <w:sz w:val="22"/>
                <w:szCs w:val="22"/>
                <w:u w:val="single"/>
              </w:rPr>
              <w:t xml:space="preserve"> lors de sa septième session en juin 2018, l</w:t>
            </w:r>
            <w:r w:rsidR="00DD2F89">
              <w:rPr>
                <w:rFonts w:ascii="Arial" w:hAnsi="Arial"/>
                <w:snapToGrid w:val="0"/>
                <w:sz w:val="22"/>
                <w:szCs w:val="22"/>
                <w:u w:val="single"/>
              </w:rPr>
              <w:t>’</w:t>
            </w:r>
            <w:r>
              <w:rPr>
                <w:rFonts w:ascii="Arial" w:hAnsi="Arial"/>
                <w:snapToGrid w:val="0"/>
                <w:sz w:val="22"/>
                <w:szCs w:val="22"/>
                <w:u w:val="single"/>
              </w:rPr>
              <w:t>Assemblée générale a approuvé la création de trois postes à durée déterminée financés à l</w:t>
            </w:r>
            <w:r w:rsidR="00DD2F89">
              <w:rPr>
                <w:rFonts w:ascii="Arial" w:hAnsi="Arial"/>
                <w:snapToGrid w:val="0"/>
                <w:sz w:val="22"/>
                <w:szCs w:val="22"/>
                <w:u w:val="single"/>
              </w:rPr>
              <w:t>’</w:t>
            </w:r>
            <w:r>
              <w:rPr>
                <w:rFonts w:ascii="Arial" w:hAnsi="Arial"/>
                <w:snapToGrid w:val="0"/>
                <w:sz w:val="22"/>
                <w:szCs w:val="22"/>
                <w:u w:val="single"/>
              </w:rPr>
              <w:t>aide de fonds extrabudgétaires, notamment par le Fonds du patrimoine culturel immatériel pour la mise en œuvre des mécanismes de l</w:t>
            </w:r>
            <w:r w:rsidR="00DD2F89">
              <w:rPr>
                <w:rFonts w:ascii="Arial" w:hAnsi="Arial"/>
                <w:snapToGrid w:val="0"/>
                <w:sz w:val="22"/>
                <w:szCs w:val="22"/>
                <w:u w:val="single"/>
              </w:rPr>
              <w:t>’</w:t>
            </w:r>
            <w:r>
              <w:rPr>
                <w:rFonts w:ascii="Arial" w:hAnsi="Arial"/>
                <w:snapToGrid w:val="0"/>
                <w:sz w:val="22"/>
                <w:szCs w:val="22"/>
                <w:u w:val="single"/>
              </w:rPr>
              <w:t>assistance internationale relevant du Fonds ; le recrutement pour ces postes est en cours au moment de la rédaction du présent document.</w:t>
            </w:r>
          </w:p>
        </w:tc>
      </w:tr>
      <w:tr w:rsidR="009B7C08" w:rsidRPr="007C392A" w14:paraId="692663C5" w14:textId="77777777" w:rsidTr="00B04CDE">
        <w:tc>
          <w:tcPr>
            <w:tcW w:w="6059" w:type="dxa"/>
          </w:tcPr>
          <w:p w14:paraId="4B914BD2" w14:textId="43D2D156" w:rsidR="009B7C08" w:rsidRPr="00942976" w:rsidRDefault="009B7C08" w:rsidP="00B04CDE">
            <w:pPr>
              <w:spacing w:after="120"/>
              <w:ind w:left="567" w:hanging="567"/>
              <w:jc w:val="both"/>
              <w:rPr>
                <w:rFonts w:ascii="Arial" w:hAnsi="Arial" w:cs="Arial"/>
                <w:snapToGrid w:val="0"/>
                <w:sz w:val="22"/>
                <w:szCs w:val="22"/>
              </w:rPr>
            </w:pPr>
            <w:r>
              <w:rPr>
                <w:rFonts w:ascii="Arial" w:hAnsi="Arial"/>
                <w:snapToGrid w:val="0"/>
                <w:sz w:val="22"/>
                <w:szCs w:val="22"/>
              </w:rPr>
              <w:t>96.</w:t>
            </w:r>
            <w:r>
              <w:rPr>
                <w:rFonts w:ascii="Arial" w:hAnsi="Arial"/>
                <w:snapToGrid w:val="0"/>
                <w:sz w:val="22"/>
                <w:szCs w:val="22"/>
              </w:rPr>
              <w:tab/>
              <w:t>Les organes directeurs des conventions sont invités, par voie de larges consultations, à étudier de façon plus approfondie, le cas échéant, l</w:t>
            </w:r>
            <w:r w:rsidR="00DD2F89">
              <w:rPr>
                <w:rFonts w:ascii="Arial" w:hAnsi="Arial"/>
                <w:snapToGrid w:val="0"/>
                <w:sz w:val="22"/>
                <w:szCs w:val="22"/>
              </w:rPr>
              <w:t>’</w:t>
            </w:r>
            <w:r>
              <w:rPr>
                <w:rFonts w:ascii="Arial" w:hAnsi="Arial"/>
                <w:snapToGrid w:val="0"/>
                <w:sz w:val="22"/>
                <w:szCs w:val="22"/>
              </w:rPr>
              <w:t>harmonisation des règlements intérieurs et la cohérence des procédures de prise de décisions, en tenant compte de leurs mandats respectifs et de leurs particularités. Ils peuvent s</w:t>
            </w:r>
            <w:r w:rsidR="00DD2F89">
              <w:rPr>
                <w:rFonts w:ascii="Arial" w:hAnsi="Arial"/>
                <w:snapToGrid w:val="0"/>
                <w:sz w:val="22"/>
                <w:szCs w:val="22"/>
              </w:rPr>
              <w:t>’</w:t>
            </w:r>
            <w:r>
              <w:rPr>
                <w:rFonts w:ascii="Arial" w:hAnsi="Arial"/>
                <w:snapToGrid w:val="0"/>
                <w:sz w:val="22"/>
                <w:szCs w:val="22"/>
              </w:rPr>
              <w:t>inspirer des bonnes pratiques des traités environnementaux/PNUE pour développer des synergies en matière d</w:t>
            </w:r>
            <w:r w:rsidR="00DD2F89">
              <w:rPr>
                <w:rFonts w:ascii="Arial" w:hAnsi="Arial"/>
                <w:snapToGrid w:val="0"/>
                <w:sz w:val="22"/>
                <w:szCs w:val="22"/>
              </w:rPr>
              <w:t>’</w:t>
            </w:r>
            <w:r>
              <w:rPr>
                <w:rFonts w:ascii="Arial" w:hAnsi="Arial"/>
                <w:snapToGrid w:val="0"/>
                <w:sz w:val="22"/>
                <w:szCs w:val="22"/>
              </w:rPr>
              <w:t>organisation, de partage de l</w:t>
            </w:r>
            <w:r w:rsidR="00DD2F89">
              <w:rPr>
                <w:rFonts w:ascii="Arial" w:hAnsi="Arial"/>
                <w:snapToGrid w:val="0"/>
                <w:sz w:val="22"/>
                <w:szCs w:val="22"/>
              </w:rPr>
              <w:t>’</w:t>
            </w:r>
            <w:r>
              <w:rPr>
                <w:rFonts w:ascii="Arial" w:hAnsi="Arial"/>
                <w:snapToGrid w:val="0"/>
                <w:sz w:val="22"/>
                <w:szCs w:val="22"/>
              </w:rPr>
              <w:t>information et de rationalisation des coûts.</w:t>
            </w:r>
          </w:p>
          <w:p w14:paraId="20168F1B" w14:textId="77777777" w:rsidR="009B7C08" w:rsidRPr="00E863FC" w:rsidRDefault="00334F6F" w:rsidP="00B04CDE">
            <w:pPr>
              <w:spacing w:after="120"/>
              <w:jc w:val="both"/>
              <w:rPr>
                <w:rFonts w:ascii="Arial" w:hAnsi="Arial" w:cs="Arial"/>
                <w:snapToGrid w:val="0"/>
                <w:sz w:val="22"/>
                <w:szCs w:val="22"/>
                <w:highlight w:val="cyan"/>
              </w:rPr>
            </w:pPr>
            <w:r>
              <w:rPr>
                <w:rFonts w:ascii="Arial" w:hAnsi="Arial"/>
                <w:b/>
                <w:bCs/>
                <w:sz w:val="22"/>
                <w:szCs w:val="22"/>
              </w:rPr>
              <w:lastRenderedPageBreak/>
              <w:t>Action en cours</w:t>
            </w:r>
          </w:p>
        </w:tc>
        <w:tc>
          <w:tcPr>
            <w:tcW w:w="8501" w:type="dxa"/>
          </w:tcPr>
          <w:p w14:paraId="1C7CD428" w14:textId="2F65B193" w:rsidR="009B7C08" w:rsidRDefault="009B7C08" w:rsidP="00401E2F">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lastRenderedPageBreak/>
              <w:t xml:space="preserve">Par sa </w:t>
            </w:r>
            <w:hyperlink r:id="rId71" w:history="1">
              <w:r w:rsidR="00B14159">
                <w:rPr>
                  <w:rStyle w:val="Hyperlink"/>
                  <w:rFonts w:ascii="Arial" w:hAnsi="Arial"/>
                  <w:snapToGrid w:val="0"/>
                  <w:sz w:val="22"/>
                  <w:szCs w:val="22"/>
                </w:rPr>
                <w:t>r</w:t>
              </w:r>
              <w:r>
                <w:rPr>
                  <w:rStyle w:val="Hyperlink"/>
                  <w:rFonts w:ascii="Arial" w:hAnsi="Arial"/>
                  <w:snapToGrid w:val="0"/>
                  <w:sz w:val="22"/>
                  <w:szCs w:val="22"/>
                </w:rPr>
                <w:t>ésolution 6.GA 11</w:t>
              </w:r>
            </w:hyperlink>
            <w:r>
              <w:rPr>
                <w:rFonts w:ascii="Arial" w:hAnsi="Arial"/>
                <w:snapToGrid w:val="0"/>
                <w:sz w:val="22"/>
                <w:szCs w:val="22"/>
              </w:rPr>
              <w:t>, l</w:t>
            </w:r>
            <w:r w:rsidR="00DD2F89">
              <w:rPr>
                <w:rFonts w:ascii="Arial" w:hAnsi="Arial"/>
                <w:snapToGrid w:val="0"/>
                <w:sz w:val="22"/>
                <w:szCs w:val="22"/>
              </w:rPr>
              <w:t>’</w:t>
            </w:r>
            <w:r>
              <w:rPr>
                <w:rFonts w:ascii="Arial" w:hAnsi="Arial"/>
                <w:snapToGrid w:val="0"/>
                <w:sz w:val="22"/>
                <w:szCs w:val="22"/>
              </w:rPr>
              <w:t>Assemblée générale a invité les États parties à proposer des modifications à son Règlement intérieur afin d</w:t>
            </w:r>
            <w:r w:rsidR="00DD2F89">
              <w:rPr>
                <w:rFonts w:ascii="Arial" w:hAnsi="Arial"/>
                <w:snapToGrid w:val="0"/>
                <w:sz w:val="22"/>
                <w:szCs w:val="22"/>
              </w:rPr>
              <w:t>’</w:t>
            </w:r>
            <w:r>
              <w:rPr>
                <w:rFonts w:ascii="Arial" w:hAnsi="Arial"/>
                <w:snapToGrid w:val="0"/>
                <w:sz w:val="22"/>
                <w:szCs w:val="22"/>
              </w:rPr>
              <w:t>améliorer la cohérence des règlements intérieurs des différents organes des conventions culturelles de l</w:t>
            </w:r>
            <w:r w:rsidR="00DD2F89">
              <w:rPr>
                <w:rFonts w:ascii="Arial" w:hAnsi="Arial"/>
                <w:snapToGrid w:val="0"/>
                <w:sz w:val="22"/>
                <w:szCs w:val="22"/>
              </w:rPr>
              <w:t>’</w:t>
            </w:r>
            <w:r>
              <w:rPr>
                <w:rFonts w:ascii="Arial" w:hAnsi="Arial"/>
                <w:snapToGrid w:val="0"/>
                <w:sz w:val="22"/>
                <w:szCs w:val="22"/>
              </w:rPr>
              <w:t>UNESCO. Un point concernant l</w:t>
            </w:r>
            <w:r w:rsidR="00DD2F89">
              <w:rPr>
                <w:rFonts w:ascii="Arial" w:hAnsi="Arial"/>
                <w:snapToGrid w:val="0"/>
                <w:sz w:val="22"/>
                <w:szCs w:val="22"/>
              </w:rPr>
              <w:t>’</w:t>
            </w:r>
            <w:r>
              <w:rPr>
                <w:rFonts w:ascii="Arial" w:hAnsi="Arial"/>
                <w:snapToGrid w:val="0"/>
                <w:sz w:val="22"/>
                <w:szCs w:val="22"/>
              </w:rPr>
              <w:t xml:space="preserve">examen des propositions reçues </w:t>
            </w:r>
            <w:r w:rsidR="00401E2F">
              <w:rPr>
                <w:rFonts w:ascii="Arial" w:hAnsi="Arial"/>
                <w:snapToGrid w:val="0"/>
                <w:sz w:val="22"/>
                <w:szCs w:val="22"/>
              </w:rPr>
              <w:t xml:space="preserve">a </w:t>
            </w:r>
            <w:r>
              <w:rPr>
                <w:rFonts w:ascii="Arial" w:hAnsi="Arial"/>
                <w:snapToGrid w:val="0"/>
                <w:sz w:val="22"/>
                <w:szCs w:val="22"/>
              </w:rPr>
              <w:t>figur</w:t>
            </w:r>
            <w:r w:rsidR="00401E2F">
              <w:rPr>
                <w:rFonts w:ascii="Arial" w:hAnsi="Arial"/>
                <w:snapToGrid w:val="0"/>
                <w:sz w:val="22"/>
                <w:szCs w:val="22"/>
              </w:rPr>
              <w:t>é</w:t>
            </w:r>
            <w:r>
              <w:rPr>
                <w:rFonts w:ascii="Arial" w:hAnsi="Arial"/>
                <w:snapToGrid w:val="0"/>
                <w:sz w:val="22"/>
                <w:szCs w:val="22"/>
              </w:rPr>
              <w:t xml:space="preserve"> à l</w:t>
            </w:r>
            <w:r w:rsidR="00DD2F89">
              <w:rPr>
                <w:rFonts w:ascii="Arial" w:hAnsi="Arial"/>
                <w:snapToGrid w:val="0"/>
                <w:sz w:val="22"/>
                <w:szCs w:val="22"/>
              </w:rPr>
              <w:t>’</w:t>
            </w:r>
            <w:r>
              <w:rPr>
                <w:rFonts w:ascii="Arial" w:hAnsi="Arial"/>
                <w:snapToGrid w:val="0"/>
                <w:sz w:val="22"/>
                <w:szCs w:val="22"/>
              </w:rPr>
              <w:t xml:space="preserve">ordre du jour de la </w:t>
            </w:r>
            <w:r w:rsidR="00401E2F">
              <w:rPr>
                <w:rFonts w:ascii="Arial" w:hAnsi="Arial"/>
                <w:snapToGrid w:val="0"/>
                <w:sz w:val="22"/>
                <w:szCs w:val="22"/>
              </w:rPr>
              <w:t xml:space="preserve">septième </w:t>
            </w:r>
            <w:r>
              <w:rPr>
                <w:rFonts w:ascii="Arial" w:hAnsi="Arial"/>
                <w:snapToGrid w:val="0"/>
                <w:sz w:val="22"/>
                <w:szCs w:val="22"/>
              </w:rPr>
              <w:t>session de l</w:t>
            </w:r>
            <w:r w:rsidR="00DD2F89">
              <w:rPr>
                <w:rFonts w:ascii="Arial" w:hAnsi="Arial"/>
                <w:snapToGrid w:val="0"/>
                <w:sz w:val="22"/>
                <w:szCs w:val="22"/>
              </w:rPr>
              <w:t>’</w:t>
            </w:r>
            <w:r>
              <w:rPr>
                <w:rFonts w:ascii="Arial" w:hAnsi="Arial"/>
                <w:snapToGrid w:val="0"/>
                <w:sz w:val="22"/>
                <w:szCs w:val="22"/>
              </w:rPr>
              <w:t>Assemblée générale (voir le document </w:t>
            </w:r>
            <w:hyperlink r:id="rId72" w:history="1">
              <w:r>
                <w:rPr>
                  <w:rStyle w:val="Hyperlink"/>
                  <w:rFonts w:ascii="Arial" w:hAnsi="Arial"/>
                  <w:snapToGrid w:val="0"/>
                  <w:sz w:val="22"/>
                  <w:szCs w:val="22"/>
                </w:rPr>
                <w:t>ITH/18/7.GA/13</w:t>
              </w:r>
            </w:hyperlink>
            <w:r>
              <w:rPr>
                <w:rFonts w:ascii="Arial" w:hAnsi="Arial"/>
                <w:snapToGrid w:val="0"/>
                <w:sz w:val="22"/>
                <w:szCs w:val="22"/>
              </w:rPr>
              <w:t>).</w:t>
            </w:r>
          </w:p>
          <w:p w14:paraId="7BE3B1BC" w14:textId="4B2C5204" w:rsidR="00B341EF" w:rsidRDefault="00236BBD" w:rsidP="00693AD7">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b/>
                <w:snapToGrid w:val="0"/>
                <w:sz w:val="22"/>
                <w:szCs w:val="22"/>
                <w:u w:val="single"/>
              </w:rPr>
              <w:t>Mise à jour</w:t>
            </w:r>
            <w:r>
              <w:rPr>
                <w:rFonts w:ascii="Arial" w:hAnsi="Arial"/>
                <w:snapToGrid w:val="0"/>
                <w:sz w:val="22"/>
                <w:szCs w:val="22"/>
                <w:u w:val="single"/>
              </w:rPr>
              <w:t xml:space="preserve"> : à la suite des </w:t>
            </w:r>
            <w:r w:rsidR="005E2285" w:rsidRPr="00693AD7">
              <w:rPr>
                <w:rFonts w:ascii="Arial" w:hAnsi="Arial"/>
                <w:snapToGrid w:val="0"/>
                <w:sz w:val="22"/>
                <w:szCs w:val="22"/>
                <w:u w:val="single"/>
              </w:rPr>
              <w:t>r</w:t>
            </w:r>
            <w:r w:rsidRPr="00693AD7">
              <w:rPr>
                <w:rFonts w:ascii="Arial" w:hAnsi="Arial"/>
                <w:snapToGrid w:val="0"/>
                <w:sz w:val="22"/>
                <w:szCs w:val="22"/>
                <w:u w:val="single"/>
              </w:rPr>
              <w:t>ésolutions </w:t>
            </w:r>
            <w:hyperlink r:id="rId73" w:history="1">
              <w:r w:rsidRPr="00693AD7">
                <w:rPr>
                  <w:rStyle w:val="Hyperlink"/>
                  <w:rFonts w:ascii="Arial" w:hAnsi="Arial"/>
                  <w:snapToGrid w:val="0"/>
                  <w:sz w:val="22"/>
                  <w:szCs w:val="22"/>
                </w:rPr>
                <w:t>7.GA 12</w:t>
              </w:r>
            </w:hyperlink>
            <w:r w:rsidRPr="00693AD7">
              <w:rPr>
                <w:rFonts w:ascii="Arial" w:hAnsi="Arial"/>
                <w:snapToGrid w:val="0"/>
                <w:sz w:val="22"/>
                <w:szCs w:val="22"/>
                <w:u w:val="single"/>
              </w:rPr>
              <w:t xml:space="preserve"> et </w:t>
            </w:r>
            <w:hyperlink r:id="rId74" w:history="1">
              <w:r w:rsidRPr="00693AD7">
                <w:rPr>
                  <w:rStyle w:val="Hyperlink"/>
                  <w:rFonts w:ascii="Arial" w:hAnsi="Arial"/>
                  <w:snapToGrid w:val="0"/>
                  <w:sz w:val="22"/>
                  <w:szCs w:val="22"/>
                </w:rPr>
                <w:t>7.GA 13</w:t>
              </w:r>
            </w:hyperlink>
            <w:r>
              <w:rPr>
                <w:rFonts w:ascii="Arial" w:hAnsi="Arial"/>
                <w:snapToGrid w:val="0"/>
                <w:sz w:val="22"/>
                <w:szCs w:val="22"/>
                <w:u w:val="single"/>
              </w:rPr>
              <w:t>, une révision d</w:t>
            </w:r>
            <w:r w:rsidR="00693AD7">
              <w:rPr>
                <w:rFonts w:ascii="Arial" w:hAnsi="Arial"/>
                <w:snapToGrid w:val="0"/>
                <w:sz w:val="22"/>
                <w:szCs w:val="22"/>
                <w:u w:val="single"/>
              </w:rPr>
              <w:t>u</w:t>
            </w:r>
            <w:r>
              <w:rPr>
                <w:rFonts w:ascii="Arial" w:hAnsi="Arial"/>
                <w:snapToGrid w:val="0"/>
                <w:sz w:val="22"/>
                <w:szCs w:val="22"/>
                <w:u w:val="single"/>
              </w:rPr>
              <w:t xml:space="preserve"> Règlement intérieur </w:t>
            </w:r>
            <w:r w:rsidR="00693AD7">
              <w:rPr>
                <w:rFonts w:ascii="Arial" w:hAnsi="Arial"/>
                <w:snapToGrid w:val="0"/>
                <w:sz w:val="22"/>
                <w:szCs w:val="22"/>
                <w:u w:val="single"/>
              </w:rPr>
              <w:t xml:space="preserve">de l’Assemblée générale </w:t>
            </w:r>
            <w:r>
              <w:rPr>
                <w:rFonts w:ascii="Arial" w:hAnsi="Arial"/>
                <w:snapToGrid w:val="0"/>
                <w:sz w:val="22"/>
                <w:szCs w:val="22"/>
                <w:u w:val="single"/>
              </w:rPr>
              <w:t>sera présentée à la huitième session de l</w:t>
            </w:r>
            <w:r w:rsidR="00DD2F89">
              <w:rPr>
                <w:rFonts w:ascii="Arial" w:hAnsi="Arial"/>
                <w:snapToGrid w:val="0"/>
                <w:sz w:val="22"/>
                <w:szCs w:val="22"/>
                <w:u w:val="single"/>
              </w:rPr>
              <w:t>’</w:t>
            </w:r>
            <w:r>
              <w:rPr>
                <w:rFonts w:ascii="Arial" w:hAnsi="Arial"/>
                <w:snapToGrid w:val="0"/>
                <w:sz w:val="22"/>
                <w:szCs w:val="22"/>
                <w:u w:val="single"/>
              </w:rPr>
              <w:t>Assemblée générale en 2020.</w:t>
            </w:r>
          </w:p>
        </w:tc>
      </w:tr>
      <w:tr w:rsidR="009B7C08" w:rsidRPr="007C392A" w14:paraId="10B6B91F" w14:textId="77777777" w:rsidTr="00B04CDE">
        <w:tc>
          <w:tcPr>
            <w:tcW w:w="6059" w:type="dxa"/>
          </w:tcPr>
          <w:p w14:paraId="00CE5AC1" w14:textId="5219F3AF" w:rsidR="009B7C08" w:rsidRPr="00942976" w:rsidRDefault="009B7C08" w:rsidP="00B04CDE">
            <w:pPr>
              <w:spacing w:after="120"/>
              <w:ind w:left="567" w:hanging="567"/>
              <w:jc w:val="both"/>
              <w:rPr>
                <w:rFonts w:ascii="Arial" w:hAnsi="Arial" w:cs="Arial"/>
                <w:snapToGrid w:val="0"/>
                <w:sz w:val="22"/>
                <w:szCs w:val="22"/>
              </w:rPr>
            </w:pPr>
            <w:r>
              <w:rPr>
                <w:rFonts w:ascii="Arial" w:hAnsi="Arial"/>
                <w:snapToGrid w:val="0"/>
                <w:sz w:val="22"/>
                <w:szCs w:val="22"/>
              </w:rPr>
              <w:t>97.</w:t>
            </w:r>
            <w:r>
              <w:rPr>
                <w:rFonts w:ascii="Arial" w:hAnsi="Arial"/>
                <w:snapToGrid w:val="0"/>
                <w:sz w:val="22"/>
                <w:szCs w:val="22"/>
              </w:rPr>
              <w:tab/>
              <w:t>Les réunions des président(e)s des comités des conventions culturelles pourraient être plus interactives et axées sur l</w:t>
            </w:r>
            <w:r w:rsidR="00DD2F89">
              <w:rPr>
                <w:rFonts w:ascii="Arial" w:hAnsi="Arial"/>
                <w:snapToGrid w:val="0"/>
                <w:sz w:val="22"/>
                <w:szCs w:val="22"/>
              </w:rPr>
              <w:t>’</w:t>
            </w:r>
            <w:r>
              <w:rPr>
                <w:rFonts w:ascii="Arial" w:hAnsi="Arial"/>
                <w:snapToGrid w:val="0"/>
                <w:sz w:val="22"/>
                <w:szCs w:val="22"/>
              </w:rPr>
              <w:t>action. Les président(e)s devraient travailler ensemble de manière stratégique pour aborder les thèmes et les défis communs, étudier des réponses communes et envisager une coopération.</w:t>
            </w:r>
          </w:p>
          <w:p w14:paraId="077C5DF5" w14:textId="28912597" w:rsidR="009B7C08" w:rsidRPr="00E863FC" w:rsidRDefault="00742D54" w:rsidP="00B04CDE">
            <w:pPr>
              <w:spacing w:after="120"/>
              <w:jc w:val="both"/>
              <w:rPr>
                <w:rFonts w:ascii="Arial" w:hAnsi="Arial" w:cs="Arial"/>
                <w:snapToGrid w:val="0"/>
                <w:sz w:val="22"/>
                <w:szCs w:val="22"/>
                <w:highlight w:val="cyan"/>
              </w:rPr>
            </w:pPr>
            <w:r>
              <w:rPr>
                <w:rFonts w:ascii="Arial" w:hAnsi="Arial"/>
                <w:b/>
                <w:bCs/>
                <w:sz w:val="22"/>
                <w:szCs w:val="22"/>
              </w:rPr>
              <w:t>Action proposée</w:t>
            </w:r>
          </w:p>
        </w:tc>
        <w:tc>
          <w:tcPr>
            <w:tcW w:w="8501" w:type="dxa"/>
          </w:tcPr>
          <w:p w14:paraId="492D2A31"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La mise en œuvre de cette recommandation doit se faire au niveau du Secteur de la culture.</w:t>
            </w:r>
          </w:p>
          <w:p w14:paraId="64B862E4" w14:textId="77777777" w:rsidR="009B7C08" w:rsidRPr="00942976"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Groupe de liaisons des conventions culturelles, rassemblant les secrétaires des six conventions culturelles et les hauts responsables du Secteur de la culture, se réunit régulièrement pour partager des informations. Des sous-groupes sur différents sujets (rapports périodiques, assistance internationale, etc.) partagent également des ressources et des méthodologies.</w:t>
            </w:r>
          </w:p>
        </w:tc>
      </w:tr>
      <w:tr w:rsidR="009B7C08" w:rsidRPr="00C366C0" w14:paraId="15EB9E90" w14:textId="77777777" w:rsidTr="00B04CDE">
        <w:tc>
          <w:tcPr>
            <w:tcW w:w="6059" w:type="dxa"/>
          </w:tcPr>
          <w:p w14:paraId="4CE88A24" w14:textId="77777777" w:rsidR="009B7C08" w:rsidRDefault="009B7C08" w:rsidP="00A741D3">
            <w:pPr>
              <w:pStyle w:val="ListParagraph"/>
              <w:numPr>
                <w:ilvl w:val="0"/>
                <w:numId w:val="13"/>
              </w:numPr>
              <w:spacing w:after="120"/>
              <w:ind w:left="567" w:hanging="567"/>
              <w:contextualSpacing w:val="0"/>
              <w:jc w:val="both"/>
              <w:rPr>
                <w:rFonts w:ascii="Arial" w:hAnsi="Arial" w:cs="Arial"/>
                <w:snapToGrid w:val="0"/>
                <w:sz w:val="22"/>
                <w:szCs w:val="22"/>
              </w:rPr>
            </w:pPr>
            <w:r>
              <w:rPr>
                <w:rFonts w:ascii="Arial" w:hAnsi="Arial"/>
                <w:snapToGrid w:val="0"/>
                <w:sz w:val="22"/>
                <w:szCs w:val="22"/>
              </w:rPr>
              <w:t>Les mesures de transparence et de reddition de comptes pourraient être améliorées, notamment la diffusion des procès-verbaux/principaux résultats des réunions des bureaux.</w:t>
            </w:r>
          </w:p>
          <w:p w14:paraId="1008638B" w14:textId="18B8D5CF" w:rsidR="009B7C08" w:rsidRPr="00B14159" w:rsidRDefault="009B7C08" w:rsidP="00693AD7">
            <w:pPr>
              <w:spacing w:after="120"/>
              <w:contextualSpacing/>
              <w:rPr>
                <w:rFonts w:ascii="Arial" w:hAnsi="Arial" w:cs="Arial"/>
                <w:snapToGrid w:val="0"/>
                <w:sz w:val="22"/>
                <w:szCs w:val="22"/>
              </w:rPr>
            </w:pPr>
            <w:r>
              <w:rPr>
                <w:rFonts w:ascii="Arial" w:hAnsi="Arial"/>
                <w:b/>
                <w:bCs/>
                <w:snapToGrid w:val="0"/>
                <w:sz w:val="22"/>
                <w:szCs w:val="22"/>
              </w:rPr>
              <w:t>Mise en œuvre achevée</w:t>
            </w:r>
            <w:r w:rsidR="00742D54">
              <w:rPr>
                <w:rFonts w:ascii="Arial" w:hAnsi="Arial"/>
                <w:b/>
                <w:bCs/>
                <w:snapToGrid w:val="0"/>
                <w:sz w:val="22"/>
                <w:szCs w:val="22"/>
              </w:rPr>
              <w:br/>
            </w:r>
            <w:r>
              <w:rPr>
                <w:rFonts w:ascii="Arial" w:hAnsi="Arial"/>
                <w:b/>
                <w:bCs/>
                <w:snapToGrid w:val="0"/>
                <w:sz w:val="22"/>
                <w:szCs w:val="22"/>
              </w:rPr>
              <w:t>(Bonne pratique)</w:t>
            </w:r>
          </w:p>
        </w:tc>
        <w:tc>
          <w:tcPr>
            <w:tcW w:w="8501" w:type="dxa"/>
          </w:tcPr>
          <w:p w14:paraId="2CDF8485" w14:textId="77777777" w:rsidR="009B7C08" w:rsidRPr="001F1B91"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Voir la recommandation 69.</w:t>
            </w:r>
          </w:p>
        </w:tc>
      </w:tr>
      <w:tr w:rsidR="009B7C08" w:rsidRPr="007C392A" w14:paraId="1C2D49FF" w14:textId="77777777" w:rsidTr="00B04CDE">
        <w:tc>
          <w:tcPr>
            <w:tcW w:w="6059" w:type="dxa"/>
          </w:tcPr>
          <w:p w14:paraId="0B2EAF4A" w14:textId="77777777" w:rsidR="009B7C08" w:rsidRDefault="009B7C08" w:rsidP="00A741D3">
            <w:pPr>
              <w:pStyle w:val="ListParagraph"/>
              <w:numPr>
                <w:ilvl w:val="0"/>
                <w:numId w:val="13"/>
              </w:numPr>
              <w:spacing w:after="120"/>
              <w:ind w:left="562" w:hanging="562"/>
              <w:contextualSpacing w:val="0"/>
              <w:jc w:val="both"/>
              <w:rPr>
                <w:rFonts w:ascii="Arial" w:hAnsi="Arial" w:cs="Arial"/>
                <w:snapToGrid w:val="0"/>
                <w:sz w:val="22"/>
                <w:szCs w:val="22"/>
              </w:rPr>
            </w:pPr>
            <w:r>
              <w:rPr>
                <w:rFonts w:ascii="Arial" w:hAnsi="Arial"/>
                <w:snapToGrid w:val="0"/>
                <w:sz w:val="22"/>
                <w:szCs w:val="22"/>
              </w:rPr>
              <w:t>Le renforcement des capacités et la formation commune à toutes les conventions culturelles devraient être améliorés.</w:t>
            </w:r>
          </w:p>
          <w:p w14:paraId="19076D79" w14:textId="78281449" w:rsidR="009B7C08" w:rsidRPr="00B14159" w:rsidRDefault="009B7C08" w:rsidP="00742D54">
            <w:pPr>
              <w:spacing w:after="120"/>
              <w:rPr>
                <w:rFonts w:ascii="Arial" w:hAnsi="Arial" w:cs="Arial"/>
                <w:snapToGrid w:val="0"/>
                <w:sz w:val="22"/>
                <w:szCs w:val="22"/>
              </w:rPr>
            </w:pPr>
            <w:r>
              <w:rPr>
                <w:rFonts w:ascii="Arial" w:hAnsi="Arial"/>
                <w:b/>
                <w:bCs/>
                <w:sz w:val="22"/>
                <w:szCs w:val="22"/>
              </w:rPr>
              <w:t>Action en cours</w:t>
            </w:r>
            <w:r w:rsidR="00742D54">
              <w:rPr>
                <w:rFonts w:ascii="Arial" w:hAnsi="Arial"/>
                <w:b/>
                <w:bCs/>
                <w:sz w:val="22"/>
                <w:szCs w:val="22"/>
              </w:rPr>
              <w:br/>
            </w:r>
            <w:r>
              <w:rPr>
                <w:rFonts w:ascii="Arial" w:hAnsi="Arial"/>
                <w:b/>
                <w:bCs/>
                <w:snapToGrid w:val="0"/>
                <w:sz w:val="22"/>
                <w:szCs w:val="22"/>
              </w:rPr>
              <w:t>(Bonne pratique)</w:t>
            </w:r>
          </w:p>
        </w:tc>
        <w:tc>
          <w:tcPr>
            <w:tcW w:w="8501" w:type="dxa"/>
          </w:tcPr>
          <w:p w14:paraId="4CFF684A" w14:textId="6465A314" w:rsidR="009B7C08" w:rsidRPr="00942976"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Dans le cadre du programme global de renforcement des capacités initié par le Secrétariat en 2009, une série d</w:t>
            </w:r>
            <w:r w:rsidR="00DD2F89">
              <w:rPr>
                <w:rFonts w:ascii="Arial" w:hAnsi="Arial"/>
                <w:snapToGrid w:val="0"/>
                <w:sz w:val="22"/>
                <w:szCs w:val="22"/>
              </w:rPr>
              <w:t>’</w:t>
            </w:r>
            <w:r>
              <w:rPr>
                <w:rFonts w:ascii="Arial" w:hAnsi="Arial"/>
                <w:snapToGrid w:val="0"/>
                <w:sz w:val="22"/>
                <w:szCs w:val="22"/>
              </w:rPr>
              <w:t>outils prévus à cette fin a été élaborée. Ces outils abordent des thèmes tels que l</w:t>
            </w:r>
            <w:r w:rsidR="00DD2F89">
              <w:rPr>
                <w:rFonts w:ascii="Arial" w:hAnsi="Arial"/>
                <w:snapToGrid w:val="0"/>
                <w:sz w:val="22"/>
                <w:szCs w:val="22"/>
              </w:rPr>
              <w:t>’</w:t>
            </w:r>
            <w:r>
              <w:rPr>
                <w:rFonts w:ascii="Arial" w:hAnsi="Arial"/>
                <w:snapToGrid w:val="0"/>
                <w:sz w:val="22"/>
                <w:szCs w:val="22"/>
              </w:rPr>
              <w:t>UNESCO et ses conventions sur la culture et le patrimoine, en comparant les Conventions de 2003, 1972 et 2005.</w:t>
            </w:r>
          </w:p>
          <w:p w14:paraId="7D50B499" w14:textId="477F8733" w:rsidR="009B7C08" w:rsidRPr="001F1B91"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Néanmoins, ils n</w:t>
            </w:r>
            <w:r w:rsidR="00DD2F89">
              <w:rPr>
                <w:rFonts w:ascii="Arial" w:hAnsi="Arial"/>
                <w:snapToGrid w:val="0"/>
                <w:sz w:val="22"/>
                <w:szCs w:val="22"/>
              </w:rPr>
              <w:t>’</w:t>
            </w:r>
            <w:r>
              <w:rPr>
                <w:rFonts w:ascii="Arial" w:hAnsi="Arial"/>
                <w:snapToGrid w:val="0"/>
                <w:sz w:val="22"/>
                <w:szCs w:val="22"/>
              </w:rPr>
              <w:t>ont pas été mis à jour depuis 2015 à cause de contraintes budgétaires. Il convient de noter que la mise en œuvre du programme global de renforcement des capacités de la Convention de 2003 est fortement tributaire du budget tiré du Fonds du patrimoine culturel immatériel et alloué aux « autres fonctions du Comité » ; ainsi que des contributions volontaires supplémentaires et des Fonds-en-dépôt.</w:t>
            </w:r>
          </w:p>
        </w:tc>
      </w:tr>
      <w:tr w:rsidR="009B7C08" w:rsidRPr="007C392A" w14:paraId="7813F12F" w14:textId="77777777" w:rsidTr="00B04CDE">
        <w:tc>
          <w:tcPr>
            <w:tcW w:w="6059" w:type="dxa"/>
          </w:tcPr>
          <w:p w14:paraId="107C6B38" w14:textId="77777777" w:rsidR="009B7C08" w:rsidRPr="0049025A" w:rsidRDefault="009B7C08" w:rsidP="00A741D3">
            <w:pPr>
              <w:pStyle w:val="ListParagraph"/>
              <w:numPr>
                <w:ilvl w:val="0"/>
                <w:numId w:val="13"/>
              </w:numPr>
              <w:spacing w:after="120"/>
              <w:ind w:left="562" w:hanging="562"/>
              <w:contextualSpacing w:val="0"/>
              <w:jc w:val="both"/>
              <w:rPr>
                <w:rFonts w:ascii="Arial" w:hAnsi="Arial" w:cs="Arial"/>
                <w:snapToGrid w:val="0"/>
                <w:sz w:val="22"/>
                <w:szCs w:val="22"/>
              </w:rPr>
            </w:pPr>
            <w:r>
              <w:rPr>
                <w:rFonts w:ascii="Arial" w:hAnsi="Arial"/>
                <w:snapToGrid w:val="0"/>
                <w:sz w:val="22"/>
                <w:szCs w:val="22"/>
              </w:rPr>
              <w:t>Les organes directeurs des conventions et leurs secrétariats sont encouragés à élaborer des stratégies de ratification adaptées.</w:t>
            </w:r>
          </w:p>
          <w:p w14:paraId="102A03EF" w14:textId="77777777" w:rsidR="009B7C08" w:rsidRPr="0049025A" w:rsidRDefault="009B7C08" w:rsidP="00B04CDE">
            <w:pPr>
              <w:spacing w:after="120"/>
              <w:jc w:val="both"/>
              <w:rPr>
                <w:rFonts w:ascii="Arial" w:hAnsi="Arial" w:cs="Arial"/>
                <w:snapToGrid w:val="0"/>
                <w:sz w:val="22"/>
                <w:szCs w:val="22"/>
              </w:rPr>
            </w:pPr>
            <w:r>
              <w:rPr>
                <w:rFonts w:ascii="Arial" w:hAnsi="Arial"/>
                <w:b/>
                <w:bCs/>
                <w:snapToGrid w:val="0"/>
                <w:sz w:val="22"/>
                <w:szCs w:val="22"/>
              </w:rPr>
              <w:t>Mise en œuvre achevée</w:t>
            </w:r>
          </w:p>
        </w:tc>
        <w:tc>
          <w:tcPr>
            <w:tcW w:w="8501" w:type="dxa"/>
          </w:tcPr>
          <w:p w14:paraId="36E5B154" w14:textId="6D5148C9"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Le travail du Secrétariat en la matière porte ses fruits. Il inclut par exemple l</w:t>
            </w:r>
            <w:r w:rsidR="00DD2F89">
              <w:rPr>
                <w:rFonts w:ascii="Arial" w:hAnsi="Arial"/>
                <w:snapToGrid w:val="0"/>
                <w:sz w:val="22"/>
                <w:szCs w:val="22"/>
              </w:rPr>
              <w:t>’</w:t>
            </w:r>
            <w:r>
              <w:rPr>
                <w:rFonts w:ascii="Arial" w:hAnsi="Arial"/>
                <w:snapToGrid w:val="0"/>
                <w:sz w:val="22"/>
                <w:szCs w:val="22"/>
              </w:rPr>
              <w:t>élaboration d</w:t>
            </w:r>
            <w:r w:rsidR="00DD2F89">
              <w:rPr>
                <w:rFonts w:ascii="Arial" w:hAnsi="Arial"/>
                <w:snapToGrid w:val="0"/>
                <w:sz w:val="22"/>
                <w:szCs w:val="22"/>
              </w:rPr>
              <w:t>’</w:t>
            </w:r>
            <w:r>
              <w:rPr>
                <w:rFonts w:ascii="Arial" w:hAnsi="Arial"/>
                <w:snapToGrid w:val="0"/>
                <w:sz w:val="22"/>
                <w:szCs w:val="22"/>
              </w:rPr>
              <w:t>outils de renforcement des capacités sur les ratifications et l</w:t>
            </w:r>
            <w:r w:rsidR="00DD2F89">
              <w:rPr>
                <w:rFonts w:ascii="Arial" w:hAnsi="Arial"/>
                <w:snapToGrid w:val="0"/>
                <w:sz w:val="22"/>
                <w:szCs w:val="22"/>
              </w:rPr>
              <w:t>’</w:t>
            </w:r>
            <w:r>
              <w:rPr>
                <w:rFonts w:ascii="Arial" w:hAnsi="Arial"/>
                <w:snapToGrid w:val="0"/>
                <w:sz w:val="22"/>
                <w:szCs w:val="22"/>
              </w:rPr>
              <w:t>organisation d</w:t>
            </w:r>
            <w:r w:rsidR="00DD2F89">
              <w:rPr>
                <w:rFonts w:ascii="Arial" w:hAnsi="Arial"/>
                <w:snapToGrid w:val="0"/>
                <w:sz w:val="22"/>
                <w:szCs w:val="22"/>
              </w:rPr>
              <w:t>’</w:t>
            </w:r>
            <w:r>
              <w:rPr>
                <w:rFonts w:ascii="Arial" w:hAnsi="Arial"/>
                <w:snapToGrid w:val="0"/>
                <w:sz w:val="22"/>
                <w:szCs w:val="22"/>
              </w:rPr>
              <w:t>ateliers sur ce sujet ; ainsi que le soutien apporté par des agents régionaux de la Section du patrimoine culturel immatériel aux États qui ne sont pas parties à la Convention. La ratification de la Convention de 2003 est presque universelle, puisque cette dernière compte à la date de rédaction du présent document 177 États parties.</w:t>
            </w:r>
          </w:p>
          <w:p w14:paraId="24D0C4A0" w14:textId="6C900744" w:rsidR="00B341EF" w:rsidRPr="00EE4900" w:rsidRDefault="00B341EF" w:rsidP="00A741D3">
            <w:pPr>
              <w:pStyle w:val="ListParagraph"/>
              <w:numPr>
                <w:ilvl w:val="0"/>
                <w:numId w:val="7"/>
              </w:numPr>
              <w:spacing w:after="120"/>
              <w:ind w:left="357" w:hanging="357"/>
              <w:contextualSpacing w:val="0"/>
              <w:jc w:val="both"/>
              <w:rPr>
                <w:rFonts w:ascii="Arial" w:hAnsi="Arial" w:cs="Arial"/>
                <w:snapToGrid w:val="0"/>
                <w:sz w:val="22"/>
                <w:szCs w:val="22"/>
                <w:u w:val="single"/>
              </w:rPr>
            </w:pPr>
            <w:r>
              <w:rPr>
                <w:rFonts w:ascii="Arial" w:hAnsi="Arial"/>
                <w:b/>
                <w:snapToGrid w:val="0"/>
                <w:sz w:val="22"/>
                <w:szCs w:val="22"/>
                <w:u w:val="single"/>
              </w:rPr>
              <w:lastRenderedPageBreak/>
              <w:t>Mise à jour</w:t>
            </w:r>
            <w:r>
              <w:rPr>
                <w:rFonts w:ascii="Arial" w:hAnsi="Arial"/>
                <w:snapToGrid w:val="0"/>
                <w:sz w:val="22"/>
                <w:szCs w:val="22"/>
                <w:u w:val="single"/>
              </w:rPr>
              <w:t> : le nombre d</w:t>
            </w:r>
            <w:r w:rsidR="00DD2F89">
              <w:rPr>
                <w:rFonts w:ascii="Arial" w:hAnsi="Arial"/>
                <w:snapToGrid w:val="0"/>
                <w:sz w:val="22"/>
                <w:szCs w:val="22"/>
                <w:u w:val="single"/>
              </w:rPr>
              <w:t>’</w:t>
            </w:r>
            <w:r>
              <w:rPr>
                <w:rFonts w:ascii="Arial" w:hAnsi="Arial"/>
                <w:snapToGrid w:val="0"/>
                <w:sz w:val="22"/>
                <w:szCs w:val="22"/>
                <w:u w:val="single"/>
              </w:rPr>
              <w:t>États parties à la Convention de 2003 est de 178 (octobre 2018).</w:t>
            </w:r>
          </w:p>
        </w:tc>
      </w:tr>
      <w:tr w:rsidR="009B7C08" w:rsidRPr="007C392A" w14:paraId="381B6A32" w14:textId="77777777" w:rsidTr="00B04CDE">
        <w:trPr>
          <w:trHeight w:val="340"/>
        </w:trPr>
        <w:tc>
          <w:tcPr>
            <w:tcW w:w="14560" w:type="dxa"/>
            <w:gridSpan w:val="2"/>
            <w:tcBorders>
              <w:right w:val="single" w:sz="4" w:space="0" w:color="auto"/>
            </w:tcBorders>
            <w:shd w:val="clear" w:color="auto" w:fill="F2F2F2" w:themeFill="background1" w:themeFillShade="F2"/>
            <w:vAlign w:val="center"/>
          </w:tcPr>
          <w:p w14:paraId="301887B8" w14:textId="77777777" w:rsidR="009B7C08" w:rsidRPr="0049025A" w:rsidRDefault="009B7C08" w:rsidP="00B04CDE">
            <w:pPr>
              <w:keepNext/>
              <w:rPr>
                <w:rFonts w:ascii="Arial" w:hAnsi="Arial" w:cs="Arial"/>
                <w:b/>
                <w:snapToGrid w:val="0"/>
                <w:sz w:val="22"/>
                <w:szCs w:val="22"/>
              </w:rPr>
            </w:pPr>
            <w:r>
              <w:rPr>
                <w:rFonts w:ascii="Arial" w:hAnsi="Arial"/>
                <w:b/>
                <w:snapToGrid w:val="0"/>
                <w:sz w:val="22"/>
                <w:szCs w:val="22"/>
              </w:rPr>
              <w:lastRenderedPageBreak/>
              <w:t>Convention pour la sauvegarde du patrimoine culturel immatériel (2003)</w:t>
            </w:r>
          </w:p>
        </w:tc>
      </w:tr>
      <w:tr w:rsidR="009B7C08" w:rsidRPr="00B077E8" w14:paraId="0830FF27" w14:textId="77777777" w:rsidTr="00B04CDE">
        <w:tc>
          <w:tcPr>
            <w:tcW w:w="6059" w:type="dxa"/>
          </w:tcPr>
          <w:p w14:paraId="0EC5DD87" w14:textId="77777777" w:rsidR="009B7C08" w:rsidRPr="0000757E" w:rsidRDefault="009B7C08" w:rsidP="00B04CDE">
            <w:pPr>
              <w:spacing w:after="120"/>
              <w:ind w:left="567" w:hanging="567"/>
              <w:jc w:val="both"/>
              <w:rPr>
                <w:rFonts w:ascii="Arial" w:hAnsi="Arial" w:cs="Arial"/>
                <w:snapToGrid w:val="0"/>
                <w:sz w:val="22"/>
                <w:szCs w:val="22"/>
              </w:rPr>
            </w:pPr>
            <w:r>
              <w:rPr>
                <w:rFonts w:ascii="Arial" w:hAnsi="Arial"/>
                <w:snapToGrid w:val="0"/>
                <w:sz w:val="22"/>
                <w:szCs w:val="22"/>
              </w:rPr>
              <w:t>107.</w:t>
            </w:r>
            <w:r>
              <w:rPr>
                <w:rFonts w:ascii="Arial" w:hAnsi="Arial"/>
                <w:snapToGrid w:val="0"/>
                <w:sz w:val="22"/>
                <w:szCs w:val="22"/>
              </w:rPr>
              <w:tab/>
              <w:t>Les procédures décisionnelles et la crédibilité du Comité doivent être renforcées, compte tenu du Groupe de travail ad hoc constitué pour traiter ces questions.</w:t>
            </w:r>
          </w:p>
          <w:p w14:paraId="57D043F5" w14:textId="77777777" w:rsidR="009B7C08" w:rsidRPr="0000757E" w:rsidRDefault="009B7C08" w:rsidP="00B04CDE">
            <w:pPr>
              <w:spacing w:after="120"/>
              <w:jc w:val="both"/>
              <w:rPr>
                <w:rFonts w:ascii="Arial" w:hAnsi="Arial" w:cs="Arial"/>
                <w:snapToGrid w:val="0"/>
                <w:sz w:val="22"/>
                <w:szCs w:val="22"/>
              </w:rPr>
            </w:pPr>
            <w:r>
              <w:rPr>
                <w:rFonts w:ascii="Arial" w:hAnsi="Arial"/>
                <w:b/>
                <w:bCs/>
                <w:sz w:val="22"/>
                <w:szCs w:val="22"/>
              </w:rPr>
              <w:t>Action nécessaire des États parties</w:t>
            </w:r>
          </w:p>
        </w:tc>
        <w:tc>
          <w:tcPr>
            <w:tcW w:w="8501" w:type="dxa"/>
            <w:tcBorders>
              <w:right w:val="single" w:sz="4" w:space="0" w:color="auto"/>
            </w:tcBorders>
          </w:tcPr>
          <w:p w14:paraId="6BCBE585" w14:textId="77777777" w:rsidR="009B7C08" w:rsidRDefault="009B7C08" w:rsidP="00A741D3">
            <w:pPr>
              <w:pStyle w:val="ListParagraph"/>
              <w:numPr>
                <w:ilvl w:val="0"/>
                <w:numId w:val="7"/>
              </w:numPr>
              <w:spacing w:after="120"/>
              <w:ind w:left="357" w:hanging="357"/>
              <w:contextualSpacing w:val="0"/>
              <w:jc w:val="both"/>
              <w:rPr>
                <w:rFonts w:ascii="Arial" w:hAnsi="Arial" w:cs="Arial"/>
                <w:snapToGrid w:val="0"/>
                <w:sz w:val="22"/>
                <w:szCs w:val="22"/>
              </w:rPr>
            </w:pPr>
            <w:r>
              <w:rPr>
                <w:rFonts w:ascii="Arial" w:hAnsi="Arial"/>
                <w:snapToGrid w:val="0"/>
                <w:sz w:val="22"/>
                <w:szCs w:val="22"/>
              </w:rPr>
              <w:t>Voir la recommandation 60.</w:t>
            </w:r>
          </w:p>
        </w:tc>
      </w:tr>
    </w:tbl>
    <w:p w14:paraId="5AB93AEE" w14:textId="77777777" w:rsidR="00404512" w:rsidRDefault="00404512" w:rsidP="00EE4900">
      <w:pPr>
        <w:rPr>
          <w:rFonts w:ascii="Arial" w:hAnsi="Arial" w:cs="Arial"/>
          <w:snapToGrid w:val="0"/>
          <w:sz w:val="22"/>
          <w:szCs w:val="22"/>
          <w:lang w:val="en-GB" w:eastAsia="en-US"/>
        </w:rPr>
      </w:pPr>
    </w:p>
    <w:sectPr w:rsidR="00404512" w:rsidSect="00404512">
      <w:headerReference w:type="even" r:id="rId75"/>
      <w:headerReference w:type="default" r:id="rId76"/>
      <w:headerReference w:type="first" r:id="rId77"/>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1086" w14:textId="77777777" w:rsidR="00173F35" w:rsidRDefault="00173F35" w:rsidP="00655736">
      <w:r>
        <w:separator/>
      </w:r>
    </w:p>
  </w:endnote>
  <w:endnote w:type="continuationSeparator" w:id="0">
    <w:p w14:paraId="245DE813" w14:textId="77777777" w:rsidR="00173F35" w:rsidRDefault="00173F35" w:rsidP="00655736">
      <w:r>
        <w:continuationSeparator/>
      </w:r>
    </w:p>
  </w:endnote>
  <w:endnote w:type="continuationNotice" w:id="1">
    <w:p w14:paraId="3D9FA475" w14:textId="77777777" w:rsidR="00173F35" w:rsidRDefault="00173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BEEC" w14:textId="77777777" w:rsidR="00173F35" w:rsidRDefault="00173F35" w:rsidP="00655736">
      <w:r>
        <w:separator/>
      </w:r>
    </w:p>
  </w:footnote>
  <w:footnote w:type="continuationSeparator" w:id="0">
    <w:p w14:paraId="0ED2BFB1" w14:textId="77777777" w:rsidR="00173F35" w:rsidRDefault="00173F35" w:rsidP="00655736">
      <w:r>
        <w:continuationSeparator/>
      </w:r>
    </w:p>
  </w:footnote>
  <w:footnote w:type="continuationNotice" w:id="1">
    <w:p w14:paraId="09BC890B" w14:textId="77777777" w:rsidR="00173F35" w:rsidRDefault="00173F35"/>
  </w:footnote>
  <w:footnote w:id="2">
    <w:p w14:paraId="03449F58" w14:textId="2B291A60" w:rsidR="00173F35" w:rsidRPr="006409D7" w:rsidRDefault="00173F35" w:rsidP="009B7C08">
      <w:pPr>
        <w:pStyle w:val="FootnoteText"/>
        <w:tabs>
          <w:tab w:val="left" w:pos="567"/>
        </w:tabs>
        <w:ind w:left="567" w:hanging="567"/>
        <w:rPr>
          <w:rFonts w:ascii="Arial" w:eastAsiaTheme="minorEastAsia" w:hAnsi="Arial" w:cs="Arial"/>
          <w:sz w:val="18"/>
          <w:szCs w:val="18"/>
        </w:rPr>
      </w:pPr>
      <w:r>
        <w:rPr>
          <w:rStyle w:val="FootnoteReference"/>
          <w:rFonts w:ascii="Arial" w:hAnsi="Arial" w:cs="Arial"/>
          <w:sz w:val="18"/>
          <w:szCs w:val="18"/>
          <w:vertAlign w:val="baseline"/>
        </w:rPr>
        <w:footnoteRef/>
      </w:r>
      <w:r>
        <w:rPr>
          <w:rFonts w:ascii="Arial" w:hAnsi="Arial"/>
          <w:sz w:val="18"/>
          <w:szCs w:val="18"/>
        </w:rPr>
        <w:t xml:space="preserve">. </w:t>
      </w:r>
      <w:r>
        <w:rPr>
          <w:rFonts w:ascii="Arial" w:hAnsi="Arial"/>
          <w:sz w:val="18"/>
          <w:szCs w:val="18"/>
        </w:rPr>
        <w:tab/>
        <w:t>Pour voir l’ensemble des recommandations, y compris la Partie 1 concernant les organes directeurs de l’UNESCO (Conférence générale et Conseil exécutif), consultez les documents 39 C/20 (</w:t>
      </w:r>
      <w:hyperlink r:id="rId1" w:history="1">
        <w:r>
          <w:rPr>
            <w:rStyle w:val="Hyperlink"/>
            <w:rFonts w:ascii="Arial" w:hAnsi="Arial"/>
            <w:sz w:val="18"/>
            <w:szCs w:val="18"/>
          </w:rPr>
          <w:t>http://unesdoc.unesco.org/images/0025/002590/259081f.pdf</w:t>
        </w:r>
      </w:hyperlink>
      <w:r>
        <w:rPr>
          <w:rFonts w:ascii="Arial" w:hAnsi="Arial"/>
          <w:sz w:val="18"/>
          <w:szCs w:val="18"/>
        </w:rPr>
        <w:t>) et 39 C/70 (</w:t>
      </w:r>
      <w:hyperlink r:id="rId2" w:history="1">
        <w:r>
          <w:rPr>
            <w:rStyle w:val="Hyperlink"/>
            <w:rFonts w:ascii="Arial" w:hAnsi="Arial"/>
            <w:sz w:val="18"/>
            <w:szCs w:val="18"/>
          </w:rPr>
          <w:t>http://unesdoc.unesco.org/images/0026/002600/260089F.pdf</w:t>
        </w:r>
      </w:hyperlink>
      <w:r>
        <w:rPr>
          <w:rStyle w:val="Hyperlink"/>
          <w:rFonts w:ascii="Arial" w:hAnsi="Arial"/>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C526" w14:textId="0C1AB42E" w:rsidR="00173F35" w:rsidRPr="00C23A97" w:rsidRDefault="00173F35">
    <w:pPr>
      <w:pStyle w:val="Header"/>
      <w:rPr>
        <w:rFonts w:ascii="Arial" w:hAnsi="Arial" w:cs="Arial"/>
      </w:rPr>
    </w:pPr>
    <w:r>
      <w:rPr>
        <w:rFonts w:ascii="Arial" w:hAnsi="Arial"/>
        <w:sz w:val="20"/>
        <w:szCs w:val="20"/>
      </w:rPr>
      <w:t xml:space="preserve">ITH/18/13.COM/17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A63FD8">
      <w:rPr>
        <w:rStyle w:val="PageNumber"/>
        <w:rFonts w:ascii="Arial" w:hAnsi="Arial" w:cs="Arial"/>
        <w:noProof/>
        <w:sz w:val="20"/>
        <w:szCs w:val="20"/>
      </w:rPr>
      <w:t>4</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F085" w14:textId="7CEF2513" w:rsidR="00173F35" w:rsidRPr="0063300C" w:rsidRDefault="00173F35" w:rsidP="0063300C">
    <w:pPr>
      <w:pStyle w:val="Header"/>
      <w:jc w:val="right"/>
      <w:rPr>
        <w:rFonts w:ascii="Arial" w:hAnsi="Arial" w:cs="Arial"/>
      </w:rPr>
    </w:pPr>
    <w:r>
      <w:rPr>
        <w:rFonts w:ascii="Arial" w:hAnsi="Arial"/>
        <w:sz w:val="20"/>
        <w:szCs w:val="20"/>
      </w:rPr>
      <w:t xml:space="preserve">ITH/18/13.COM/17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A63FD8">
      <w:rPr>
        <w:rStyle w:val="PageNumber"/>
        <w:rFonts w:ascii="Arial" w:hAnsi="Arial" w:cs="Arial"/>
        <w:noProof/>
        <w:sz w:val="20"/>
        <w:szCs w:val="20"/>
      </w:rPr>
      <w:t>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D99B" w14:textId="2EB5ADBD" w:rsidR="00173F35" w:rsidRPr="008724E5" w:rsidRDefault="00173F35">
    <w:pPr>
      <w:pStyle w:val="Header"/>
    </w:pPr>
    <w:r>
      <w:rPr>
        <w:noProof/>
      </w:rPr>
      <w:drawing>
        <wp:anchor distT="0" distB="0" distL="114300" distR="114300" simplePos="0" relativeHeight="251659776" behindDoc="0" locked="0" layoutInCell="1" allowOverlap="1" wp14:anchorId="0AD6FA57" wp14:editId="7AE19CD9">
          <wp:simplePos x="0" y="0"/>
          <wp:positionH relativeFrom="page">
            <wp:posOffset>342265</wp:posOffset>
          </wp:positionH>
          <wp:positionV relativeFrom="page">
            <wp:posOffset>255905</wp:posOffset>
          </wp:positionV>
          <wp:extent cx="2037600" cy="1530000"/>
          <wp:effectExtent l="0" t="0" r="127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CEA0D" w14:textId="77777777" w:rsidR="00173F35" w:rsidRPr="00413491" w:rsidRDefault="00173F35" w:rsidP="007C0E13">
    <w:pPr>
      <w:pStyle w:val="Header"/>
      <w:spacing w:after="520"/>
      <w:jc w:val="right"/>
      <w:rPr>
        <w:rFonts w:ascii="Arial" w:hAnsi="Arial" w:cs="Arial"/>
        <w:b/>
        <w:sz w:val="44"/>
        <w:szCs w:val="44"/>
        <w:lang w:val="en-US"/>
      </w:rPr>
    </w:pPr>
    <w:r w:rsidRPr="00413491">
      <w:rPr>
        <w:rFonts w:ascii="Arial" w:hAnsi="Arial"/>
        <w:b/>
        <w:sz w:val="44"/>
        <w:szCs w:val="44"/>
        <w:lang w:val="en-US"/>
      </w:rPr>
      <w:t>13 COM</w:t>
    </w:r>
  </w:p>
  <w:p w14:paraId="27CBA6ED" w14:textId="77777777" w:rsidR="00173F35" w:rsidRPr="00413491" w:rsidRDefault="00173F35" w:rsidP="007C0E13">
    <w:pPr>
      <w:jc w:val="right"/>
      <w:rPr>
        <w:rFonts w:ascii="Arial" w:hAnsi="Arial" w:cs="Arial"/>
        <w:b/>
        <w:sz w:val="22"/>
        <w:szCs w:val="22"/>
        <w:lang w:val="en-US"/>
      </w:rPr>
    </w:pPr>
    <w:r w:rsidRPr="00413491">
      <w:rPr>
        <w:rFonts w:ascii="Arial" w:hAnsi="Arial"/>
        <w:b/>
        <w:sz w:val="22"/>
        <w:szCs w:val="22"/>
        <w:lang w:val="en-US"/>
      </w:rPr>
      <w:t>ITH/18/13.COM/17</w:t>
    </w:r>
  </w:p>
  <w:p w14:paraId="4ACFA066" w14:textId="58410ED1" w:rsidR="00173F35" w:rsidRPr="00413491" w:rsidRDefault="00173F35" w:rsidP="00693AD7">
    <w:pPr>
      <w:jc w:val="right"/>
      <w:rPr>
        <w:rFonts w:ascii="Arial" w:eastAsiaTheme="minorEastAsia" w:hAnsi="Arial" w:cs="Arial"/>
        <w:b/>
        <w:sz w:val="22"/>
        <w:szCs w:val="22"/>
        <w:lang w:val="en-US"/>
      </w:rPr>
    </w:pPr>
    <w:r w:rsidRPr="00413491">
      <w:rPr>
        <w:rFonts w:ascii="Arial" w:hAnsi="Arial"/>
        <w:b/>
        <w:sz w:val="22"/>
        <w:szCs w:val="22"/>
        <w:lang w:val="en-US"/>
      </w:rPr>
      <w:t xml:space="preserve">Paris, le </w:t>
    </w:r>
    <w:r w:rsidR="00693AD7">
      <w:rPr>
        <w:rFonts w:ascii="Arial" w:hAnsi="Arial"/>
        <w:b/>
        <w:sz w:val="22"/>
        <w:szCs w:val="22"/>
        <w:lang w:val="en-US"/>
      </w:rPr>
      <w:t xml:space="preserve">29 </w:t>
    </w:r>
    <w:r w:rsidR="00693AD7" w:rsidRPr="00693AD7">
      <w:rPr>
        <w:rFonts w:ascii="Arial" w:hAnsi="Arial"/>
        <w:b/>
        <w:sz w:val="22"/>
        <w:szCs w:val="22"/>
      </w:rPr>
      <w:t>octobre</w:t>
    </w:r>
    <w:r w:rsidRPr="00413491">
      <w:rPr>
        <w:rFonts w:ascii="Arial" w:hAnsi="Arial"/>
        <w:b/>
        <w:sz w:val="22"/>
        <w:szCs w:val="22"/>
        <w:lang w:val="en-US"/>
      </w:rPr>
      <w:t> 2018</w:t>
    </w:r>
  </w:p>
  <w:p w14:paraId="1A493BC7" w14:textId="77777777" w:rsidR="00173F35" w:rsidRPr="00F32C23" w:rsidRDefault="00173F35" w:rsidP="007C0E13">
    <w:pPr>
      <w:jc w:val="right"/>
      <w:rPr>
        <w:rFonts w:ascii="Arial" w:hAnsi="Arial" w:cs="Arial"/>
        <w:b/>
        <w:sz w:val="22"/>
        <w:szCs w:val="22"/>
      </w:rPr>
    </w:pPr>
    <w:r>
      <w:rPr>
        <w:rFonts w:ascii="Arial" w:hAnsi="Arial"/>
        <w:b/>
        <w:sz w:val="22"/>
        <w:szCs w:val="22"/>
      </w:rPr>
      <w:t>Original : anglais</w:t>
    </w:r>
  </w:p>
  <w:p w14:paraId="06870927" w14:textId="77777777" w:rsidR="00173F35" w:rsidRPr="00C23A97" w:rsidRDefault="00173F35" w:rsidP="00B04CDE">
    <w:pP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AED0" w14:textId="55BFC7F7" w:rsidR="00173F35" w:rsidRPr="00C23A97" w:rsidRDefault="00173F35" w:rsidP="001D14FE">
    <w:pPr>
      <w:pStyle w:val="Header"/>
      <w:rPr>
        <w:rFonts w:ascii="Arial" w:hAnsi="Arial" w:cs="Arial"/>
      </w:rPr>
    </w:pPr>
    <w:r>
      <w:rPr>
        <w:rFonts w:ascii="Arial" w:hAnsi="Arial"/>
        <w:sz w:val="20"/>
        <w:szCs w:val="20"/>
      </w:rPr>
      <w:t xml:space="preserve">ITH/18/13.COM/17 – page </w:t>
    </w:r>
    <w:r w:rsidRPr="00910B30">
      <w:rPr>
        <w:rStyle w:val="PageNumber"/>
        <w:rFonts w:ascii="Arial" w:hAnsi="Arial" w:cs="Arial"/>
        <w:sz w:val="20"/>
        <w:szCs w:val="20"/>
      </w:rPr>
      <w:fldChar w:fldCharType="begin"/>
    </w:r>
    <w:r w:rsidRPr="00910B30">
      <w:rPr>
        <w:rStyle w:val="PageNumber"/>
        <w:rFonts w:ascii="Arial" w:hAnsi="Arial" w:cs="Arial"/>
        <w:sz w:val="20"/>
        <w:szCs w:val="20"/>
      </w:rPr>
      <w:instrText xml:space="preserve"> PAGE </w:instrText>
    </w:r>
    <w:r w:rsidRPr="00910B30">
      <w:rPr>
        <w:rStyle w:val="PageNumber"/>
        <w:rFonts w:ascii="Arial" w:hAnsi="Arial" w:cs="Arial"/>
        <w:sz w:val="20"/>
        <w:szCs w:val="20"/>
      </w:rPr>
      <w:fldChar w:fldCharType="separate"/>
    </w:r>
    <w:r w:rsidR="00A63FD8">
      <w:rPr>
        <w:rStyle w:val="PageNumber"/>
        <w:rFonts w:ascii="Arial" w:hAnsi="Arial" w:cs="Arial"/>
        <w:noProof/>
        <w:sz w:val="20"/>
        <w:szCs w:val="20"/>
      </w:rPr>
      <w:t>14</w:t>
    </w:r>
    <w:r w:rsidRPr="00910B30">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3AE6" w14:textId="10A79650" w:rsidR="00173F35" w:rsidRPr="0063300C" w:rsidRDefault="00173F35" w:rsidP="001D14FE">
    <w:pPr>
      <w:pStyle w:val="Header"/>
      <w:jc w:val="right"/>
      <w:rPr>
        <w:rFonts w:ascii="Arial" w:hAnsi="Arial" w:cs="Arial"/>
      </w:rPr>
    </w:pPr>
    <w:r>
      <w:rPr>
        <w:rFonts w:ascii="Arial" w:hAnsi="Arial"/>
        <w:sz w:val="20"/>
        <w:szCs w:val="20"/>
      </w:rPr>
      <w:t xml:space="preserve">ITH/18/13.COM/17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A63FD8">
      <w:rPr>
        <w:rStyle w:val="PageNumber"/>
        <w:rFonts w:ascii="Arial" w:hAnsi="Arial" w:cs="Arial"/>
        <w:noProof/>
        <w:sz w:val="20"/>
        <w:szCs w:val="20"/>
      </w:rPr>
      <w:t>13</w:t>
    </w:r>
    <w:r w:rsidRPr="0063300C">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297F" w14:textId="77777777" w:rsidR="00173F35" w:rsidRPr="00E95AE2" w:rsidRDefault="00173F35">
    <w:pPr>
      <w:pStyle w:val="Header"/>
      <w:rPr>
        <w:sz w:val="22"/>
        <w:szCs w:val="22"/>
      </w:rPr>
    </w:pPr>
    <w:r>
      <w:rPr>
        <w:noProof/>
      </w:rPr>
      <w:drawing>
        <wp:anchor distT="0" distB="0" distL="114300" distR="114300" simplePos="0" relativeHeight="251657728" behindDoc="0" locked="0" layoutInCell="1" allowOverlap="1" wp14:anchorId="38861D07" wp14:editId="0C14566F">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2C7A7" w14:textId="77777777" w:rsidR="00173F35" w:rsidRPr="00413491" w:rsidRDefault="00173F35" w:rsidP="001D14FE">
    <w:pPr>
      <w:pStyle w:val="Header"/>
      <w:spacing w:after="520"/>
      <w:jc w:val="right"/>
      <w:rPr>
        <w:rFonts w:ascii="Arial" w:hAnsi="Arial" w:cs="Arial"/>
        <w:b/>
        <w:sz w:val="44"/>
        <w:szCs w:val="44"/>
        <w:lang w:val="en-US"/>
      </w:rPr>
    </w:pPr>
    <w:r w:rsidRPr="00413491">
      <w:rPr>
        <w:rFonts w:ascii="Arial" w:hAnsi="Arial"/>
        <w:b/>
        <w:sz w:val="44"/>
        <w:szCs w:val="44"/>
        <w:lang w:val="en-US"/>
      </w:rPr>
      <w:t>13 COM</w:t>
    </w:r>
  </w:p>
  <w:p w14:paraId="3DA21554" w14:textId="77777777" w:rsidR="00173F35" w:rsidRPr="00413491" w:rsidRDefault="00173F35" w:rsidP="001D14FE">
    <w:pPr>
      <w:jc w:val="right"/>
      <w:rPr>
        <w:rFonts w:ascii="Arial" w:hAnsi="Arial" w:cs="Arial"/>
        <w:b/>
        <w:sz w:val="22"/>
        <w:szCs w:val="22"/>
        <w:lang w:val="en-US"/>
      </w:rPr>
    </w:pPr>
    <w:r w:rsidRPr="00413491">
      <w:rPr>
        <w:rFonts w:ascii="Arial" w:hAnsi="Arial"/>
        <w:b/>
        <w:sz w:val="22"/>
        <w:szCs w:val="22"/>
        <w:lang w:val="en-US"/>
      </w:rPr>
      <w:t>ITH/18/13.COM/17</w:t>
    </w:r>
  </w:p>
  <w:p w14:paraId="0E19122F" w14:textId="77777777" w:rsidR="00173F35" w:rsidRPr="00413491" w:rsidRDefault="00173F35" w:rsidP="00655736">
    <w:pPr>
      <w:jc w:val="right"/>
      <w:rPr>
        <w:rFonts w:ascii="Arial" w:eastAsiaTheme="minorEastAsia" w:hAnsi="Arial" w:cs="Arial"/>
        <w:b/>
        <w:sz w:val="22"/>
        <w:szCs w:val="22"/>
        <w:lang w:val="en-US"/>
      </w:rPr>
    </w:pPr>
    <w:r w:rsidRPr="00413491">
      <w:rPr>
        <w:rFonts w:ascii="Arial" w:hAnsi="Arial"/>
        <w:b/>
        <w:sz w:val="22"/>
        <w:szCs w:val="22"/>
        <w:lang w:val="en-US"/>
      </w:rPr>
      <w:t xml:space="preserve">Paris, le </w:t>
    </w:r>
    <w:r w:rsidRPr="00413491">
      <w:rPr>
        <w:rFonts w:ascii="Arial" w:hAnsi="Arial"/>
        <w:b/>
        <w:sz w:val="22"/>
        <w:szCs w:val="22"/>
        <w:highlight w:val="yellow"/>
        <w:lang w:val="en-US"/>
      </w:rPr>
      <w:t xml:space="preserve">xxx </w:t>
    </w:r>
    <w:proofErr w:type="spellStart"/>
    <w:r w:rsidRPr="00413491">
      <w:rPr>
        <w:rFonts w:ascii="Arial" w:hAnsi="Arial"/>
        <w:b/>
        <w:sz w:val="22"/>
        <w:szCs w:val="22"/>
        <w:highlight w:val="yellow"/>
        <w:lang w:val="en-US"/>
      </w:rPr>
      <w:t>xxx</w:t>
    </w:r>
    <w:proofErr w:type="spellEnd"/>
    <w:r w:rsidRPr="00413491">
      <w:rPr>
        <w:rFonts w:ascii="Arial" w:hAnsi="Arial"/>
        <w:b/>
        <w:sz w:val="22"/>
        <w:szCs w:val="22"/>
        <w:lang w:val="en-US"/>
      </w:rPr>
      <w:t> 2018</w:t>
    </w:r>
  </w:p>
  <w:p w14:paraId="72DB404E" w14:textId="77777777" w:rsidR="00173F35" w:rsidRPr="00F32C23" w:rsidRDefault="00173F35" w:rsidP="000048ED">
    <w:pPr>
      <w:jc w:val="right"/>
      <w:rPr>
        <w:rFonts w:ascii="Arial" w:hAnsi="Arial" w:cs="Arial"/>
        <w:b/>
        <w:sz w:val="22"/>
        <w:szCs w:val="22"/>
      </w:rPr>
    </w:pPr>
    <w:r>
      <w:rPr>
        <w:rFonts w:ascii="Arial" w:hAnsi="Arial"/>
        <w:b/>
        <w:sz w:val="22"/>
        <w:szCs w:val="22"/>
      </w:rPr>
      <w:t>Original : anglais</w:t>
    </w:r>
  </w:p>
  <w:p w14:paraId="603EE91E" w14:textId="77777777" w:rsidR="00173F35" w:rsidRPr="00E95AE2" w:rsidRDefault="00173F35">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6390" w:hanging="360"/>
      </w:pPr>
      <w:rPr>
        <w:rFonts w:hint="default"/>
      </w:rPr>
    </w:lvl>
    <w:lvl w:ilvl="1" w:tplc="04090019">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57A5BCF"/>
    <w:multiLevelType w:val="hybridMultilevel"/>
    <w:tmpl w:val="BF743752"/>
    <w:lvl w:ilvl="0" w:tplc="88103CC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BF51875"/>
    <w:multiLevelType w:val="hybridMultilevel"/>
    <w:tmpl w:val="B2201524"/>
    <w:lvl w:ilvl="0" w:tplc="E92838C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76A9"/>
    <w:multiLevelType w:val="hybridMultilevel"/>
    <w:tmpl w:val="3A5EB622"/>
    <w:lvl w:ilvl="0" w:tplc="2F540118">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CF45F3"/>
    <w:multiLevelType w:val="multilevel"/>
    <w:tmpl w:val="794A9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961D47"/>
    <w:multiLevelType w:val="hybridMultilevel"/>
    <w:tmpl w:val="D360CBCA"/>
    <w:lvl w:ilvl="0" w:tplc="A3381420">
      <w:start w:val="78"/>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22308"/>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D758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A3193"/>
    <w:multiLevelType w:val="hybridMultilevel"/>
    <w:tmpl w:val="369C82DA"/>
    <w:lvl w:ilvl="0" w:tplc="0126783A">
      <w:start w:val="99"/>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50F71"/>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3"/>
  </w:num>
  <w:num w:numId="8">
    <w:abstractNumId w:val="13"/>
  </w:num>
  <w:num w:numId="9">
    <w:abstractNumId w:val="4"/>
  </w:num>
  <w:num w:numId="10">
    <w:abstractNumId w:val="10"/>
  </w:num>
  <w:num w:numId="11">
    <w:abstractNumId w:val="11"/>
  </w:num>
  <w:num w:numId="12">
    <w:abstractNumId w:val="9"/>
  </w:num>
  <w:num w:numId="13">
    <w:abstractNumId w:val="12"/>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768A"/>
    <w:rsid w:val="00025677"/>
    <w:rsid w:val="00026A2B"/>
    <w:rsid w:val="000271E7"/>
    <w:rsid w:val="00041A66"/>
    <w:rsid w:val="000428DD"/>
    <w:rsid w:val="00047B77"/>
    <w:rsid w:val="0005176E"/>
    <w:rsid w:val="00064F3A"/>
    <w:rsid w:val="000765F7"/>
    <w:rsid w:val="00077AB7"/>
    <w:rsid w:val="00081CD8"/>
    <w:rsid w:val="000971FD"/>
    <w:rsid w:val="000A7F0E"/>
    <w:rsid w:val="000B1C8F"/>
    <w:rsid w:val="000B4451"/>
    <w:rsid w:val="000C0D61"/>
    <w:rsid w:val="000D7530"/>
    <w:rsid w:val="000F3A3F"/>
    <w:rsid w:val="0010105C"/>
    <w:rsid w:val="00102557"/>
    <w:rsid w:val="001039E0"/>
    <w:rsid w:val="00113F2A"/>
    <w:rsid w:val="001204FD"/>
    <w:rsid w:val="00127C55"/>
    <w:rsid w:val="00132033"/>
    <w:rsid w:val="00164D56"/>
    <w:rsid w:val="00167B10"/>
    <w:rsid w:val="00170443"/>
    <w:rsid w:val="00170D00"/>
    <w:rsid w:val="00173039"/>
    <w:rsid w:val="00173F35"/>
    <w:rsid w:val="0017402F"/>
    <w:rsid w:val="0018294A"/>
    <w:rsid w:val="00196C1B"/>
    <w:rsid w:val="001A0799"/>
    <w:rsid w:val="001A50F7"/>
    <w:rsid w:val="001A6302"/>
    <w:rsid w:val="001B0F73"/>
    <w:rsid w:val="001C2DB7"/>
    <w:rsid w:val="001C48F8"/>
    <w:rsid w:val="001D14FE"/>
    <w:rsid w:val="001D5C04"/>
    <w:rsid w:val="001E4A3D"/>
    <w:rsid w:val="001F26CF"/>
    <w:rsid w:val="002008AE"/>
    <w:rsid w:val="00205B30"/>
    <w:rsid w:val="00222A2D"/>
    <w:rsid w:val="00223029"/>
    <w:rsid w:val="0022413F"/>
    <w:rsid w:val="00224A14"/>
    <w:rsid w:val="0023436D"/>
    <w:rsid w:val="00234745"/>
    <w:rsid w:val="002351A6"/>
    <w:rsid w:val="002353CA"/>
    <w:rsid w:val="00236BBD"/>
    <w:rsid w:val="002377DB"/>
    <w:rsid w:val="002407AF"/>
    <w:rsid w:val="0025748D"/>
    <w:rsid w:val="0027466B"/>
    <w:rsid w:val="002838A5"/>
    <w:rsid w:val="00285BB4"/>
    <w:rsid w:val="0029706C"/>
    <w:rsid w:val="002B642E"/>
    <w:rsid w:val="002C09E3"/>
    <w:rsid w:val="002D0591"/>
    <w:rsid w:val="002E44DD"/>
    <w:rsid w:val="00305AD5"/>
    <w:rsid w:val="00310F56"/>
    <w:rsid w:val="00315402"/>
    <w:rsid w:val="0033460F"/>
    <w:rsid w:val="00334A17"/>
    <w:rsid w:val="00334F6F"/>
    <w:rsid w:val="00337CEB"/>
    <w:rsid w:val="00341F12"/>
    <w:rsid w:val="00344B58"/>
    <w:rsid w:val="0034539A"/>
    <w:rsid w:val="00345CB4"/>
    <w:rsid w:val="0034611B"/>
    <w:rsid w:val="00350C2F"/>
    <w:rsid w:val="00354500"/>
    <w:rsid w:val="00354523"/>
    <w:rsid w:val="00367601"/>
    <w:rsid w:val="00370A48"/>
    <w:rsid w:val="00375D42"/>
    <w:rsid w:val="00376821"/>
    <w:rsid w:val="003D069C"/>
    <w:rsid w:val="003D7646"/>
    <w:rsid w:val="003F113A"/>
    <w:rsid w:val="003F3E63"/>
    <w:rsid w:val="003F6AAD"/>
    <w:rsid w:val="00401E2F"/>
    <w:rsid w:val="00404512"/>
    <w:rsid w:val="00407480"/>
    <w:rsid w:val="00413491"/>
    <w:rsid w:val="00414643"/>
    <w:rsid w:val="004421E5"/>
    <w:rsid w:val="00444E26"/>
    <w:rsid w:val="00452284"/>
    <w:rsid w:val="00457C8E"/>
    <w:rsid w:val="004614F2"/>
    <w:rsid w:val="004856CA"/>
    <w:rsid w:val="0048583D"/>
    <w:rsid w:val="00487E67"/>
    <w:rsid w:val="0049705E"/>
    <w:rsid w:val="004A34A0"/>
    <w:rsid w:val="004B19FF"/>
    <w:rsid w:val="004D7A1E"/>
    <w:rsid w:val="004E28E5"/>
    <w:rsid w:val="004E693C"/>
    <w:rsid w:val="004F5795"/>
    <w:rsid w:val="005008A8"/>
    <w:rsid w:val="005141A0"/>
    <w:rsid w:val="005172F6"/>
    <w:rsid w:val="00523817"/>
    <w:rsid w:val="00526B7B"/>
    <w:rsid w:val="005308CE"/>
    <w:rsid w:val="0053318C"/>
    <w:rsid w:val="00543935"/>
    <w:rsid w:val="00560EE6"/>
    <w:rsid w:val="00561E4C"/>
    <w:rsid w:val="00564EBA"/>
    <w:rsid w:val="0057439C"/>
    <w:rsid w:val="00575F8F"/>
    <w:rsid w:val="005B0127"/>
    <w:rsid w:val="005B0CD7"/>
    <w:rsid w:val="005B3194"/>
    <w:rsid w:val="005B4056"/>
    <w:rsid w:val="005B5B5E"/>
    <w:rsid w:val="005B7A35"/>
    <w:rsid w:val="005B7C4E"/>
    <w:rsid w:val="005C4B73"/>
    <w:rsid w:val="005D2A8B"/>
    <w:rsid w:val="005E1D16"/>
    <w:rsid w:val="005E1D2B"/>
    <w:rsid w:val="005E2285"/>
    <w:rsid w:val="005E5FF3"/>
    <w:rsid w:val="005E7074"/>
    <w:rsid w:val="005F2A8E"/>
    <w:rsid w:val="005F2BAF"/>
    <w:rsid w:val="005F4D27"/>
    <w:rsid w:val="00600D93"/>
    <w:rsid w:val="0061763E"/>
    <w:rsid w:val="00623CE8"/>
    <w:rsid w:val="006300F5"/>
    <w:rsid w:val="0063300C"/>
    <w:rsid w:val="006337E7"/>
    <w:rsid w:val="006501D3"/>
    <w:rsid w:val="00655736"/>
    <w:rsid w:val="006618BE"/>
    <w:rsid w:val="00663B8D"/>
    <w:rsid w:val="006840D3"/>
    <w:rsid w:val="00693AD7"/>
    <w:rsid w:val="00696C8D"/>
    <w:rsid w:val="006A2AC2"/>
    <w:rsid w:val="006A3617"/>
    <w:rsid w:val="006D2AC8"/>
    <w:rsid w:val="006E46E4"/>
    <w:rsid w:val="006E4BA7"/>
    <w:rsid w:val="00703C30"/>
    <w:rsid w:val="00707A99"/>
    <w:rsid w:val="00712C7B"/>
    <w:rsid w:val="00715E42"/>
    <w:rsid w:val="00717DA5"/>
    <w:rsid w:val="00730099"/>
    <w:rsid w:val="0073043D"/>
    <w:rsid w:val="00731ED9"/>
    <w:rsid w:val="007339FC"/>
    <w:rsid w:val="00742D54"/>
    <w:rsid w:val="00744484"/>
    <w:rsid w:val="00747566"/>
    <w:rsid w:val="007633B9"/>
    <w:rsid w:val="007705AC"/>
    <w:rsid w:val="0077135B"/>
    <w:rsid w:val="00773188"/>
    <w:rsid w:val="00773EEB"/>
    <w:rsid w:val="0078112B"/>
    <w:rsid w:val="00783782"/>
    <w:rsid w:val="0078475A"/>
    <w:rsid w:val="00784B8C"/>
    <w:rsid w:val="0078716D"/>
    <w:rsid w:val="007879E1"/>
    <w:rsid w:val="00792CEB"/>
    <w:rsid w:val="007941BE"/>
    <w:rsid w:val="007B3206"/>
    <w:rsid w:val="007C0E13"/>
    <w:rsid w:val="007C392A"/>
    <w:rsid w:val="007D1063"/>
    <w:rsid w:val="007E7B26"/>
    <w:rsid w:val="007F24B1"/>
    <w:rsid w:val="007F5839"/>
    <w:rsid w:val="00811ADE"/>
    <w:rsid w:val="008204EF"/>
    <w:rsid w:val="00823A11"/>
    <w:rsid w:val="00830962"/>
    <w:rsid w:val="0085405E"/>
    <w:rsid w:val="0085414A"/>
    <w:rsid w:val="00854209"/>
    <w:rsid w:val="0086269D"/>
    <w:rsid w:val="0086543A"/>
    <w:rsid w:val="008724E5"/>
    <w:rsid w:val="00880511"/>
    <w:rsid w:val="00884A9D"/>
    <w:rsid w:val="0088512B"/>
    <w:rsid w:val="008A2B2D"/>
    <w:rsid w:val="008A4E1E"/>
    <w:rsid w:val="008A5C2D"/>
    <w:rsid w:val="008C296C"/>
    <w:rsid w:val="008C503F"/>
    <w:rsid w:val="008D0D0F"/>
    <w:rsid w:val="008D4305"/>
    <w:rsid w:val="008E00A0"/>
    <w:rsid w:val="008E181D"/>
    <w:rsid w:val="008E1A85"/>
    <w:rsid w:val="008E2FC2"/>
    <w:rsid w:val="008E3187"/>
    <w:rsid w:val="008F2203"/>
    <w:rsid w:val="00905394"/>
    <w:rsid w:val="0091055A"/>
    <w:rsid w:val="00910B30"/>
    <w:rsid w:val="009163A7"/>
    <w:rsid w:val="00926610"/>
    <w:rsid w:val="00946D0B"/>
    <w:rsid w:val="0095252E"/>
    <w:rsid w:val="00955877"/>
    <w:rsid w:val="009562A5"/>
    <w:rsid w:val="00956E8B"/>
    <w:rsid w:val="00957128"/>
    <w:rsid w:val="00974C6E"/>
    <w:rsid w:val="00992B89"/>
    <w:rsid w:val="009977A8"/>
    <w:rsid w:val="009A18CD"/>
    <w:rsid w:val="009B7C08"/>
    <w:rsid w:val="009D5428"/>
    <w:rsid w:val="009E2C50"/>
    <w:rsid w:val="009F0428"/>
    <w:rsid w:val="009F3EB0"/>
    <w:rsid w:val="00A12558"/>
    <w:rsid w:val="00A13903"/>
    <w:rsid w:val="00A34ED5"/>
    <w:rsid w:val="00A442B6"/>
    <w:rsid w:val="00A45DBF"/>
    <w:rsid w:val="00A56268"/>
    <w:rsid w:val="00A57F54"/>
    <w:rsid w:val="00A63FD8"/>
    <w:rsid w:val="00A741D3"/>
    <w:rsid w:val="00A755A2"/>
    <w:rsid w:val="00A769A7"/>
    <w:rsid w:val="00A84746"/>
    <w:rsid w:val="00A90E2B"/>
    <w:rsid w:val="00A96C3E"/>
    <w:rsid w:val="00AA6660"/>
    <w:rsid w:val="00AB2C36"/>
    <w:rsid w:val="00AB6DDE"/>
    <w:rsid w:val="00AB70B6"/>
    <w:rsid w:val="00AC370B"/>
    <w:rsid w:val="00AD0B6B"/>
    <w:rsid w:val="00AD1A86"/>
    <w:rsid w:val="00AE103E"/>
    <w:rsid w:val="00AE1D84"/>
    <w:rsid w:val="00AF0A07"/>
    <w:rsid w:val="00AF2E1D"/>
    <w:rsid w:val="00AF4AEC"/>
    <w:rsid w:val="00AF625E"/>
    <w:rsid w:val="00B0094D"/>
    <w:rsid w:val="00B016F9"/>
    <w:rsid w:val="00B04CDE"/>
    <w:rsid w:val="00B07CEE"/>
    <w:rsid w:val="00B14159"/>
    <w:rsid w:val="00B2011F"/>
    <w:rsid w:val="00B23BBA"/>
    <w:rsid w:val="00B266CF"/>
    <w:rsid w:val="00B26DD7"/>
    <w:rsid w:val="00B341EF"/>
    <w:rsid w:val="00B42D0F"/>
    <w:rsid w:val="00B50E79"/>
    <w:rsid w:val="00B53647"/>
    <w:rsid w:val="00BB04AF"/>
    <w:rsid w:val="00BB75A1"/>
    <w:rsid w:val="00BC4CE9"/>
    <w:rsid w:val="00BC6998"/>
    <w:rsid w:val="00BD1CC3"/>
    <w:rsid w:val="00BD52C9"/>
    <w:rsid w:val="00BE1E57"/>
    <w:rsid w:val="00BE5F5C"/>
    <w:rsid w:val="00BE6354"/>
    <w:rsid w:val="00BF242D"/>
    <w:rsid w:val="00C12926"/>
    <w:rsid w:val="00C138D1"/>
    <w:rsid w:val="00C1747C"/>
    <w:rsid w:val="00C20BBC"/>
    <w:rsid w:val="00C22E6A"/>
    <w:rsid w:val="00C23A97"/>
    <w:rsid w:val="00C32846"/>
    <w:rsid w:val="00C330C7"/>
    <w:rsid w:val="00C50091"/>
    <w:rsid w:val="00C55EC7"/>
    <w:rsid w:val="00C56349"/>
    <w:rsid w:val="00C64855"/>
    <w:rsid w:val="00C70EA7"/>
    <w:rsid w:val="00C7433F"/>
    <w:rsid w:val="00C7516E"/>
    <w:rsid w:val="00C75770"/>
    <w:rsid w:val="00C860A2"/>
    <w:rsid w:val="00CA56BB"/>
    <w:rsid w:val="00CA6401"/>
    <w:rsid w:val="00CB0542"/>
    <w:rsid w:val="00CB0C0B"/>
    <w:rsid w:val="00CB5E2C"/>
    <w:rsid w:val="00CC1893"/>
    <w:rsid w:val="00CD4B28"/>
    <w:rsid w:val="00CF1756"/>
    <w:rsid w:val="00D00B2B"/>
    <w:rsid w:val="00D24877"/>
    <w:rsid w:val="00D351EB"/>
    <w:rsid w:val="00D44A4B"/>
    <w:rsid w:val="00D4777F"/>
    <w:rsid w:val="00D50224"/>
    <w:rsid w:val="00D515E2"/>
    <w:rsid w:val="00D55E04"/>
    <w:rsid w:val="00D6399B"/>
    <w:rsid w:val="00D72650"/>
    <w:rsid w:val="00D8075A"/>
    <w:rsid w:val="00D8250F"/>
    <w:rsid w:val="00D95C4C"/>
    <w:rsid w:val="00DA36ED"/>
    <w:rsid w:val="00DD2277"/>
    <w:rsid w:val="00DD2F89"/>
    <w:rsid w:val="00DE34F1"/>
    <w:rsid w:val="00DE6160"/>
    <w:rsid w:val="00DE744D"/>
    <w:rsid w:val="00DF1845"/>
    <w:rsid w:val="00DF4942"/>
    <w:rsid w:val="00E07816"/>
    <w:rsid w:val="00E14908"/>
    <w:rsid w:val="00E22F29"/>
    <w:rsid w:val="00E2382C"/>
    <w:rsid w:val="00E24424"/>
    <w:rsid w:val="00E244E1"/>
    <w:rsid w:val="00E316EC"/>
    <w:rsid w:val="00E627B1"/>
    <w:rsid w:val="00E62BB5"/>
    <w:rsid w:val="00E63922"/>
    <w:rsid w:val="00E6448D"/>
    <w:rsid w:val="00E70169"/>
    <w:rsid w:val="00E9376C"/>
    <w:rsid w:val="00E95AE2"/>
    <w:rsid w:val="00EA1A91"/>
    <w:rsid w:val="00EA335E"/>
    <w:rsid w:val="00EA528C"/>
    <w:rsid w:val="00EA580C"/>
    <w:rsid w:val="00EC628C"/>
    <w:rsid w:val="00EC6F8D"/>
    <w:rsid w:val="00ED6EEA"/>
    <w:rsid w:val="00EE0A55"/>
    <w:rsid w:val="00EE4900"/>
    <w:rsid w:val="00EE49F4"/>
    <w:rsid w:val="00EE60E8"/>
    <w:rsid w:val="00EF2ED6"/>
    <w:rsid w:val="00EF34E2"/>
    <w:rsid w:val="00EF6AE6"/>
    <w:rsid w:val="00F0634F"/>
    <w:rsid w:val="00F06CBA"/>
    <w:rsid w:val="00F102F7"/>
    <w:rsid w:val="00F11269"/>
    <w:rsid w:val="00F25F99"/>
    <w:rsid w:val="00F30DC6"/>
    <w:rsid w:val="00F32C23"/>
    <w:rsid w:val="00F41FA6"/>
    <w:rsid w:val="00F43176"/>
    <w:rsid w:val="00F445DE"/>
    <w:rsid w:val="00F466D2"/>
    <w:rsid w:val="00F520ED"/>
    <w:rsid w:val="00F53DE9"/>
    <w:rsid w:val="00F576CB"/>
    <w:rsid w:val="00F7035D"/>
    <w:rsid w:val="00F71A02"/>
    <w:rsid w:val="00F740E1"/>
    <w:rsid w:val="00F93C00"/>
    <w:rsid w:val="00FA06B4"/>
    <w:rsid w:val="00FA0D63"/>
    <w:rsid w:val="00FB6E64"/>
    <w:rsid w:val="00FC1E9A"/>
    <w:rsid w:val="00FD1226"/>
    <w:rsid w:val="00FE0D1B"/>
    <w:rsid w:val="00FE31A1"/>
    <w:rsid w:val="00FF4830"/>
    <w:rsid w:val="00FF54B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1CCD60"/>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9B7C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GA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GA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10B30"/>
    <w:pPr>
      <w:ind w:left="720"/>
      <w:contextualSpacing/>
    </w:pPr>
  </w:style>
  <w:style w:type="paragraph" w:styleId="FootnoteText">
    <w:name w:val="footnote text"/>
    <w:basedOn w:val="Normal"/>
    <w:link w:val="FootnoteTextChar"/>
    <w:uiPriority w:val="99"/>
    <w:semiHidden/>
    <w:unhideWhenUsed/>
    <w:rsid w:val="00910B30"/>
    <w:rPr>
      <w:sz w:val="20"/>
      <w:szCs w:val="20"/>
    </w:rPr>
  </w:style>
  <w:style w:type="character" w:customStyle="1" w:styleId="FootnoteTextChar">
    <w:name w:val="Footnote Text Char"/>
    <w:basedOn w:val="DefaultParagraphFont"/>
    <w:link w:val="FootnoteText"/>
    <w:uiPriority w:val="99"/>
    <w:semiHidden/>
    <w:rsid w:val="00910B30"/>
    <w:rPr>
      <w:rFonts w:ascii="Times New Roman" w:eastAsia="Times New Roman" w:hAnsi="Times New Roman"/>
    </w:rPr>
  </w:style>
  <w:style w:type="character" w:styleId="FootnoteReference">
    <w:name w:val="footnote reference"/>
    <w:basedOn w:val="DefaultParagraphFont"/>
    <w:uiPriority w:val="99"/>
    <w:semiHidden/>
    <w:unhideWhenUsed/>
    <w:rsid w:val="00910B30"/>
    <w:rPr>
      <w:vertAlign w:val="superscript"/>
    </w:rPr>
  </w:style>
  <w:style w:type="character" w:styleId="Hyperlink">
    <w:name w:val="Hyperlink"/>
    <w:basedOn w:val="DefaultParagraphFont"/>
    <w:uiPriority w:val="99"/>
    <w:unhideWhenUsed/>
    <w:rsid w:val="00910B30"/>
    <w:rPr>
      <w:color w:val="0000FF" w:themeColor="hyperlink"/>
      <w:u w:val="single"/>
    </w:rPr>
  </w:style>
  <w:style w:type="character" w:customStyle="1" w:styleId="Heading3Char">
    <w:name w:val="Heading 3 Char"/>
    <w:basedOn w:val="DefaultParagraphFont"/>
    <w:link w:val="Heading3"/>
    <w:uiPriority w:val="9"/>
    <w:semiHidden/>
    <w:rsid w:val="009B7C08"/>
    <w:rPr>
      <w:rFonts w:asciiTheme="majorHAnsi" w:eastAsiaTheme="majorEastAsia" w:hAnsiTheme="majorHAnsi" w:cstheme="majorBidi"/>
      <w:color w:val="243F60" w:themeColor="accent1" w:themeShade="7F"/>
      <w:sz w:val="24"/>
      <w:szCs w:val="24"/>
    </w:rPr>
  </w:style>
  <w:style w:type="paragraph" w:customStyle="1" w:styleId="GAPara">
    <w:name w:val="GA Para"/>
    <w:qFormat/>
    <w:rsid w:val="009B7C08"/>
    <w:pPr>
      <w:spacing w:after="120"/>
      <w:ind w:left="720" w:hanging="36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9B7C08"/>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9B7C08"/>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9B7C08"/>
    <w:pPr>
      <w:autoSpaceDE w:val="0"/>
      <w:autoSpaceDN w:val="0"/>
      <w:adjustRightInd w:val="0"/>
      <w:spacing w:after="120"/>
      <w:ind w:left="1287" w:hanging="360"/>
      <w:jc w:val="both"/>
    </w:pPr>
    <w:rPr>
      <w:rFonts w:ascii="Arial" w:eastAsia="SimSun" w:hAnsi="Arial" w:cs="Arial"/>
      <w:sz w:val="22"/>
      <w:szCs w:val="22"/>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B7C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7C08"/>
    <w:rPr>
      <w:b/>
      <w:bCs/>
    </w:rPr>
  </w:style>
  <w:style w:type="character" w:customStyle="1" w:styleId="CommentSubjectChar">
    <w:name w:val="Comment Subject Char"/>
    <w:basedOn w:val="CommentTextChar"/>
    <w:link w:val="CommentSubject"/>
    <w:uiPriority w:val="99"/>
    <w:semiHidden/>
    <w:rsid w:val="009B7C08"/>
    <w:rPr>
      <w:rFonts w:ascii="Times New Roman" w:eastAsia="Times New Roman" w:hAnsi="Times New Roman"/>
      <w:b/>
      <w:bCs/>
    </w:rPr>
  </w:style>
  <w:style w:type="character" w:styleId="FollowedHyperlink">
    <w:name w:val="FollowedHyperlink"/>
    <w:basedOn w:val="DefaultParagraphFont"/>
    <w:uiPriority w:val="99"/>
    <w:semiHidden/>
    <w:unhideWhenUsed/>
    <w:rsid w:val="009B7C08"/>
    <w:rPr>
      <w:color w:val="800080" w:themeColor="followedHyperlink"/>
      <w:u w:val="single"/>
    </w:rPr>
  </w:style>
  <w:style w:type="paragraph" w:styleId="Revision">
    <w:name w:val="Revision"/>
    <w:hidden/>
    <w:uiPriority w:val="99"/>
    <w:semiHidden/>
    <w:rsid w:val="009B7C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321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559228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Decisions/12.COM/16" TargetMode="External"/><Relationship Id="rId18" Type="http://schemas.openxmlformats.org/officeDocument/2006/relationships/hyperlink" Target="https://ich.unesco.org/fr/Resolutions/7.GA/12" TargetMode="External"/><Relationship Id="rId26" Type="http://schemas.openxmlformats.org/officeDocument/2006/relationships/hyperlink" Target="https://ich.unesco.org/fr/Decisions/12.COM/16" TargetMode="External"/><Relationship Id="rId39" Type="http://schemas.openxmlformats.org/officeDocument/2006/relationships/hyperlink" Target="https://ich.unesco.org/fr/reglement-com" TargetMode="External"/><Relationship Id="rId21" Type="http://schemas.openxmlformats.org/officeDocument/2006/relationships/hyperlink" Target="https://ich.unesco.org/fr/Resolutions/7.GA/13" TargetMode="External"/><Relationship Id="rId34" Type="http://schemas.openxmlformats.org/officeDocument/2006/relationships/hyperlink" Target="https://ich.unesco.org/fr/convention" TargetMode="External"/><Relationship Id="rId42" Type="http://schemas.openxmlformats.org/officeDocument/2006/relationships/hyperlink" Target="https://ich.unesco.org/fr/Resolutions/7.GA/13" TargetMode="External"/><Relationship Id="rId47" Type="http://schemas.openxmlformats.org/officeDocument/2006/relationships/hyperlink" Target="https://ich.unesco.org/fr/reglement-ag" TargetMode="External"/><Relationship Id="rId50" Type="http://schemas.openxmlformats.org/officeDocument/2006/relationships/hyperlink" Target="https://ich.unesco.org/fr/reglement-ag" TargetMode="External"/><Relationship Id="rId55" Type="http://schemas.openxmlformats.org/officeDocument/2006/relationships/hyperlink" Target="https://ich.unesco.org/fr/Resolutions/7.GA/12" TargetMode="External"/><Relationship Id="rId63" Type="http://schemas.openxmlformats.org/officeDocument/2006/relationships/hyperlink" Target="https://ich.unesco.org/fr/Resolutions/7.GA/13" TargetMode="External"/><Relationship Id="rId68" Type="http://schemas.openxmlformats.org/officeDocument/2006/relationships/hyperlink" Target="https://ich.unesco.org/fr/reglement-com"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ich.unesco.org/fr/Resolutions/6.GA/11" TargetMode="External"/><Relationship Id="rId2" Type="http://schemas.openxmlformats.org/officeDocument/2006/relationships/numbering" Target="numbering.xml"/><Relationship Id="rId16" Type="http://schemas.openxmlformats.org/officeDocument/2006/relationships/hyperlink" Target="https://ich.unesco.org/fr/Resolutions/6.GA/11" TargetMode="External"/><Relationship Id="rId29" Type="http://schemas.openxmlformats.org/officeDocument/2006/relationships/hyperlink" Target="https://ich.unesco.org/fr/Resolutions/6.GA/11" TargetMode="External"/><Relationship Id="rId11" Type="http://schemas.openxmlformats.org/officeDocument/2006/relationships/hyperlink" Target="https://ich.unesco.org/fr/Decisions/12.COM/16" TargetMode="External"/><Relationship Id="rId24" Type="http://schemas.openxmlformats.org/officeDocument/2006/relationships/hyperlink" Target="https://ich.unesco.org/doc/src/ITH-18-7.GA-13-FR.docx" TargetMode="External"/><Relationship Id="rId32" Type="http://schemas.openxmlformats.org/officeDocument/2006/relationships/header" Target="header2.xml"/><Relationship Id="rId37" Type="http://schemas.openxmlformats.org/officeDocument/2006/relationships/hyperlink" Target="https://ich.unesco.org/fr/Decisions/12.COM/6" TargetMode="External"/><Relationship Id="rId40" Type="http://schemas.openxmlformats.org/officeDocument/2006/relationships/hyperlink" Target="https://ich.unesco.org/doc/src/ITH-18-7.GA-2-FR.docx" TargetMode="External"/><Relationship Id="rId45" Type="http://schemas.openxmlformats.org/officeDocument/2006/relationships/hyperlink" Target="https://ich.unesco.org/fr/Decisions/12.COM/13" TargetMode="External"/><Relationship Id="rId53" Type="http://schemas.openxmlformats.org/officeDocument/2006/relationships/hyperlink" Target="https://ich.unesco.org/fr/Resolutions/7.GA/13" TargetMode="External"/><Relationship Id="rId58" Type="http://schemas.openxmlformats.org/officeDocument/2006/relationships/hyperlink" Target="https://ich.unesco.org/fr/Resolutions/7.GA/13" TargetMode="External"/><Relationship Id="rId66" Type="http://schemas.openxmlformats.org/officeDocument/2006/relationships/hyperlink" Target="https://ich.unesco.org/fr/reglement-ag" TargetMode="External"/><Relationship Id="rId74" Type="http://schemas.openxmlformats.org/officeDocument/2006/relationships/hyperlink" Target="https://ich.unesco.org/fr/Resolutions/7.GA/1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ch.unesco.org/fr/reglement-com" TargetMode="External"/><Relationship Id="rId10" Type="http://schemas.openxmlformats.org/officeDocument/2006/relationships/hyperlink" Target="http://unesdoc.unesco.org/images/0026/002600/260089f.pdf" TargetMode="External"/><Relationship Id="rId19" Type="http://schemas.openxmlformats.org/officeDocument/2006/relationships/hyperlink" Target="https://ich.unesco.org/fr/Resolutions/7.GA/13" TargetMode="External"/><Relationship Id="rId31" Type="http://schemas.openxmlformats.org/officeDocument/2006/relationships/header" Target="header1.xml"/><Relationship Id="rId44" Type="http://schemas.openxmlformats.org/officeDocument/2006/relationships/hyperlink" Target="https://ich.unesco.org/doc/src/ITH-18-7.GA-6-FR.docx" TargetMode="External"/><Relationship Id="rId52" Type="http://schemas.openxmlformats.org/officeDocument/2006/relationships/hyperlink" Target="https://ich.unesco.org/fr/Resolutions/7.GA/12" TargetMode="External"/><Relationship Id="rId60" Type="http://schemas.openxmlformats.org/officeDocument/2006/relationships/hyperlink" Target="https://ich.unesco.org/fr/Decisions/12.COM/16" TargetMode="External"/><Relationship Id="rId65" Type="http://schemas.openxmlformats.org/officeDocument/2006/relationships/hyperlink" Target="https://ich.unesco.org/fr/Resolutions/7.GA/12" TargetMode="External"/><Relationship Id="rId73" Type="http://schemas.openxmlformats.org/officeDocument/2006/relationships/hyperlink" Target="https://ich.unesco.org/fr/Resolutions/7.GA/12"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ITH-17-12.COM-16-FR.docx" TargetMode="External"/><Relationship Id="rId14" Type="http://schemas.openxmlformats.org/officeDocument/2006/relationships/hyperlink" Target="https://ich.unesco.org/doc/src/ITH-18-13.COM-16-FR.docx" TargetMode="External"/><Relationship Id="rId22" Type="http://schemas.openxmlformats.org/officeDocument/2006/relationships/hyperlink" Target="https://ich.unesco.org/fr/Resolutions/7.GA/12" TargetMode="External"/><Relationship Id="rId27" Type="http://schemas.openxmlformats.org/officeDocument/2006/relationships/hyperlink" Target="https://ich.unesco.org/fr/Resolutions/7.GA/12" TargetMode="External"/><Relationship Id="rId30" Type="http://schemas.openxmlformats.org/officeDocument/2006/relationships/hyperlink" Target="https://ich.unesco.org/fr/Resolutions/7.GA/13" TargetMode="External"/><Relationship Id="rId35" Type="http://schemas.openxmlformats.org/officeDocument/2006/relationships/hyperlink" Target="https://ich.unesco.org/fr/convention" TargetMode="External"/><Relationship Id="rId43" Type="http://schemas.openxmlformats.org/officeDocument/2006/relationships/hyperlink" Target="https://ich.unesco.org/fr/convention" TargetMode="External"/><Relationship Id="rId48" Type="http://schemas.openxmlformats.org/officeDocument/2006/relationships/hyperlink" Target="https://ich.unesco.org/fr/reglement-com" TargetMode="External"/><Relationship Id="rId56" Type="http://schemas.openxmlformats.org/officeDocument/2006/relationships/hyperlink" Target="https://ich.unesco.org/fr/Resolutions/7.GA/13" TargetMode="External"/><Relationship Id="rId64" Type="http://schemas.openxmlformats.org/officeDocument/2006/relationships/hyperlink" Target="https://ich.unesco.org/fr/reglement-com" TargetMode="External"/><Relationship Id="rId69" Type="http://schemas.openxmlformats.org/officeDocument/2006/relationships/hyperlink" Target="https://ich.unesco.org/doc/src/ITH-17-12.COM-7-FR.docx" TargetMode="External"/><Relationship Id="rId77" Type="http://schemas.openxmlformats.org/officeDocument/2006/relationships/header" Target="header6.xml"/><Relationship Id="rId8" Type="http://schemas.openxmlformats.org/officeDocument/2006/relationships/hyperlink" Target="http://unesdoc.unesco.org/images/0026/002600/260089f.pdf" TargetMode="External"/><Relationship Id="rId51" Type="http://schemas.openxmlformats.org/officeDocument/2006/relationships/hyperlink" Target="https://ich.unesco.org/fr/reglement-ag" TargetMode="External"/><Relationship Id="rId72" Type="http://schemas.openxmlformats.org/officeDocument/2006/relationships/hyperlink" Target="https://ich.unesco.org/doc/src/ITH-18-7.GA-13-FR.docx" TargetMode="External"/><Relationship Id="rId3" Type="http://schemas.openxmlformats.org/officeDocument/2006/relationships/styles" Target="styles.xml"/><Relationship Id="rId12" Type="http://schemas.openxmlformats.org/officeDocument/2006/relationships/hyperlink" Target="https://ich.unesco.org/fr/Decisions/12.COM/13" TargetMode="External"/><Relationship Id="rId17" Type="http://schemas.openxmlformats.org/officeDocument/2006/relationships/hyperlink" Target="https://ich.unesco.org/doc/src/ITH-18-7.GA-13-FR.docx" TargetMode="External"/><Relationship Id="rId25" Type="http://schemas.openxmlformats.org/officeDocument/2006/relationships/hyperlink" Target="https://ich.unesco.org/fr/Decisions/12.COM/13" TargetMode="External"/><Relationship Id="rId33" Type="http://schemas.openxmlformats.org/officeDocument/2006/relationships/header" Target="header3.xml"/><Relationship Id="rId38" Type="http://schemas.openxmlformats.org/officeDocument/2006/relationships/hyperlink" Target="https://ich.unesco.org/fr/convention" TargetMode="External"/><Relationship Id="rId46" Type="http://schemas.openxmlformats.org/officeDocument/2006/relationships/hyperlink" Target="https://ich.unesco.org/doc/src/ITH-18-13.COM-16-FR.docx" TargetMode="External"/><Relationship Id="rId59" Type="http://schemas.openxmlformats.org/officeDocument/2006/relationships/hyperlink" Target="http://unesdoc.unesco.org/images/0025/002590/259081f.pdf" TargetMode="External"/><Relationship Id="rId67" Type="http://schemas.openxmlformats.org/officeDocument/2006/relationships/hyperlink" Target="https://ich.unesco.org/fr/reglement-ag" TargetMode="External"/><Relationship Id="rId20" Type="http://schemas.openxmlformats.org/officeDocument/2006/relationships/hyperlink" Target="https://ich.unesco.org/fr/Resolutions/7.GA/13" TargetMode="External"/><Relationship Id="rId41" Type="http://schemas.openxmlformats.org/officeDocument/2006/relationships/hyperlink" Target="https://ich.unesco.org/fr/Resolutions/7.GA/12" TargetMode="External"/><Relationship Id="rId54" Type="http://schemas.openxmlformats.org/officeDocument/2006/relationships/hyperlink" Target="https://ich.unesco.org/fr/reglement-com" TargetMode="External"/><Relationship Id="rId62" Type="http://schemas.openxmlformats.org/officeDocument/2006/relationships/hyperlink" Target="https://ich.unesco.org/fr/Resolutions/7.GA/12" TargetMode="External"/><Relationship Id="rId70" Type="http://schemas.openxmlformats.org/officeDocument/2006/relationships/hyperlink" Target="https://ich.unesco.org/fr/Decisions/12.COM/7"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8-7.GA-12-FR.docx" TargetMode="External"/><Relationship Id="rId23" Type="http://schemas.openxmlformats.org/officeDocument/2006/relationships/hyperlink" Target="https://ich.unesco.org/doc/src/ITH-18-7.GA-12-FR.docx" TargetMode="External"/><Relationship Id="rId28" Type="http://schemas.openxmlformats.org/officeDocument/2006/relationships/hyperlink" Target="https://ich.unesco.org/fr/Resolutions/7.GA/13" TargetMode="External"/><Relationship Id="rId36" Type="http://schemas.openxmlformats.org/officeDocument/2006/relationships/hyperlink" Target="https://ich.unesco.org/fr/Resolutions/6.GA/7" TargetMode="External"/><Relationship Id="rId49" Type="http://schemas.openxmlformats.org/officeDocument/2006/relationships/hyperlink" Target="https://ich.unesco.org/fr/reglement-com" TargetMode="External"/><Relationship Id="rId57" Type="http://schemas.openxmlformats.org/officeDocument/2006/relationships/hyperlink" Target="https://ich.unesco.org/fr/Resolutions/7.GA/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00/260089F.pdf" TargetMode="External"/><Relationship Id="rId1" Type="http://schemas.openxmlformats.org/officeDocument/2006/relationships/hyperlink" Target="http://unesdoc.unesco.org/images/0025/002590/259081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93A7-DA3D-4543-8A35-8A2A1C66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14</Pages>
  <Words>5918</Words>
  <Characters>32551</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Keiichi Julien Nakata Glenat</cp:lastModifiedBy>
  <cp:revision>9</cp:revision>
  <cp:lastPrinted>2018-10-12T12:13:00Z</cp:lastPrinted>
  <dcterms:created xsi:type="dcterms:W3CDTF">2018-10-25T15:14:00Z</dcterms:created>
  <dcterms:modified xsi:type="dcterms:W3CDTF">2018-10-29T17:12:00Z</dcterms:modified>
</cp:coreProperties>
</file>