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8C330" w14:textId="77777777" w:rsidR="00ED14F3" w:rsidRPr="00D00A19" w:rsidRDefault="00ED14F3" w:rsidP="00ED14F3">
      <w:pPr>
        <w:autoSpaceDE w:val="0"/>
        <w:autoSpaceDN w:val="0"/>
        <w:adjustRightInd w:val="0"/>
        <w:rPr>
          <w:rFonts w:ascii="Arial" w:eastAsia="SimSun" w:hAnsi="Arial" w:cs="Arial"/>
          <w:color w:val="000000"/>
          <w:lang w:eastAsia="en-GB"/>
        </w:rPr>
      </w:pPr>
    </w:p>
    <w:p w14:paraId="41CC2EE3" w14:textId="0468564B" w:rsidR="00655736" w:rsidRPr="00414643" w:rsidRDefault="00655736" w:rsidP="00E5543C">
      <w:pPr>
        <w:spacing w:before="9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КОНВЕНЦИЯ ОБ ОХРАНЕ</w:t>
      </w:r>
      <w:r>
        <w:rPr>
          <w:rFonts w:ascii="Arial" w:hAnsi="Arial"/>
          <w:b/>
          <w:sz w:val="22"/>
        </w:rPr>
        <w:br/>
        <w:t>НЕМАТЕРИАЛЬНОГО КУЛЬТУРНОГО НАСЛЕДИЯ</w:t>
      </w:r>
    </w:p>
    <w:p w14:paraId="512F90B5" w14:textId="77777777" w:rsidR="00655736" w:rsidRPr="00414643" w:rsidRDefault="00D95C4C" w:rsidP="00655736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ГЕНЕРАЛЬНАЯ АССАМБЛЕЯ ГОСУДАРСТВ – УЧАСТНИКОВ КОНВЕНЦИИ</w:t>
      </w:r>
    </w:p>
    <w:p w14:paraId="28CF4C38" w14:textId="77777777" w:rsidR="00D95C4C" w:rsidRPr="00FD624F" w:rsidRDefault="006F41B4" w:rsidP="00D95C4C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Восьмая сессия</w:t>
      </w:r>
    </w:p>
    <w:p w14:paraId="33ABB95E" w14:textId="77777777" w:rsidR="00D95C4C" w:rsidRPr="00FD624F" w:rsidRDefault="00D95C4C" w:rsidP="00D95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Штаб-квартира ЮНЕСКО, зал I</w:t>
      </w:r>
    </w:p>
    <w:p w14:paraId="5DF30764" w14:textId="77777777" w:rsidR="00655736" w:rsidRPr="00414643" w:rsidRDefault="00710677" w:rsidP="00D95C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8 – 10 сентября 2020 г.</w:t>
      </w:r>
    </w:p>
    <w:p w14:paraId="4F6F62AA" w14:textId="1CC1EF4B" w:rsidR="00655736" w:rsidRPr="00414643" w:rsidRDefault="00655736" w:rsidP="0065573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Пункт 11 предварительной повестки дня:</w:t>
      </w:r>
    </w:p>
    <w:p w14:paraId="7F28FDB4" w14:textId="10493BDC" w:rsidR="002F312A" w:rsidRPr="00414643" w:rsidRDefault="001C35AA" w:rsidP="002F312A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 w:rsidRPr="001C35AA">
        <w:rPr>
          <w:rFonts w:ascii="Arial" w:hAnsi="Arial"/>
          <w:b/>
          <w:sz w:val="22"/>
        </w:rPr>
        <w:t>Последняя информация о ходе консультаций по поводу</w:t>
      </w:r>
      <w:r w:rsidR="00AC05B2">
        <w:rPr>
          <w:rFonts w:ascii="Arial" w:hAnsi="Arial"/>
          <w:b/>
          <w:sz w:val="22"/>
        </w:rPr>
        <w:br/>
      </w:r>
      <w:r w:rsidRPr="001C35AA">
        <w:rPr>
          <w:rFonts w:ascii="Arial" w:hAnsi="Arial"/>
          <w:b/>
          <w:sz w:val="22"/>
        </w:rPr>
        <w:t xml:space="preserve">механизмов внесения в списки Конвенции </w:t>
      </w:r>
    </w:p>
    <w:tbl>
      <w:tblPr>
        <w:tblW w:w="6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3"/>
      </w:tblGrid>
      <w:tr w:rsidR="00655736" w:rsidRPr="00BF24BE" w14:paraId="1969C4C4" w14:textId="77777777" w:rsidTr="00E5543C">
        <w:trPr>
          <w:trHeight w:val="3452"/>
          <w:jc w:val="center"/>
        </w:trPr>
        <w:tc>
          <w:tcPr>
            <w:tcW w:w="6603" w:type="dxa"/>
            <w:vAlign w:val="center"/>
          </w:tcPr>
          <w:p w14:paraId="6299DC72" w14:textId="77777777" w:rsidR="0057439C" w:rsidRPr="007F414E" w:rsidRDefault="0057439C" w:rsidP="00E5543C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Содержание</w:t>
            </w:r>
          </w:p>
          <w:p w14:paraId="43AAFD92" w14:textId="73F692CE" w:rsidR="006842B2" w:rsidRPr="005D6E22" w:rsidRDefault="002E13FD" w:rsidP="0070600A">
            <w:pPr>
              <w:pStyle w:val="Sansinterligne1"/>
              <w:spacing w:before="200"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В 2018 году Комитет принял решение </w:t>
            </w:r>
            <w:r w:rsidR="0011277E">
              <w:rPr>
                <w:rFonts w:ascii="Arial" w:hAnsi="Arial"/>
                <w:sz w:val="22"/>
              </w:rPr>
              <w:t xml:space="preserve">начать консультации на </w:t>
            </w:r>
            <w:r>
              <w:rPr>
                <w:rFonts w:ascii="Arial" w:hAnsi="Arial"/>
                <w:sz w:val="22"/>
              </w:rPr>
              <w:t>глобальном</w:t>
            </w:r>
            <w:r w:rsidR="0011277E">
              <w:rPr>
                <w:rFonts w:ascii="Arial" w:hAnsi="Arial"/>
                <w:sz w:val="22"/>
              </w:rPr>
              <w:t xml:space="preserve"> уровне касательно </w:t>
            </w:r>
            <w:r>
              <w:rPr>
                <w:rFonts w:ascii="Arial" w:hAnsi="Arial"/>
                <w:sz w:val="22"/>
              </w:rPr>
              <w:t xml:space="preserve">механизмов </w:t>
            </w:r>
            <w:r w:rsidR="0011277E">
              <w:rPr>
                <w:rFonts w:ascii="Arial" w:hAnsi="Arial"/>
                <w:sz w:val="22"/>
              </w:rPr>
              <w:t xml:space="preserve">включения в списки </w:t>
            </w:r>
            <w:r>
              <w:rPr>
                <w:rFonts w:ascii="Arial" w:hAnsi="Arial"/>
                <w:sz w:val="22"/>
              </w:rPr>
              <w:t>Конвенци</w:t>
            </w:r>
            <w:r w:rsidR="0011277E"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 xml:space="preserve"> для преодоления многочисленных трудностей, возникших за последнее десятилетие в связи с включением в </w:t>
            </w:r>
            <w:r w:rsidR="0011277E">
              <w:rPr>
                <w:rFonts w:ascii="Arial" w:hAnsi="Arial"/>
                <w:sz w:val="22"/>
              </w:rPr>
              <w:t xml:space="preserve">списки </w:t>
            </w:r>
            <w:r>
              <w:rPr>
                <w:rFonts w:ascii="Arial" w:hAnsi="Arial"/>
                <w:sz w:val="22"/>
              </w:rPr>
              <w:t>элементов нематериального культурного наследия (</w:t>
            </w:r>
            <w:hyperlink r:id="rId8" w:history="1">
              <w:r>
                <w:rPr>
                  <w:rStyle w:val="Lienhypertexte"/>
                  <w:rFonts w:ascii="Arial" w:hAnsi="Arial"/>
                  <w:sz w:val="22"/>
                </w:rPr>
                <w:t>решения 13.COM 6</w:t>
              </w:r>
            </w:hyperlink>
            <w:r>
              <w:rPr>
                <w:rFonts w:ascii="Arial" w:hAnsi="Arial"/>
                <w:sz w:val="22"/>
              </w:rPr>
              <w:t xml:space="preserve"> и </w:t>
            </w:r>
            <w:hyperlink r:id="rId9" w:history="1">
              <w:r>
                <w:rPr>
                  <w:rStyle w:val="Lienhypertexte"/>
                  <w:rFonts w:ascii="Arial" w:hAnsi="Arial"/>
                  <w:sz w:val="22"/>
                </w:rPr>
                <w:t>13.COM 10</w:t>
              </w:r>
            </w:hyperlink>
            <w:r>
              <w:rPr>
                <w:rFonts w:ascii="Arial" w:hAnsi="Arial"/>
                <w:sz w:val="22"/>
              </w:rPr>
              <w:t>). В соответствии с предложением, озвученным на четырнадцатой сессии Комитета (</w:t>
            </w:r>
            <w:hyperlink r:id="rId10" w:history="1">
              <w:r>
                <w:rPr>
                  <w:rStyle w:val="Lienhypertexte"/>
                  <w:rFonts w:ascii="Arial" w:hAnsi="Arial"/>
                  <w:sz w:val="22"/>
                </w:rPr>
                <w:t>решение 14.COM 14</w:t>
              </w:r>
            </w:hyperlink>
            <w:r>
              <w:rPr>
                <w:rFonts w:ascii="Arial" w:hAnsi="Arial"/>
                <w:sz w:val="22"/>
              </w:rPr>
              <w:t xml:space="preserve">), в настоящем документе приводится </w:t>
            </w:r>
            <w:r w:rsidR="0011277E">
              <w:rPr>
                <w:rFonts w:ascii="Arial" w:hAnsi="Arial"/>
                <w:sz w:val="22"/>
              </w:rPr>
              <w:t xml:space="preserve">последняя </w:t>
            </w:r>
            <w:r>
              <w:rPr>
                <w:rFonts w:ascii="Arial" w:hAnsi="Arial"/>
                <w:sz w:val="22"/>
              </w:rPr>
              <w:t xml:space="preserve">информация о ходе </w:t>
            </w:r>
            <w:r w:rsidR="0011277E">
              <w:rPr>
                <w:rFonts w:ascii="Arial" w:hAnsi="Arial"/>
                <w:sz w:val="22"/>
              </w:rPr>
              <w:t>консультаций</w:t>
            </w:r>
            <w:r>
              <w:rPr>
                <w:rFonts w:ascii="Arial" w:hAnsi="Arial"/>
                <w:sz w:val="22"/>
              </w:rPr>
              <w:t>, в частности о планах, которые пришлось изменить в виде продолжающейся пандемии COVID-19</w:t>
            </w:r>
            <w:r>
              <w:t>.</w:t>
            </w:r>
          </w:p>
          <w:p w14:paraId="4CE8C8BC" w14:textId="253420EA" w:rsidR="00655736" w:rsidRPr="00414643" w:rsidRDefault="00FB6630" w:rsidP="00E5543C">
            <w:pPr>
              <w:pStyle w:val="Sansinterligne1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Требуемое решение:</w:t>
            </w:r>
            <w:r>
              <w:rPr>
                <w:rFonts w:ascii="Arial" w:hAnsi="Arial"/>
                <w:sz w:val="22"/>
              </w:rPr>
              <w:t xml:space="preserve"> пункт 9</w:t>
            </w:r>
          </w:p>
        </w:tc>
      </w:tr>
    </w:tbl>
    <w:p w14:paraId="09AE5F55" w14:textId="77777777" w:rsidR="00176720" w:rsidRDefault="00655736" w:rsidP="00176720">
      <w:pPr>
        <w:pStyle w:val="GAPara"/>
        <w:numPr>
          <w:ilvl w:val="0"/>
          <w:numId w:val="0"/>
        </w:numPr>
        <w:jc w:val="both"/>
      </w:pPr>
      <w:r>
        <w:br w:type="page"/>
      </w:r>
    </w:p>
    <w:p w14:paraId="018C0857" w14:textId="77777777" w:rsidR="00916C5E" w:rsidRPr="00FC3FCB" w:rsidRDefault="00916C5E" w:rsidP="00E5543C">
      <w:pPr>
        <w:pStyle w:val="GAPara"/>
        <w:numPr>
          <w:ilvl w:val="0"/>
          <w:numId w:val="31"/>
        </w:numPr>
        <w:spacing w:before="360"/>
        <w:ind w:left="562" w:hanging="562"/>
        <w:jc w:val="both"/>
        <w:rPr>
          <w:b/>
        </w:rPr>
      </w:pPr>
      <w:r>
        <w:rPr>
          <w:b/>
        </w:rPr>
        <w:lastRenderedPageBreak/>
        <w:t>История вопроса</w:t>
      </w:r>
    </w:p>
    <w:p w14:paraId="74289784" w14:textId="4CAD5C79" w:rsidR="00606664" w:rsidRDefault="00CC4819" w:rsidP="00BD2158">
      <w:pPr>
        <w:pStyle w:val="GAPara"/>
        <w:numPr>
          <w:ilvl w:val="0"/>
          <w:numId w:val="5"/>
        </w:numPr>
        <w:ind w:left="567" w:hanging="567"/>
        <w:jc w:val="both"/>
      </w:pPr>
      <w:r>
        <w:t xml:space="preserve">Система </w:t>
      </w:r>
      <w:r w:rsidR="0011277E">
        <w:t xml:space="preserve">включения в списки </w:t>
      </w:r>
      <w:r>
        <w:t xml:space="preserve">в рамках Конвенции 2003 года заработала в 2009 году, когда были включены первые элементы в Репрезентативный список нематериального культурного наследия человечества, Список нематериального культурного наследия, нуждающегося в срочной охране, и Реестр отобранных программ, проектов и мероприятий (широко известный как Реестр передовой практики охраны). Предполагалось, что данная система станет важным инструментом в содействии привлечению внимания национальных органов власти и </w:t>
      </w:r>
      <w:r w:rsidR="0011277E">
        <w:t xml:space="preserve">сообществ </w:t>
      </w:r>
      <w:r>
        <w:t>во всем мире к многообразию и значимости живого наследия и необходимости его сохранения, а также в мобилизации совместных усилий со стороны международного сообщества. На протяжении последних десяти лет реализации Конвенции различные заинтересованные стороны выявили множество сложных и взаимосвязанных проблем в контексте существующих трех механизмов.</w:t>
      </w:r>
      <w:bookmarkStart w:id="0" w:name="_GoBack"/>
      <w:bookmarkEnd w:id="0"/>
    </w:p>
    <w:p w14:paraId="28F96A98" w14:textId="39C25A8C" w:rsidR="009936EC" w:rsidRPr="009936EC" w:rsidRDefault="009936EC" w:rsidP="00FC5EC8">
      <w:pPr>
        <w:pStyle w:val="GAPara"/>
        <w:numPr>
          <w:ilvl w:val="0"/>
          <w:numId w:val="5"/>
        </w:numPr>
        <w:ind w:left="567" w:hanging="567"/>
        <w:jc w:val="both"/>
        <w:rPr>
          <w:bCs/>
        </w:rPr>
      </w:pPr>
      <w:r>
        <w:t>Комитет впервые выступил с четким заявлением о необходимости проведения общ</w:t>
      </w:r>
      <w:r w:rsidR="0011277E">
        <w:t xml:space="preserve">их консультаций касательно </w:t>
      </w:r>
      <w:r>
        <w:t>намерений и целей данны</w:t>
      </w:r>
      <w:r w:rsidR="0011277E">
        <w:t xml:space="preserve">х </w:t>
      </w:r>
      <w:r>
        <w:t>механизм</w:t>
      </w:r>
      <w:r w:rsidR="0011277E">
        <w:t xml:space="preserve">ов </w:t>
      </w:r>
      <w:r>
        <w:t xml:space="preserve">в 2017 году при рассмотрении полученного от Вьетнама предложения </w:t>
      </w:r>
      <w:r w:rsidR="0011277E">
        <w:t xml:space="preserve">переместить </w:t>
      </w:r>
      <w:r>
        <w:t>один из элементов из Списка нематериального культурного наследия, нуждающегося в срочной охране, в Репрезентативный список (</w:t>
      </w:r>
      <w:hyperlink r:id="rId11" w:history="1">
        <w:r>
          <w:rPr>
            <w:rStyle w:val="Lienhypertexte"/>
          </w:rPr>
          <w:t>решение 12.COM 14</w:t>
        </w:r>
      </w:hyperlink>
      <w:r>
        <w:t xml:space="preserve">). Тогда Комитет решил созвать межправительственную рабочую группу открытого состава, в том числе, для анализа процедур исключения того или иного элемента из </w:t>
      </w:r>
      <w:r w:rsidR="0011277E">
        <w:t xml:space="preserve">какого-либо списка </w:t>
      </w:r>
      <w:r>
        <w:t xml:space="preserve">и его </w:t>
      </w:r>
      <w:r w:rsidR="0011277E">
        <w:t xml:space="preserve">перемещения </w:t>
      </w:r>
      <w:r>
        <w:t xml:space="preserve">из одного </w:t>
      </w:r>
      <w:r w:rsidR="0011277E">
        <w:t xml:space="preserve">списка </w:t>
      </w:r>
      <w:r>
        <w:t xml:space="preserve">в другой, а также характера и целей </w:t>
      </w:r>
      <w:r w:rsidR="0011277E">
        <w:t xml:space="preserve">списков </w:t>
      </w:r>
      <w:r>
        <w:t>и реестра, созданных в соответствии с Конвенцией, и актуальности различных критериев для каждого из указанных механизмов.</w:t>
      </w:r>
    </w:p>
    <w:p w14:paraId="54499FB6" w14:textId="63983A84" w:rsidR="00E92CAB" w:rsidRPr="00327E44" w:rsidRDefault="00F56044" w:rsidP="00BD2158">
      <w:pPr>
        <w:pStyle w:val="GAPara"/>
        <w:numPr>
          <w:ilvl w:val="0"/>
          <w:numId w:val="5"/>
        </w:numPr>
        <w:ind w:left="567" w:hanging="567"/>
        <w:jc w:val="both"/>
      </w:pPr>
      <w:r>
        <w:t xml:space="preserve">Таким образом, в ходе своей тринадцатой сессии в 2018 году Комитет при поддержке правительства Японии приступил к проведению </w:t>
      </w:r>
      <w:r w:rsidR="0011277E">
        <w:t xml:space="preserve">консультаций на </w:t>
      </w:r>
      <w:r>
        <w:t>глобально</w:t>
      </w:r>
      <w:r w:rsidR="0011277E">
        <w:t xml:space="preserve">м уровне касательно </w:t>
      </w:r>
      <w:r>
        <w:t xml:space="preserve">механизмов </w:t>
      </w:r>
      <w:r w:rsidR="00FC5EC8">
        <w:t xml:space="preserve">включения в списки </w:t>
      </w:r>
      <w:r>
        <w:t>для решения указанных вопросов (</w:t>
      </w:r>
      <w:hyperlink r:id="rId12" w:history="1">
        <w:r>
          <w:rPr>
            <w:rStyle w:val="Lienhypertexte"/>
          </w:rPr>
          <w:t>решения 13.COM 6</w:t>
        </w:r>
      </w:hyperlink>
      <w:r>
        <w:t xml:space="preserve"> и </w:t>
      </w:r>
      <w:hyperlink r:id="rId13" w:history="1">
        <w:r>
          <w:rPr>
            <w:rStyle w:val="Lienhypertexte"/>
          </w:rPr>
          <w:t>13.COM 10</w:t>
        </w:r>
      </w:hyperlink>
      <w:r>
        <w:t xml:space="preserve">). На состоявшейся через год четырнадцатой сессии Комитета был принят к сведению предложенный Секретариатом график проведения </w:t>
      </w:r>
      <w:r w:rsidR="00FC5EC8">
        <w:t>таких консультаций</w:t>
      </w:r>
      <w:r>
        <w:t>. Планировалось организовать предварительное заседание экспертов VI категории в первом полугодии 2020 года и заседание межправительственной рабочей группы открытого состава в 2021 году, завершив данный процесс к девятой сессии Генеральной Ассамблеи в 2022 году с внесением, при необходимости, изменений в Оперативное руководство. Предусматривалось также, что в период между этими заседаниями в Комитет и Генеральную Ассамблею будут направлены доклады о ходе работы. В связи с этим на четырнадцатой сессии Комитета Секретариату было предложено представить доклад о результатах работы предварительного заседания экспертов VI категории в ходе восьмой сессии Генеральной Ассамблеи (</w:t>
      </w:r>
      <w:hyperlink r:id="rId14" w:history="1">
        <w:r>
          <w:rPr>
            <w:rStyle w:val="Lienhypertexte"/>
          </w:rPr>
          <w:t>решение 14.COM 14</w:t>
        </w:r>
      </w:hyperlink>
      <w:r>
        <w:t>).</w:t>
      </w:r>
    </w:p>
    <w:p w14:paraId="2780D8C5" w14:textId="24118FA2" w:rsidR="00BB2F77" w:rsidRDefault="007018C9" w:rsidP="006D2468">
      <w:pPr>
        <w:pStyle w:val="GAPara"/>
        <w:numPr>
          <w:ilvl w:val="0"/>
          <w:numId w:val="5"/>
        </w:numPr>
        <w:ind w:left="567" w:hanging="567"/>
        <w:jc w:val="both"/>
      </w:pPr>
      <w:r>
        <w:t>Помимо этого, при оценке номинаций на цикл 2019 года в качестве промежуточного шага в экспериментальном порядке был организован процесс первичного диалога, позволяющий Оценочному органу и представившим номинации государствам-участникам посредством простого диалога в формате вопросов и ответов уточнить незначительные моменты, выявленные в номинационных досье (</w:t>
      </w:r>
      <w:hyperlink r:id="rId15" w:history="1">
        <w:r>
          <w:rPr>
            <w:rStyle w:val="Lienhypertexte"/>
          </w:rPr>
          <w:t>решение 13.COM 10</w:t>
        </w:r>
      </w:hyperlink>
      <w:r>
        <w:t>). Признавая положительный опыт диалога, участники четырнадцатой сессии Комитета рекомендовали пересмотреть Оперативное руководство в ходе текущей сессии Генеральной Ассамблеи, с тем чтобы придать диалогу официальный характер как краткосрочному результату процесса глобальн</w:t>
      </w:r>
      <w:r w:rsidR="00AF4754">
        <w:t>ых консультаций</w:t>
      </w:r>
      <w:r>
        <w:t xml:space="preserve">. Внести необходимые изменения в Оперативное руководство в целях внедрения процесса диалога предлагается пунктом </w:t>
      </w:r>
      <w:r w:rsidRPr="00BB2F77">
        <w:t>1</w:t>
      </w:r>
      <w:r w:rsidR="00F10643" w:rsidRPr="00BB2F77">
        <w:t>0</w:t>
      </w:r>
      <w:r w:rsidRPr="00BB2F77">
        <w:t xml:space="preserve"> предварительной повестки дня текущей сессии (</w:t>
      </w:r>
      <w:hyperlink r:id="rId16" w:history="1">
        <w:r w:rsidRPr="00BB2F77">
          <w:rPr>
            <w:rStyle w:val="Lienhypertexte"/>
          </w:rPr>
          <w:t>документ LHE/20/8.GA/1</w:t>
        </w:r>
        <w:r w:rsidR="00F10643" w:rsidRPr="00BB2F77">
          <w:rPr>
            <w:rStyle w:val="Lienhypertexte"/>
          </w:rPr>
          <w:t>0</w:t>
        </w:r>
      </w:hyperlink>
      <w:r w:rsidRPr="00BB2F77">
        <w:t>).</w:t>
      </w:r>
    </w:p>
    <w:p w14:paraId="50C002C2" w14:textId="77777777" w:rsidR="00BB2F77" w:rsidRDefault="00BB2F77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br w:type="page"/>
      </w:r>
    </w:p>
    <w:p w14:paraId="186576D0" w14:textId="77777777" w:rsidR="00FC3FCB" w:rsidRPr="00E5543C" w:rsidRDefault="00FC3FCB" w:rsidP="00E5543C">
      <w:pPr>
        <w:pStyle w:val="GAPara"/>
        <w:numPr>
          <w:ilvl w:val="0"/>
          <w:numId w:val="31"/>
        </w:numPr>
        <w:spacing w:before="360"/>
        <w:ind w:left="562" w:hanging="562"/>
        <w:jc w:val="both"/>
        <w:rPr>
          <w:b/>
        </w:rPr>
      </w:pPr>
      <w:r>
        <w:rPr>
          <w:b/>
        </w:rPr>
        <w:lastRenderedPageBreak/>
        <w:t>Прения в ходе четырнадцатой сессии Комитета</w:t>
      </w:r>
    </w:p>
    <w:p w14:paraId="078BC18A" w14:textId="6CBC083B" w:rsidR="00D22120" w:rsidRPr="00A759DB" w:rsidRDefault="00FF7CF4">
      <w:pPr>
        <w:pStyle w:val="GAPara"/>
        <w:numPr>
          <w:ilvl w:val="0"/>
          <w:numId w:val="5"/>
        </w:numPr>
        <w:ind w:left="567" w:hanging="567"/>
        <w:jc w:val="both"/>
      </w:pPr>
      <w:r>
        <w:t xml:space="preserve">Проблемы и трудности, возникшие в ходе </w:t>
      </w:r>
      <w:r w:rsidR="006B51DE">
        <w:t xml:space="preserve">осуществления </w:t>
      </w:r>
      <w:r>
        <w:t xml:space="preserve">механизмов </w:t>
      </w:r>
      <w:r w:rsidR="006B51DE">
        <w:t>включения в списки</w:t>
      </w:r>
      <w:r>
        <w:t>, были представлены Комите</w:t>
      </w:r>
      <w:r w:rsidRPr="00BB2F77">
        <w:t>ту в максимально полной мере в ходе его четырнадцатой сессии (</w:t>
      </w:r>
      <w:hyperlink r:id="rId17" w:history="1">
        <w:r w:rsidRPr="00BB2F77">
          <w:rPr>
            <w:rStyle w:val="Lienhypertexte"/>
          </w:rPr>
          <w:t>LHE/</w:t>
        </w:r>
        <w:r w:rsidR="00BB2F77" w:rsidRPr="00BB2F77">
          <w:rPr>
            <w:rStyle w:val="Lienhypertexte"/>
          </w:rPr>
          <w:t>19</w:t>
        </w:r>
        <w:r w:rsidRPr="00BB2F77">
          <w:rPr>
            <w:rStyle w:val="Lienhypertexte"/>
          </w:rPr>
          <w:t>/</w:t>
        </w:r>
        <w:r w:rsidR="00BB2F77" w:rsidRPr="00BB2F77">
          <w:rPr>
            <w:rStyle w:val="Lienhypertexte"/>
          </w:rPr>
          <w:t>14</w:t>
        </w:r>
        <w:r w:rsidRPr="00BB2F77">
          <w:rPr>
            <w:rStyle w:val="Lienhypertexte"/>
          </w:rPr>
          <w:t>.</w:t>
        </w:r>
        <w:r w:rsidR="00BB2F77" w:rsidRPr="00BB2F77">
          <w:rPr>
            <w:rStyle w:val="Lienhypertexte"/>
            <w:lang w:val="fr-FR"/>
          </w:rPr>
          <w:t>COM</w:t>
        </w:r>
        <w:r w:rsidRPr="00BB2F77">
          <w:rPr>
            <w:rStyle w:val="Lienhypertexte"/>
          </w:rPr>
          <w:t>/1</w:t>
        </w:r>
        <w:r w:rsidR="00BB2F77" w:rsidRPr="00BB2F77">
          <w:rPr>
            <w:rStyle w:val="Lienhypertexte"/>
          </w:rPr>
          <w:t>4</w:t>
        </w:r>
      </w:hyperlink>
      <w:r w:rsidRPr="00BB2F77">
        <w:t>).</w:t>
      </w:r>
      <w:r>
        <w:t xml:space="preserve"> При их рассмотрении сразу становится очевидным, что многие проблемные вопросы взаимосвязаны и не могут рассматриваться изолированно друг от друга. Тем не менее для целей текущ</w:t>
      </w:r>
      <w:r w:rsidR="00685E01">
        <w:t>их консультаций</w:t>
      </w:r>
      <w:r>
        <w:t xml:space="preserve"> они были сгруппированы по четырем категориям: a) общий подход к механизмам </w:t>
      </w:r>
      <w:r w:rsidR="006A2EB4">
        <w:t>включения в списки</w:t>
      </w:r>
      <w:r>
        <w:t xml:space="preserve">; b) вопросы, связанные с критериями включения в </w:t>
      </w:r>
      <w:r w:rsidR="006A2EB4">
        <w:t>списки</w:t>
      </w:r>
      <w:r>
        <w:t>; c) вопросы, связанные с последующими мерами в отношении включенных элементов; d) методология оценки и рассмотрения номинаций.</w:t>
      </w:r>
    </w:p>
    <w:p w14:paraId="0CDA490D" w14:textId="38D16197" w:rsidR="00180834" w:rsidRPr="00E5543C" w:rsidRDefault="00A759DB">
      <w:pPr>
        <w:pStyle w:val="GAPara"/>
        <w:numPr>
          <w:ilvl w:val="0"/>
          <w:numId w:val="5"/>
        </w:numPr>
        <w:ind w:left="567" w:hanging="567"/>
        <w:jc w:val="both"/>
        <w:rPr>
          <w:bCs/>
        </w:rPr>
      </w:pPr>
      <w:r>
        <w:t>В ходе обсуждений на четырнадцатой сессии члены Комитета и наблюдатели отметили своевременность данн</w:t>
      </w:r>
      <w:r w:rsidR="006A2EB4">
        <w:t xml:space="preserve">ых консультаций </w:t>
      </w:r>
      <w:r>
        <w:t xml:space="preserve">как неизбежного шага на пути к дальнейшему развитию Конвенции на основе полного доверия. Комитет призвал тщательно проанализировать общие цели </w:t>
      </w:r>
      <w:r w:rsidR="006A2EB4">
        <w:t>списков</w:t>
      </w:r>
      <w:r>
        <w:t xml:space="preserve">, выразив при этом сожаление в связи с тем, что амбициозные цели, предусмотренные механизмами </w:t>
      </w:r>
      <w:r w:rsidR="006A2EB4">
        <w:t>включения в списки</w:t>
      </w:r>
      <w:r>
        <w:t xml:space="preserve"> в ходе разработки текста Конвенции и ее Оперативного руководства, с годами оказались в некоторой степени размыты. Было высказано общее мнение о необходимости сделать Репрезентативный список более всеобъемлющим, гибким и динамичным, что, в свою очередь, позволило бы уделять больше внимания Списку нематериального культурного наследия, нуждающегося в срочной охране, и Реестру передовой практики охраны. Среди идей, озвученных в пользу создания благоприятных условий для повышения эффективности использования Реестра передовой практики охраны, были такие, которые предполагали увязать его с механизмом периодической отчетности и применить новые технологии для установления прямых контактов с </w:t>
      </w:r>
      <w:r w:rsidR="006A2EB4">
        <w:t xml:space="preserve">сообществами </w:t>
      </w:r>
      <w:r>
        <w:t xml:space="preserve">без какого-либо вмешательства со стороны государств. Кроме того, Комитет указал на необходимость усиления последующих мер в отношении включенных элементов путем установления четких процедур, которые должны включать положения о </w:t>
      </w:r>
      <w:r w:rsidR="006A2EB4">
        <w:t xml:space="preserve">перемещении </w:t>
      </w:r>
      <w:r>
        <w:t xml:space="preserve">элементов из одного </w:t>
      </w:r>
      <w:r w:rsidR="006A2EB4">
        <w:t xml:space="preserve">списка </w:t>
      </w:r>
      <w:r>
        <w:t xml:space="preserve">в другой и об их исключении из </w:t>
      </w:r>
      <w:r w:rsidR="006A2EB4">
        <w:t>списков</w:t>
      </w:r>
      <w:r>
        <w:t>. Комитет также высказался за необходимость рассмотреть возможность оценки и анализа номинаций с учетом информации, поступающей не из представляемых государствами досье. И наконец, было высказано мнение, что проводим</w:t>
      </w:r>
      <w:r w:rsidR="006A2EB4">
        <w:t xml:space="preserve">ые консультации </w:t>
      </w:r>
      <w:r>
        <w:t>явля</w:t>
      </w:r>
      <w:r w:rsidR="006A2EB4">
        <w:t>ю</w:t>
      </w:r>
      <w:r>
        <w:t xml:space="preserve">тся хорошей возможностью упростить процесс </w:t>
      </w:r>
      <w:r w:rsidR="006A2EB4">
        <w:t>присоединения новых государств-участников</w:t>
      </w:r>
      <w:r w:rsidR="006A2EB4" w:rsidDel="006A2EB4">
        <w:t xml:space="preserve"> </w:t>
      </w:r>
      <w:r w:rsidR="006A2EB4">
        <w:t>к уже включенных многонациональным элементам</w:t>
      </w:r>
      <w:r>
        <w:t>.</w:t>
      </w:r>
    </w:p>
    <w:p w14:paraId="2D3121E9" w14:textId="77777777" w:rsidR="00FC3FCB" w:rsidRPr="00343200" w:rsidRDefault="00F060E2" w:rsidP="00E5543C">
      <w:pPr>
        <w:pStyle w:val="GAPara"/>
        <w:numPr>
          <w:ilvl w:val="0"/>
          <w:numId w:val="31"/>
        </w:numPr>
        <w:spacing w:before="360"/>
        <w:ind w:left="562" w:hanging="562"/>
        <w:jc w:val="both"/>
        <w:rPr>
          <w:b/>
        </w:rPr>
      </w:pPr>
      <w:r>
        <w:rPr>
          <w:b/>
        </w:rPr>
        <w:t>Перенос заседания экспертов VI категории: альтернативы дальнейших действий</w:t>
      </w:r>
    </w:p>
    <w:p w14:paraId="50EEA53C" w14:textId="5C2BC410" w:rsidR="00BB2F77" w:rsidRDefault="00343200" w:rsidP="0059491F">
      <w:pPr>
        <w:pStyle w:val="GAPara"/>
        <w:numPr>
          <w:ilvl w:val="0"/>
          <w:numId w:val="5"/>
        </w:numPr>
        <w:ind w:left="567" w:hanging="567"/>
        <w:jc w:val="both"/>
      </w:pPr>
      <w:r>
        <w:t xml:space="preserve">В соответствии с вышеупомянутым графиком Секретариат приступил к организации трехдневного очного заседания экспертов VI категории, </w:t>
      </w:r>
      <w:r w:rsidR="00AC3484">
        <w:t>предусмотренного</w:t>
      </w:r>
      <w:r>
        <w:t xml:space="preserve"> с 16 по 18 марта для определения основных проблем и путей их решения, с тем чтобы заложить основу для проведения заседания межправительственной рабочей группы открытого состава. В качестве рамочной основы для проведения заседания Секретариат подготовил два дискуссионных документа и обеспечил их перевод: в одном из них представлена справочная информация о механизмах </w:t>
      </w:r>
      <w:r w:rsidR="00AC3484">
        <w:t>включения в списки</w:t>
      </w:r>
      <w:r>
        <w:t xml:space="preserve">, предусмотренных Конвенцией 2003 года, а в другом изложены мнения консультативных органов, отвечающих за оценку досье для включения в два </w:t>
      </w:r>
      <w:r w:rsidR="00AC3484">
        <w:t xml:space="preserve">списка </w:t>
      </w:r>
      <w:r>
        <w:t>и реестр, а также для отбора соответствующих экспертов. В ответ на призыв определить подходящих экспертов, обращенный к государствам-участникам, был отобран 31 эксперт различного профиля с соблюдением необходимого географического и гендерного баланса. Однако в свете кризиса в области здравоохранения, вызванного пандемией COVID-19, заседание экспертов было первоначально перенесено на сентябрь 2020 года. В виду сохраняющейся неопределенности вокруг ограничений, введенных в отношении осуществления поездок и проведения собраний, заседание было вновь перенесено на более поздний период.</w:t>
      </w:r>
    </w:p>
    <w:p w14:paraId="160D82F1" w14:textId="77777777" w:rsidR="00BB2F77" w:rsidRDefault="00BB2F77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br w:type="page"/>
      </w:r>
    </w:p>
    <w:p w14:paraId="002B9D14" w14:textId="0F97A038" w:rsidR="009F4420" w:rsidRDefault="00285DCC" w:rsidP="00CA0A2C">
      <w:pPr>
        <w:pStyle w:val="GAPara"/>
        <w:numPr>
          <w:ilvl w:val="0"/>
          <w:numId w:val="5"/>
        </w:numPr>
        <w:ind w:left="567" w:hanging="567"/>
        <w:jc w:val="both"/>
      </w:pPr>
      <w:r>
        <w:lastRenderedPageBreak/>
        <w:t xml:space="preserve">Чтобы не затягивать процесс еще больше, Секретариат предлагает альтернативный путь принятия дальнейших действий. В частности, вместо первоначально запланированного трехдневного очного заседания можно организовать процесс в два этапа (см. график в Приложении). Следует отметить, что предлагаемый альтернативный формат не препятствует выполнению общего графика проведения </w:t>
      </w:r>
      <w:r w:rsidR="00AC3484">
        <w:t>консультаций</w:t>
      </w:r>
      <w:r>
        <w:t>, утвержденного в ходе четырнадцатой сессии Комитета:</w:t>
      </w:r>
    </w:p>
    <w:p w14:paraId="2435B320" w14:textId="46EA4B27" w:rsidR="00B916D1" w:rsidRDefault="00C91275" w:rsidP="00E5543C">
      <w:pPr>
        <w:pStyle w:val="GAPara"/>
        <w:numPr>
          <w:ilvl w:val="0"/>
          <w:numId w:val="30"/>
        </w:numPr>
        <w:jc w:val="both"/>
      </w:pPr>
      <w:r>
        <w:t xml:space="preserve">в ноябре 2020 года Секретариат приступит к проведению электронных консультаций с экспертами для получения их комментариев в отношении основных проблем, выявленных до настоящего времени в контексте механизмов </w:t>
      </w:r>
      <w:r w:rsidR="00AC3484">
        <w:t>включения в списки</w:t>
      </w:r>
      <w:r>
        <w:t>, а также в отношении поиска возможных путей их решения; экспертам будет предложено заполнить вопросник в течение двух месяцев;</w:t>
      </w:r>
    </w:p>
    <w:p w14:paraId="6CE4F2E5" w14:textId="5195228C" w:rsidR="0033635C" w:rsidRDefault="0033635C" w:rsidP="00E5543C">
      <w:pPr>
        <w:pStyle w:val="GAPara"/>
        <w:numPr>
          <w:ilvl w:val="0"/>
          <w:numId w:val="30"/>
        </w:numPr>
        <w:jc w:val="both"/>
      </w:pPr>
      <w:r>
        <w:t xml:space="preserve">участникам пятнадцатой сессии Комитета, запланированной на декабрь 2020 года, будет предложено принять к сведению обновленную информацию, касающуюся изменений в процессе </w:t>
      </w:r>
      <w:r w:rsidR="00AC3484">
        <w:t>хода консультаций</w:t>
      </w:r>
      <w:r>
        <w:t xml:space="preserve">, и представить дополнительные элементы для </w:t>
      </w:r>
      <w:r w:rsidR="00AC3484">
        <w:t>консультаций</w:t>
      </w:r>
      <w:r>
        <w:t>;</w:t>
      </w:r>
    </w:p>
    <w:p w14:paraId="3B25A892" w14:textId="406CEBC2" w:rsidR="00C617A5" w:rsidRDefault="00D4784E" w:rsidP="00E5543C">
      <w:pPr>
        <w:pStyle w:val="GAPara"/>
        <w:numPr>
          <w:ilvl w:val="0"/>
          <w:numId w:val="30"/>
        </w:numPr>
        <w:jc w:val="both"/>
      </w:pPr>
      <w:r>
        <w:t>в феврале/марте 2021 года будет организовано первое (онлайновое) пленарное заседание с участием экспертов и наблюдателей для обсуждения справочной информации и двух дискуссионных документов, а также для создания секционных групп;</w:t>
      </w:r>
    </w:p>
    <w:p w14:paraId="2EC0B804" w14:textId="615B3704" w:rsidR="00C617A5" w:rsidRDefault="00C617A5" w:rsidP="00C617A5">
      <w:pPr>
        <w:pStyle w:val="GAPara"/>
        <w:numPr>
          <w:ilvl w:val="0"/>
          <w:numId w:val="30"/>
        </w:numPr>
        <w:jc w:val="both"/>
      </w:pPr>
      <w:r>
        <w:t xml:space="preserve">в феврале/марте эксперты будут работать в соответствующих секционных группах в формате онлайн-форумов для анализа результатов </w:t>
      </w:r>
      <w:r w:rsidR="006B51DE">
        <w:t>опроса</w:t>
      </w:r>
      <w:r>
        <w:t>;</w:t>
      </w:r>
    </w:p>
    <w:p w14:paraId="3260362A" w14:textId="429748E4" w:rsidR="00BE19AE" w:rsidRDefault="003F58AC" w:rsidP="00E5543C">
      <w:pPr>
        <w:pStyle w:val="GAPara"/>
        <w:numPr>
          <w:ilvl w:val="0"/>
          <w:numId w:val="30"/>
        </w:numPr>
        <w:jc w:val="both"/>
      </w:pPr>
      <w:r>
        <w:t>в марте 2021 года будет организовано второе (онлайновое) пленарное заседание для подведения итогов работы вышеупомянутых секционных групп в целях выработки конкретных рекомендаций;</w:t>
      </w:r>
    </w:p>
    <w:p w14:paraId="300AB264" w14:textId="40D433C9" w:rsidR="00C91275" w:rsidRDefault="00BE19AE" w:rsidP="00E5543C">
      <w:pPr>
        <w:pStyle w:val="GAPara"/>
        <w:numPr>
          <w:ilvl w:val="0"/>
          <w:numId w:val="30"/>
        </w:numPr>
        <w:jc w:val="both"/>
      </w:pPr>
      <w:r>
        <w:t>выводы заседания экспертов будут представлены в форме рабочего документа на заседании межправительственной рабочей группы открытого состава, которое состоится в июне 2021 года.</w:t>
      </w:r>
    </w:p>
    <w:p w14:paraId="7DA1F2E2" w14:textId="77777777" w:rsidR="008A1ED4" w:rsidRPr="005A4A42" w:rsidRDefault="008A1ED4" w:rsidP="00CA0A2C">
      <w:pPr>
        <w:keepNext/>
        <w:numPr>
          <w:ilvl w:val="0"/>
          <w:numId w:val="5"/>
        </w:numPr>
        <w:ind w:left="567" w:hanging="567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</w:rPr>
        <w:t>Генеральной ассамблее предлагается принять резолюцию следующего содержания:</w:t>
      </w:r>
    </w:p>
    <w:p w14:paraId="48EFB5DF" w14:textId="27D38182" w:rsidR="008A1ED4" w:rsidRDefault="00F010E0" w:rsidP="008A1ED4">
      <w:pPr>
        <w:pStyle w:val="GATitleResolution"/>
      </w:pPr>
      <w:r>
        <w:t>ПРОЕКТ РЕЗОЛЮЦИИ 8.GA 11</w:t>
      </w:r>
    </w:p>
    <w:p w14:paraId="2F2109E6" w14:textId="77777777" w:rsidR="008A1ED4" w:rsidRPr="005A4A42" w:rsidRDefault="008A1ED4" w:rsidP="008A1ED4">
      <w:pPr>
        <w:pStyle w:val="GAPreambulaResolution"/>
        <w:rPr>
          <w:rFonts w:eastAsia="SimSun"/>
        </w:rPr>
      </w:pPr>
      <w:r>
        <w:t>Генеральная Ассамблея,</w:t>
      </w:r>
    </w:p>
    <w:p w14:paraId="218586E3" w14:textId="5DBAAB41" w:rsidR="008A1ED4" w:rsidRPr="000B0A4E" w:rsidRDefault="008A1ED4" w:rsidP="00CA0A2C">
      <w:pPr>
        <w:pStyle w:val="COMParaDecision"/>
        <w:numPr>
          <w:ilvl w:val="0"/>
          <w:numId w:val="3"/>
        </w:numPr>
        <w:ind w:left="1134" w:hanging="567"/>
        <w:jc w:val="left"/>
      </w:pPr>
      <w:r>
        <w:t>Рассмотрев документ</w:t>
      </w:r>
      <w:r>
        <w:rPr>
          <w:u w:val="none"/>
        </w:rPr>
        <w:t xml:space="preserve"> LHE/20/8.GA/11, а также </w:t>
      </w:r>
      <w:r w:rsidRPr="00BB2F77">
        <w:rPr>
          <w:u w:val="none"/>
        </w:rPr>
        <w:t xml:space="preserve">документ </w:t>
      </w:r>
      <w:hyperlink r:id="rId18" w:history="1">
        <w:r w:rsidRPr="00BB2F77">
          <w:rPr>
            <w:rStyle w:val="Lienhypertexte"/>
          </w:rPr>
          <w:t>LHE/19/14.COM/14</w:t>
        </w:r>
      </w:hyperlink>
      <w:r>
        <w:rPr>
          <w:u w:val="none"/>
        </w:rPr>
        <w:t>,</w:t>
      </w:r>
    </w:p>
    <w:p w14:paraId="1A946D23" w14:textId="6836EE8B" w:rsidR="008A1ED4" w:rsidRPr="001D65CB" w:rsidRDefault="008A1ED4" w:rsidP="00CA0A2C">
      <w:pPr>
        <w:pStyle w:val="COMParaDecision"/>
        <w:numPr>
          <w:ilvl w:val="0"/>
          <w:numId w:val="3"/>
        </w:numPr>
        <w:ind w:left="1134" w:hanging="567"/>
        <w:jc w:val="left"/>
      </w:pPr>
      <w:r>
        <w:t>Ссылаясь</w:t>
      </w:r>
      <w:r>
        <w:rPr>
          <w:u w:val="none"/>
        </w:rPr>
        <w:t xml:space="preserve"> на решения </w:t>
      </w:r>
      <w:hyperlink r:id="rId19" w:history="1">
        <w:r w:rsidRPr="00BB2F77">
          <w:rPr>
            <w:rStyle w:val="Lienhypertexte"/>
          </w:rPr>
          <w:t>13.COM 6</w:t>
        </w:r>
      </w:hyperlink>
      <w:r>
        <w:rPr>
          <w:u w:val="none"/>
        </w:rPr>
        <w:t xml:space="preserve">, </w:t>
      </w:r>
      <w:hyperlink r:id="rId20" w:history="1">
        <w:r w:rsidRPr="00BB2F77">
          <w:rPr>
            <w:rStyle w:val="Lienhypertexte"/>
          </w:rPr>
          <w:t>13.COM 10</w:t>
        </w:r>
      </w:hyperlink>
      <w:r>
        <w:rPr>
          <w:u w:val="none"/>
        </w:rPr>
        <w:t xml:space="preserve"> и </w:t>
      </w:r>
      <w:hyperlink r:id="rId21" w:history="1">
        <w:r w:rsidRPr="00BB2F77">
          <w:rPr>
            <w:rStyle w:val="Lienhypertexte"/>
          </w:rPr>
          <w:t>14.COM 14</w:t>
        </w:r>
      </w:hyperlink>
      <w:r>
        <w:rPr>
          <w:u w:val="none"/>
        </w:rPr>
        <w:t>,</w:t>
      </w:r>
    </w:p>
    <w:p w14:paraId="4B2B93CF" w14:textId="3EFB4848" w:rsidR="00A30AA7" w:rsidRPr="001D65CB" w:rsidRDefault="00A30AA7" w:rsidP="00CA0A2C">
      <w:pPr>
        <w:pStyle w:val="COMParaDecision"/>
        <w:numPr>
          <w:ilvl w:val="0"/>
          <w:numId w:val="3"/>
        </w:numPr>
        <w:ind w:left="1134" w:hanging="567"/>
      </w:pPr>
      <w:r>
        <w:t>Признает</w:t>
      </w:r>
      <w:r>
        <w:rPr>
          <w:u w:val="none"/>
        </w:rPr>
        <w:t xml:space="preserve"> необходимость проведения глобальн</w:t>
      </w:r>
      <w:r w:rsidR="00AC3484">
        <w:rPr>
          <w:u w:val="none"/>
        </w:rPr>
        <w:t xml:space="preserve">ых консультаций по поводу </w:t>
      </w:r>
      <w:r>
        <w:rPr>
          <w:u w:val="none"/>
        </w:rPr>
        <w:t xml:space="preserve">механизмов </w:t>
      </w:r>
      <w:r w:rsidR="00AC3484">
        <w:rPr>
          <w:u w:val="none"/>
        </w:rPr>
        <w:t>включения в списки</w:t>
      </w:r>
      <w:r>
        <w:rPr>
          <w:u w:val="none"/>
        </w:rPr>
        <w:t>, предусмотренных Конвенцией 2003 года;</w:t>
      </w:r>
    </w:p>
    <w:p w14:paraId="61D23999" w14:textId="4910C39A" w:rsidR="00A30AA7" w:rsidRPr="001D65CB" w:rsidRDefault="00A30AA7" w:rsidP="00CA0A2C">
      <w:pPr>
        <w:pStyle w:val="COMParaDecision"/>
        <w:numPr>
          <w:ilvl w:val="0"/>
          <w:numId w:val="3"/>
        </w:numPr>
        <w:ind w:left="1134" w:hanging="567"/>
        <w:rPr>
          <w:u w:val="none"/>
        </w:rPr>
      </w:pPr>
      <w:r>
        <w:t>Выражает признательность</w:t>
      </w:r>
      <w:r>
        <w:rPr>
          <w:u w:val="none"/>
        </w:rPr>
        <w:t xml:space="preserve"> правительству Японии за его вклад в поддержку проведения глобальн</w:t>
      </w:r>
      <w:r w:rsidR="00AC3484">
        <w:rPr>
          <w:u w:val="none"/>
        </w:rPr>
        <w:t>ых консультаций касательно механизмов включения в списки</w:t>
      </w:r>
      <w:r w:rsidR="00AC3484" w:rsidDel="00AC3484">
        <w:rPr>
          <w:u w:val="none"/>
        </w:rPr>
        <w:t xml:space="preserve"> </w:t>
      </w:r>
      <w:r>
        <w:rPr>
          <w:u w:val="none"/>
        </w:rPr>
        <w:t>в рамках Конвенции 2003 года;</w:t>
      </w:r>
    </w:p>
    <w:p w14:paraId="58F894C6" w14:textId="6C667053" w:rsidR="00A30AA7" w:rsidRPr="001D65CB" w:rsidRDefault="00A30AA7" w:rsidP="00CA0A2C">
      <w:pPr>
        <w:pStyle w:val="COMParaDecision"/>
        <w:numPr>
          <w:ilvl w:val="0"/>
          <w:numId w:val="3"/>
        </w:numPr>
        <w:ind w:left="1134" w:hanging="567"/>
        <w:rPr>
          <w:u w:val="none"/>
        </w:rPr>
      </w:pPr>
      <w:r>
        <w:t>Принимает во внимание</w:t>
      </w:r>
      <w:r>
        <w:rPr>
          <w:u w:val="none"/>
        </w:rPr>
        <w:t xml:space="preserve"> альтернативный формат проведения предварительного заседания экспертов VI категории и намерение представить обновленную информацию о соответствующих изменениях в ходе пятнадцатой сессии Комитета;</w:t>
      </w:r>
    </w:p>
    <w:p w14:paraId="537042E0" w14:textId="232CD5CC" w:rsidR="00A30AA7" w:rsidRPr="001D65CB" w:rsidRDefault="00A30AA7" w:rsidP="00CA0A2C">
      <w:pPr>
        <w:pStyle w:val="COMParaDecision"/>
        <w:numPr>
          <w:ilvl w:val="0"/>
          <w:numId w:val="3"/>
        </w:numPr>
        <w:ind w:left="1134" w:hanging="567"/>
        <w:rPr>
          <w:u w:val="none"/>
        </w:rPr>
      </w:pPr>
      <w:r>
        <w:t>Принимает во внимание также</w:t>
      </w:r>
      <w:r>
        <w:rPr>
          <w:u w:val="none"/>
        </w:rPr>
        <w:t xml:space="preserve"> пересмотренный предварительный график проведения </w:t>
      </w:r>
      <w:r w:rsidR="00AC3484">
        <w:rPr>
          <w:u w:val="none"/>
        </w:rPr>
        <w:t>консультаций по поводу механизмов включения в списки</w:t>
      </w:r>
      <w:r w:rsidR="00AC3484" w:rsidDel="00AC3484">
        <w:rPr>
          <w:u w:val="none"/>
        </w:rPr>
        <w:t xml:space="preserve"> </w:t>
      </w:r>
      <w:r>
        <w:rPr>
          <w:u w:val="none"/>
        </w:rPr>
        <w:t>в рамках Конвенции 2003 года, содержащийся в Приложении к настоящей резолюции, включая график работы межправительственной рабочей группы открытого состава на июнь 2021 года;</w:t>
      </w:r>
    </w:p>
    <w:p w14:paraId="0121DB9D" w14:textId="0A12A757" w:rsidR="001D65CB" w:rsidRPr="0044522D" w:rsidRDefault="00A30AA7" w:rsidP="00E5543C">
      <w:pPr>
        <w:pStyle w:val="COMParaDecision"/>
        <w:numPr>
          <w:ilvl w:val="0"/>
          <w:numId w:val="3"/>
        </w:numPr>
        <w:ind w:left="1134" w:hanging="567"/>
        <w:rPr>
          <w:u w:val="none"/>
        </w:rPr>
      </w:pPr>
      <w:r>
        <w:lastRenderedPageBreak/>
        <w:t>Предлагает</w:t>
      </w:r>
      <w:r>
        <w:rPr>
          <w:u w:val="none"/>
        </w:rPr>
        <w:t xml:space="preserve"> Секретариату представить доклад о прогрессе, достигнутом в процессе </w:t>
      </w:r>
      <w:r w:rsidR="00AC3484">
        <w:rPr>
          <w:u w:val="none"/>
        </w:rPr>
        <w:t>консультаций</w:t>
      </w:r>
      <w:r>
        <w:rPr>
          <w:u w:val="none"/>
        </w:rPr>
        <w:t>, в частности о результатах деятельности вышеупомянутой рабочей группы, в ходе шестнадцатой сессии Комитета.</w:t>
      </w:r>
    </w:p>
    <w:p w14:paraId="0AF2C1CC" w14:textId="30FC55C5" w:rsidR="001D65CB" w:rsidRPr="00E5543C" w:rsidRDefault="003B0668" w:rsidP="00713BAE">
      <w:pPr>
        <w:pStyle w:val="GAParaResolution"/>
        <w:pageBreakBefore/>
        <w:numPr>
          <w:ilvl w:val="0"/>
          <w:numId w:val="0"/>
        </w:numPr>
        <w:ind w:left="924"/>
        <w:jc w:val="center"/>
        <w:rPr>
          <w:rFonts w:eastAsia="Times New Roman"/>
          <w:b/>
          <w:u w:val="none"/>
        </w:rPr>
      </w:pPr>
      <w:r>
        <w:rPr>
          <w:b/>
        </w:rPr>
        <w:lastRenderedPageBreak/>
        <w:t>Приложение</w:t>
      </w:r>
    </w:p>
    <w:p w14:paraId="1E016596" w14:textId="08AA58E0" w:rsidR="001D65CB" w:rsidRDefault="001D65CB" w:rsidP="001D65CB">
      <w:pPr>
        <w:tabs>
          <w:tab w:val="center" w:pos="4819"/>
          <w:tab w:val="left" w:pos="8775"/>
        </w:tabs>
        <w:spacing w:before="12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График проведения </w:t>
      </w:r>
      <w:r w:rsidR="00AC3484" w:rsidRPr="00AC3484">
        <w:rPr>
          <w:rFonts w:ascii="Arial" w:hAnsi="Arial"/>
          <w:b/>
          <w:sz w:val="22"/>
        </w:rPr>
        <w:t>консультаций по поводу механизмов включения в списки</w:t>
      </w:r>
      <w:r>
        <w:rPr>
          <w:rFonts w:ascii="Arial" w:hAnsi="Arial"/>
          <w:b/>
          <w:sz w:val="22"/>
        </w:rPr>
        <w:t xml:space="preserve"> в рамках Конвенции об охране нематериального культурного наследия 2003 года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969"/>
        <w:gridCol w:w="6670"/>
      </w:tblGrid>
      <w:tr w:rsidR="00060166" w:rsidRPr="000B0A4E" w14:paraId="64604AA6" w14:textId="77777777" w:rsidTr="000E7828">
        <w:trPr>
          <w:cantSplit/>
          <w:jc w:val="center"/>
        </w:trPr>
        <w:tc>
          <w:tcPr>
            <w:tcW w:w="1540" w:type="pct"/>
          </w:tcPr>
          <w:p w14:paraId="556ED563" w14:textId="589FD741" w:rsidR="00060166" w:rsidDel="00B13292" w:rsidRDefault="00060166" w:rsidP="0006016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Ноябрь 2020 г.</w:t>
            </w:r>
          </w:p>
        </w:tc>
        <w:tc>
          <w:tcPr>
            <w:tcW w:w="3460" w:type="pct"/>
          </w:tcPr>
          <w:p w14:paraId="17FD1D78" w14:textId="114CCE90" w:rsidR="00060166" w:rsidRPr="00060166" w:rsidRDefault="006B51DE" w:rsidP="003B06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Запуск онлайнового опроса </w:t>
            </w:r>
          </w:p>
        </w:tc>
      </w:tr>
      <w:tr w:rsidR="001D65CB" w:rsidRPr="000B0A4E" w14:paraId="6E005EE4" w14:textId="77777777" w:rsidTr="0029747F">
        <w:trPr>
          <w:cantSplit/>
          <w:jc w:val="center"/>
        </w:trPr>
        <w:tc>
          <w:tcPr>
            <w:tcW w:w="1540" w:type="pct"/>
          </w:tcPr>
          <w:p w14:paraId="36A2EC7E" w14:textId="281342C8" w:rsidR="001D65CB" w:rsidRPr="00555100" w:rsidDel="00631872" w:rsidRDefault="001D65CB" w:rsidP="003B06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14–19 декабря 2020 г.</w:t>
            </w:r>
          </w:p>
        </w:tc>
        <w:tc>
          <w:tcPr>
            <w:tcW w:w="3460" w:type="pct"/>
          </w:tcPr>
          <w:p w14:paraId="23577A6D" w14:textId="30242006" w:rsidR="001D65CB" w:rsidRPr="00555100" w:rsidRDefault="001D65CB" w:rsidP="003B06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Пятнадцатая сессия Межправительственного комитета</w:t>
            </w:r>
          </w:p>
        </w:tc>
      </w:tr>
      <w:tr w:rsidR="00555100" w:rsidRPr="000B0A4E" w14:paraId="347D7C59" w14:textId="77777777" w:rsidTr="0029747F">
        <w:trPr>
          <w:cantSplit/>
          <w:jc w:val="center"/>
        </w:trPr>
        <w:tc>
          <w:tcPr>
            <w:tcW w:w="1540" w:type="pct"/>
          </w:tcPr>
          <w:p w14:paraId="07749FEC" w14:textId="288CE4D9" w:rsidR="00555100" w:rsidRPr="00555100" w:rsidRDefault="001307D8" w:rsidP="003B06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Январь 2021 г.</w:t>
            </w:r>
          </w:p>
        </w:tc>
        <w:tc>
          <w:tcPr>
            <w:tcW w:w="3460" w:type="pct"/>
          </w:tcPr>
          <w:p w14:paraId="2027DE07" w14:textId="4A9D12D9" w:rsidR="00555100" w:rsidRPr="00555100" w:rsidRDefault="00A473F4" w:rsidP="003B0668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Крайний срок для </w:t>
            </w:r>
            <w:r w:rsidR="006B51DE">
              <w:rPr>
                <w:rFonts w:ascii="Arial" w:hAnsi="Arial"/>
                <w:sz w:val="22"/>
              </w:rPr>
              <w:t xml:space="preserve">предоставления </w:t>
            </w:r>
            <w:r>
              <w:rPr>
                <w:rFonts w:ascii="Arial" w:hAnsi="Arial"/>
                <w:sz w:val="22"/>
              </w:rPr>
              <w:t>экспертами</w:t>
            </w:r>
            <w:r w:rsidR="006B51DE">
              <w:rPr>
                <w:rFonts w:ascii="Arial" w:hAnsi="Arial"/>
                <w:sz w:val="22"/>
              </w:rPr>
              <w:t xml:space="preserve"> ответов на онлайновый опрос</w:t>
            </w:r>
          </w:p>
        </w:tc>
      </w:tr>
      <w:tr w:rsidR="001D65CB" w:rsidRPr="000B0A4E" w14:paraId="7D487E1E" w14:textId="77777777" w:rsidTr="0029747F">
        <w:trPr>
          <w:cantSplit/>
          <w:jc w:val="center"/>
        </w:trPr>
        <w:tc>
          <w:tcPr>
            <w:tcW w:w="1540" w:type="pct"/>
          </w:tcPr>
          <w:p w14:paraId="4D1838F3" w14:textId="7CB25E8F" w:rsidR="001D65CB" w:rsidRPr="00555100" w:rsidRDefault="007D6313" w:rsidP="003B06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Февраль 2021 г.</w:t>
            </w:r>
          </w:p>
        </w:tc>
        <w:tc>
          <w:tcPr>
            <w:tcW w:w="3460" w:type="pct"/>
          </w:tcPr>
          <w:p w14:paraId="354D9B38" w14:textId="77777777" w:rsidR="001D65CB" w:rsidRPr="00555100" w:rsidRDefault="001D65CB" w:rsidP="003B0668">
            <w:pPr>
              <w:spacing w:before="120" w:after="120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Первое онлайновое пленарное заседание экспертов и создание секционных групп</w:t>
            </w:r>
          </w:p>
        </w:tc>
      </w:tr>
      <w:tr w:rsidR="001D65CB" w:rsidRPr="000B0A4E" w14:paraId="71B99CA1" w14:textId="77777777" w:rsidTr="0029747F">
        <w:trPr>
          <w:cantSplit/>
          <w:jc w:val="center"/>
        </w:trPr>
        <w:tc>
          <w:tcPr>
            <w:tcW w:w="1540" w:type="pct"/>
          </w:tcPr>
          <w:p w14:paraId="611B4FBD" w14:textId="187F498E" w:rsidR="001D65CB" w:rsidRPr="00555100" w:rsidRDefault="007D6313" w:rsidP="003B06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Февраль/март 2021 г.</w:t>
            </w:r>
          </w:p>
        </w:tc>
        <w:tc>
          <w:tcPr>
            <w:tcW w:w="3460" w:type="pct"/>
          </w:tcPr>
          <w:p w14:paraId="6FCEF5D3" w14:textId="06E8F2F1" w:rsidR="001D65CB" w:rsidRPr="00555100" w:rsidRDefault="001D65CB" w:rsidP="003B06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Анализ результатов </w:t>
            </w:r>
            <w:r w:rsidR="006B51DE">
              <w:rPr>
                <w:rFonts w:ascii="Arial" w:hAnsi="Arial"/>
                <w:sz w:val="22"/>
              </w:rPr>
              <w:t>опроса</w:t>
            </w:r>
            <w:r w:rsidR="006B51DE" w:rsidDel="006B51D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путем проведения онлайновых заседаний секционных групп</w:t>
            </w:r>
            <w:r w:rsidR="006B51DE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1D65CB" w:rsidRPr="000B0A4E" w14:paraId="0B62DA1C" w14:textId="77777777" w:rsidTr="0029747F">
        <w:trPr>
          <w:cantSplit/>
          <w:jc w:val="center"/>
        </w:trPr>
        <w:tc>
          <w:tcPr>
            <w:tcW w:w="1540" w:type="pct"/>
          </w:tcPr>
          <w:p w14:paraId="78BACBCA" w14:textId="66358D06" w:rsidR="001D65CB" w:rsidRPr="00555100" w:rsidRDefault="001D65CB" w:rsidP="003B06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Март 2021 г. </w:t>
            </w:r>
          </w:p>
        </w:tc>
        <w:tc>
          <w:tcPr>
            <w:tcW w:w="3460" w:type="pct"/>
          </w:tcPr>
          <w:p w14:paraId="3128F59A" w14:textId="7034A5DB" w:rsidR="001D65CB" w:rsidRPr="00555100" w:rsidRDefault="001D65CB" w:rsidP="003B06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Второе онлайновое пленарное заседание экспертов (первый день): представление рекомендаций секционными группами</w:t>
            </w:r>
          </w:p>
        </w:tc>
      </w:tr>
      <w:tr w:rsidR="001D65CB" w:rsidRPr="000B0A4E" w14:paraId="070D7591" w14:textId="77777777" w:rsidTr="0029747F">
        <w:trPr>
          <w:cantSplit/>
          <w:jc w:val="center"/>
        </w:trPr>
        <w:tc>
          <w:tcPr>
            <w:tcW w:w="1540" w:type="pct"/>
          </w:tcPr>
          <w:p w14:paraId="6A560A62" w14:textId="2F70011D" w:rsidR="001D65CB" w:rsidRPr="00555100" w:rsidRDefault="001D65CB" w:rsidP="003B06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Март 2021 г.</w:t>
            </w:r>
          </w:p>
        </w:tc>
        <w:tc>
          <w:tcPr>
            <w:tcW w:w="3460" w:type="pct"/>
          </w:tcPr>
          <w:p w14:paraId="01D943DF" w14:textId="77777777" w:rsidR="001D65CB" w:rsidRPr="00555100" w:rsidRDefault="001D65CB" w:rsidP="003B06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Второе онлайновое пленарное заседание экспертов (второй день): согласование рекомендаций и выводов</w:t>
            </w:r>
          </w:p>
        </w:tc>
      </w:tr>
      <w:tr w:rsidR="001D65CB" w:rsidRPr="000B0A4E" w14:paraId="35FF9B91" w14:textId="77777777" w:rsidTr="0029747F">
        <w:trPr>
          <w:cantSplit/>
          <w:jc w:val="center"/>
        </w:trPr>
        <w:tc>
          <w:tcPr>
            <w:tcW w:w="1540" w:type="pct"/>
          </w:tcPr>
          <w:p w14:paraId="2A63EDF5" w14:textId="76E77885" w:rsidR="001D65CB" w:rsidRPr="00555100" w:rsidRDefault="001D65CB" w:rsidP="0055510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Май 2021 г.</w:t>
            </w:r>
          </w:p>
        </w:tc>
        <w:tc>
          <w:tcPr>
            <w:tcW w:w="3460" w:type="pct"/>
          </w:tcPr>
          <w:p w14:paraId="56AC95E7" w14:textId="77777777" w:rsidR="001D65CB" w:rsidRPr="00555100" w:rsidRDefault="001D65CB" w:rsidP="003B06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Онлайновая публикация рабочих документов для межправительственной рабочей группы открытого состава </w:t>
            </w:r>
          </w:p>
        </w:tc>
      </w:tr>
      <w:tr w:rsidR="00555100" w:rsidRPr="000B0A4E" w14:paraId="0639BBF1" w14:textId="77777777" w:rsidTr="0029747F">
        <w:trPr>
          <w:cantSplit/>
          <w:jc w:val="center"/>
        </w:trPr>
        <w:tc>
          <w:tcPr>
            <w:tcW w:w="1540" w:type="pct"/>
          </w:tcPr>
          <w:p w14:paraId="29FFE756" w14:textId="29076EFE" w:rsidR="00555100" w:rsidRPr="00555100" w:rsidRDefault="00555100" w:rsidP="003B066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Июнь 2021 г.</w:t>
            </w:r>
          </w:p>
        </w:tc>
        <w:tc>
          <w:tcPr>
            <w:tcW w:w="3460" w:type="pct"/>
          </w:tcPr>
          <w:p w14:paraId="595AAA07" w14:textId="77777777" w:rsidR="00555100" w:rsidRPr="00555100" w:rsidRDefault="00555100" w:rsidP="003B06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Заседание межправительственной рабочей группы открытого состава</w:t>
            </w:r>
          </w:p>
        </w:tc>
      </w:tr>
      <w:tr w:rsidR="001D65CB" w:rsidRPr="000B0A4E" w14:paraId="3E6DDA96" w14:textId="77777777" w:rsidTr="0029747F">
        <w:trPr>
          <w:cantSplit/>
          <w:jc w:val="center"/>
        </w:trPr>
        <w:tc>
          <w:tcPr>
            <w:tcW w:w="1540" w:type="pct"/>
          </w:tcPr>
          <w:p w14:paraId="6FEBC784" w14:textId="2ECBB503" w:rsidR="001D65CB" w:rsidRPr="00555100" w:rsidRDefault="001D65CB" w:rsidP="003B066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Ноябрь/декабрь 2021 г.</w:t>
            </w:r>
          </w:p>
        </w:tc>
        <w:tc>
          <w:tcPr>
            <w:tcW w:w="3460" w:type="pct"/>
          </w:tcPr>
          <w:p w14:paraId="43521148" w14:textId="77777777" w:rsidR="001D65CB" w:rsidRPr="00555100" w:rsidRDefault="001D65CB" w:rsidP="003B066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Шестнадцатая сессия Межправительственного комитета</w:t>
            </w:r>
          </w:p>
        </w:tc>
      </w:tr>
    </w:tbl>
    <w:p w14:paraId="766008B0" w14:textId="77777777" w:rsidR="003B0668" w:rsidRPr="003B0668" w:rsidRDefault="003B0668">
      <w:pPr>
        <w:jc w:val="center"/>
        <w:rPr>
          <w:rFonts w:ascii="Arial" w:hAnsi="Arial" w:cs="Arial"/>
          <w:sz w:val="28"/>
          <w:szCs w:val="28"/>
          <w:lang w:val="en-GB"/>
        </w:rPr>
      </w:pPr>
    </w:p>
    <w:sectPr w:rsidR="003B0668" w:rsidRPr="003B0668" w:rsidSect="00BB2F77">
      <w:headerReference w:type="even" r:id="rId22"/>
      <w:headerReference w:type="default" r:id="rId23"/>
      <w:headerReference w:type="first" r:id="rId24"/>
      <w:pgSz w:w="11906" w:h="16838" w:code="9"/>
      <w:pgMar w:top="1418" w:right="1134" w:bottom="1080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A22CC" w14:textId="77777777" w:rsidR="009649C6" w:rsidRDefault="009649C6" w:rsidP="00655736">
      <w:r>
        <w:separator/>
      </w:r>
    </w:p>
  </w:endnote>
  <w:endnote w:type="continuationSeparator" w:id="0">
    <w:p w14:paraId="5BFF8EC2" w14:textId="77777777" w:rsidR="009649C6" w:rsidRDefault="009649C6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AE12" w14:textId="77777777" w:rsidR="009649C6" w:rsidRDefault="009649C6" w:rsidP="00655736">
      <w:r>
        <w:separator/>
      </w:r>
    </w:p>
  </w:footnote>
  <w:footnote w:type="continuationSeparator" w:id="0">
    <w:p w14:paraId="219656AC" w14:textId="77777777" w:rsidR="009649C6" w:rsidRDefault="009649C6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9C80" w14:textId="302D516E" w:rsidR="009649C6" w:rsidRPr="00E5543C" w:rsidRDefault="005D5440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 xml:space="preserve">LHE/20/8.GA/11 – страница </w:t>
    </w:r>
    <w:r w:rsidR="009649C6">
      <w:rPr>
        <w:rStyle w:val="Numrodepage"/>
        <w:rFonts w:ascii="Arial" w:hAnsi="Arial" w:cs="Arial"/>
        <w:sz w:val="20"/>
        <w:szCs w:val="20"/>
      </w:rPr>
      <w:fldChar w:fldCharType="begin"/>
    </w:r>
    <w:r w:rsidR="009649C6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="009649C6">
      <w:rPr>
        <w:rStyle w:val="Numrodepage"/>
        <w:rFonts w:ascii="Arial" w:hAnsi="Arial" w:cs="Arial"/>
        <w:sz w:val="20"/>
        <w:szCs w:val="20"/>
      </w:rPr>
      <w:fldChar w:fldCharType="separate"/>
    </w:r>
    <w:r w:rsidR="00EE0B30">
      <w:rPr>
        <w:rStyle w:val="Numrodepage"/>
        <w:rFonts w:ascii="Arial" w:hAnsi="Arial" w:cs="Arial"/>
        <w:noProof/>
        <w:sz w:val="20"/>
        <w:szCs w:val="20"/>
      </w:rPr>
      <w:t>6</w:t>
    </w:r>
    <w:r w:rsidR="009649C6"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33BA" w14:textId="442A335A" w:rsidR="009649C6" w:rsidRPr="00E5543C" w:rsidRDefault="009649C6" w:rsidP="00E5543C">
    <w:pPr>
      <w:pStyle w:val="En-tte"/>
      <w:jc w:val="right"/>
      <w:rPr>
        <w:rFonts w:ascii="Arial" w:hAnsi="Arial" w:cs="Arial"/>
      </w:rPr>
    </w:pPr>
    <w:r>
      <w:tab/>
    </w:r>
    <w:r w:rsidR="00BB2F77">
      <w:rPr>
        <w:rFonts w:ascii="Arial" w:hAnsi="Arial"/>
        <w:sz w:val="20"/>
        <w:lang w:val="fr-FR"/>
      </w:rPr>
      <w:t>LHE</w:t>
    </w:r>
    <w:r>
      <w:rPr>
        <w:rFonts w:ascii="Arial" w:hAnsi="Arial"/>
        <w:sz w:val="20"/>
      </w:rPr>
      <w:t xml:space="preserve">/20/8.GA/11 – страница </w:t>
    </w:r>
    <w:r>
      <w:rPr>
        <w:rStyle w:val="Numrodepage"/>
        <w:rFonts w:ascii="Arial" w:hAnsi="Arial" w:cs="Arial"/>
        <w:sz w:val="20"/>
        <w:szCs w:val="20"/>
      </w:rPr>
      <w:fldChar w:fldCharType="begin"/>
    </w:r>
    <w:r>
      <w:rPr>
        <w:rStyle w:val="Numrodepage"/>
        <w:rFonts w:ascii="Arial" w:hAnsi="Arial" w:cs="Arial"/>
        <w:sz w:val="20"/>
        <w:szCs w:val="20"/>
      </w:rPr>
      <w:instrText xml:space="preserve"> PAGE </w:instrText>
    </w:r>
    <w:r>
      <w:rPr>
        <w:rStyle w:val="Numrodepage"/>
        <w:rFonts w:ascii="Arial" w:hAnsi="Arial" w:cs="Arial"/>
        <w:sz w:val="20"/>
        <w:szCs w:val="20"/>
      </w:rPr>
      <w:fldChar w:fldCharType="separate"/>
    </w:r>
    <w:r w:rsidR="00EE0B30">
      <w:rPr>
        <w:rStyle w:val="Numrodepage"/>
        <w:rFonts w:ascii="Arial" w:hAnsi="Arial" w:cs="Arial"/>
        <w:noProof/>
        <w:sz w:val="20"/>
        <w:szCs w:val="20"/>
      </w:rPr>
      <w:t>5</w:t>
    </w:r>
    <w:r>
      <w:rPr>
        <w:rStyle w:val="Numrodepage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24E4" w14:textId="5012BFA1" w:rsidR="009649C6" w:rsidRDefault="008244A1" w:rsidP="00D40847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  <w:lang w:val="fr-FR" w:eastAsia="ja-JP"/>
      </w:rPr>
      <w:drawing>
        <wp:anchor distT="0" distB="0" distL="114300" distR="114300" simplePos="0" relativeHeight="251659264" behindDoc="0" locked="0" layoutInCell="1" allowOverlap="1" wp14:anchorId="7A4E62F2" wp14:editId="3FFAEB9F">
          <wp:simplePos x="0" y="0"/>
          <wp:positionH relativeFrom="page">
            <wp:posOffset>100965</wp:posOffset>
          </wp:positionH>
          <wp:positionV relativeFrom="page">
            <wp:posOffset>156845</wp:posOffset>
          </wp:positionV>
          <wp:extent cx="2530800" cy="1443600"/>
          <wp:effectExtent l="0" t="0" r="3175" b="4445"/>
          <wp:wrapNone/>
          <wp:docPr id="2" name="Image 1" descr="unesco_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800" cy="14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9C6">
      <w:rPr>
        <w:rFonts w:ascii="Arial" w:hAnsi="Arial"/>
        <w:b/>
        <w:sz w:val="44"/>
      </w:rPr>
      <w:t>8 GA</w:t>
    </w:r>
  </w:p>
  <w:p w14:paraId="738C2EC5" w14:textId="1AED2F21" w:rsidR="009649C6" w:rsidRDefault="005D5440" w:rsidP="00D40847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LHE/20/8.GA/11</w:t>
    </w:r>
  </w:p>
  <w:p w14:paraId="63EB23CA" w14:textId="77777777" w:rsidR="009649C6" w:rsidRDefault="009649C6" w:rsidP="00D40847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Париж, 7 августа 2020 г.</w:t>
    </w:r>
  </w:p>
  <w:p w14:paraId="4EC8EFB2" w14:textId="77777777" w:rsidR="009649C6" w:rsidRDefault="009649C6" w:rsidP="00D40847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Оригинал: английский</w:t>
    </w:r>
  </w:p>
  <w:p w14:paraId="0DA06E69" w14:textId="77777777" w:rsidR="009649C6" w:rsidRDefault="009649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A4"/>
    <w:multiLevelType w:val="hybridMultilevel"/>
    <w:tmpl w:val="DC648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6B9"/>
    <w:multiLevelType w:val="hybridMultilevel"/>
    <w:tmpl w:val="A4F2784A"/>
    <w:lvl w:ilvl="0" w:tplc="3208CFA2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141235E"/>
    <w:multiLevelType w:val="hybridMultilevel"/>
    <w:tmpl w:val="F43E9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F69485A"/>
    <w:multiLevelType w:val="hybridMultilevel"/>
    <w:tmpl w:val="CDD0303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D75349"/>
    <w:multiLevelType w:val="hybridMultilevel"/>
    <w:tmpl w:val="B5505D72"/>
    <w:lvl w:ilvl="0" w:tplc="E09EB8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DF05A1"/>
    <w:multiLevelType w:val="hybridMultilevel"/>
    <w:tmpl w:val="817A9FB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17139"/>
    <w:multiLevelType w:val="hybridMultilevel"/>
    <w:tmpl w:val="24982874"/>
    <w:lvl w:ilvl="0" w:tplc="1F3829BA">
      <w:start w:val="1"/>
      <w:numFmt w:val="decimal"/>
      <w:pStyle w:val="OGParagraphLevel1Numbered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A25546">
      <w:start w:val="9"/>
      <w:numFmt w:val="decimal"/>
      <w:lvlText w:val="%2."/>
      <w:lvlJc w:val="left"/>
      <w:pPr>
        <w:tabs>
          <w:tab w:val="num" w:pos="1978"/>
        </w:tabs>
        <w:ind w:left="197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9" w15:restartNumberingAfterBreak="0">
    <w:nsid w:val="2D4A25E2"/>
    <w:multiLevelType w:val="hybridMultilevel"/>
    <w:tmpl w:val="EDDE1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E299D"/>
    <w:multiLevelType w:val="hybridMultilevel"/>
    <w:tmpl w:val="594E8996"/>
    <w:lvl w:ilvl="0" w:tplc="040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B7730B"/>
    <w:multiLevelType w:val="hybridMultilevel"/>
    <w:tmpl w:val="9478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06475"/>
    <w:multiLevelType w:val="hybridMultilevel"/>
    <w:tmpl w:val="7102D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A62DF"/>
    <w:multiLevelType w:val="hybridMultilevel"/>
    <w:tmpl w:val="89A2A9E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2A60DD"/>
    <w:multiLevelType w:val="hybridMultilevel"/>
    <w:tmpl w:val="CDFCC7DA"/>
    <w:lvl w:ilvl="0" w:tplc="74BE3FC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0"/>
  </w:num>
  <w:num w:numId="6">
    <w:abstractNumId w:val="16"/>
  </w:num>
  <w:num w:numId="7">
    <w:abstractNumId w:val="18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2"/>
  </w:num>
  <w:num w:numId="13">
    <w:abstractNumId w:val="12"/>
  </w:num>
  <w:num w:numId="14">
    <w:abstractNumId w:val="19"/>
  </w:num>
  <w:num w:numId="15">
    <w:abstractNumId w:val="1"/>
  </w:num>
  <w:num w:numId="16">
    <w:abstractNumId w:val="9"/>
  </w:num>
  <w:num w:numId="17">
    <w:abstractNumId w:val="3"/>
  </w:num>
  <w:num w:numId="18">
    <w:abstractNumId w:val="4"/>
  </w:num>
  <w:num w:numId="19">
    <w:abstractNumId w:val="5"/>
  </w:num>
  <w:num w:numId="20">
    <w:abstractNumId w:val="10"/>
  </w:num>
  <w:num w:numId="21">
    <w:abstractNumId w:val="6"/>
  </w:num>
  <w:num w:numId="22">
    <w:abstractNumId w:val="15"/>
  </w:num>
  <w:num w:numId="23">
    <w:abstractNumId w:val="7"/>
  </w:num>
  <w:num w:numId="24">
    <w:abstractNumId w:val="8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7"/>
  </w:num>
  <w:num w:numId="31">
    <w:abstractNumId w:val="14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6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66"/>
    <w:rsid w:val="000048ED"/>
    <w:rsid w:val="00011962"/>
    <w:rsid w:val="00011D70"/>
    <w:rsid w:val="00041A66"/>
    <w:rsid w:val="0004234B"/>
    <w:rsid w:val="00042DBA"/>
    <w:rsid w:val="0005176E"/>
    <w:rsid w:val="00060166"/>
    <w:rsid w:val="000765F7"/>
    <w:rsid w:val="00077AB7"/>
    <w:rsid w:val="00081CD8"/>
    <w:rsid w:val="000A05A1"/>
    <w:rsid w:val="000A7F0E"/>
    <w:rsid w:val="000B05AC"/>
    <w:rsid w:val="000B0A4E"/>
    <w:rsid w:val="000C0D61"/>
    <w:rsid w:val="000C4299"/>
    <w:rsid w:val="000E7828"/>
    <w:rsid w:val="000F3A3F"/>
    <w:rsid w:val="000F4E7E"/>
    <w:rsid w:val="00101E64"/>
    <w:rsid w:val="00102557"/>
    <w:rsid w:val="0011277E"/>
    <w:rsid w:val="0011280D"/>
    <w:rsid w:val="00122983"/>
    <w:rsid w:val="001307D8"/>
    <w:rsid w:val="001428F1"/>
    <w:rsid w:val="00144FF8"/>
    <w:rsid w:val="001631A9"/>
    <w:rsid w:val="00164D56"/>
    <w:rsid w:val="00167B10"/>
    <w:rsid w:val="0017402F"/>
    <w:rsid w:val="00176720"/>
    <w:rsid w:val="00180834"/>
    <w:rsid w:val="00181776"/>
    <w:rsid w:val="00196C1B"/>
    <w:rsid w:val="001B0F73"/>
    <w:rsid w:val="001C35AA"/>
    <w:rsid w:val="001C41DF"/>
    <w:rsid w:val="001D12CF"/>
    <w:rsid w:val="001D29EF"/>
    <w:rsid w:val="001D5C04"/>
    <w:rsid w:val="001D65CB"/>
    <w:rsid w:val="001E2CC6"/>
    <w:rsid w:val="001F4138"/>
    <w:rsid w:val="00207184"/>
    <w:rsid w:val="0021444E"/>
    <w:rsid w:val="00222A2D"/>
    <w:rsid w:val="00223029"/>
    <w:rsid w:val="00234745"/>
    <w:rsid w:val="002407AF"/>
    <w:rsid w:val="00245468"/>
    <w:rsid w:val="00246E86"/>
    <w:rsid w:val="00247FF5"/>
    <w:rsid w:val="00256C17"/>
    <w:rsid w:val="002570C3"/>
    <w:rsid w:val="00270179"/>
    <w:rsid w:val="00273C0D"/>
    <w:rsid w:val="00285DCC"/>
    <w:rsid w:val="00295928"/>
    <w:rsid w:val="0029747F"/>
    <w:rsid w:val="002A458C"/>
    <w:rsid w:val="002B2B32"/>
    <w:rsid w:val="002C09E3"/>
    <w:rsid w:val="002C693D"/>
    <w:rsid w:val="002D3001"/>
    <w:rsid w:val="002E13FD"/>
    <w:rsid w:val="002E6C80"/>
    <w:rsid w:val="002F0ED5"/>
    <w:rsid w:val="002F312A"/>
    <w:rsid w:val="002F7270"/>
    <w:rsid w:val="003145F6"/>
    <w:rsid w:val="00316C47"/>
    <w:rsid w:val="00327E44"/>
    <w:rsid w:val="0033635C"/>
    <w:rsid w:val="003368F5"/>
    <w:rsid w:val="00336D6F"/>
    <w:rsid w:val="00343200"/>
    <w:rsid w:val="00345CB4"/>
    <w:rsid w:val="003549B8"/>
    <w:rsid w:val="00362F40"/>
    <w:rsid w:val="00364186"/>
    <w:rsid w:val="0038232C"/>
    <w:rsid w:val="003A445C"/>
    <w:rsid w:val="003B0668"/>
    <w:rsid w:val="003B69FD"/>
    <w:rsid w:val="003C486B"/>
    <w:rsid w:val="003D069C"/>
    <w:rsid w:val="003D4F3C"/>
    <w:rsid w:val="003D7646"/>
    <w:rsid w:val="003F113A"/>
    <w:rsid w:val="003F58AC"/>
    <w:rsid w:val="00414643"/>
    <w:rsid w:val="00423AD7"/>
    <w:rsid w:val="004260C3"/>
    <w:rsid w:val="004421E5"/>
    <w:rsid w:val="004429A1"/>
    <w:rsid w:val="0044522D"/>
    <w:rsid w:val="004505B4"/>
    <w:rsid w:val="00452284"/>
    <w:rsid w:val="004708DD"/>
    <w:rsid w:val="00481CE0"/>
    <w:rsid w:val="004856CA"/>
    <w:rsid w:val="0049705E"/>
    <w:rsid w:val="004A34A0"/>
    <w:rsid w:val="004C0D44"/>
    <w:rsid w:val="004C32FA"/>
    <w:rsid w:val="004E71ED"/>
    <w:rsid w:val="00503A13"/>
    <w:rsid w:val="00504A2E"/>
    <w:rsid w:val="0052172F"/>
    <w:rsid w:val="00526A39"/>
    <w:rsid w:val="00526B7B"/>
    <w:rsid w:val="005308CE"/>
    <w:rsid w:val="00540FE0"/>
    <w:rsid w:val="00547708"/>
    <w:rsid w:val="00555100"/>
    <w:rsid w:val="005732C5"/>
    <w:rsid w:val="0057439C"/>
    <w:rsid w:val="005842FE"/>
    <w:rsid w:val="0059491F"/>
    <w:rsid w:val="005B0127"/>
    <w:rsid w:val="005B7A35"/>
    <w:rsid w:val="005C4B73"/>
    <w:rsid w:val="005C65CA"/>
    <w:rsid w:val="005D5440"/>
    <w:rsid w:val="005D6E22"/>
    <w:rsid w:val="005E1D2B"/>
    <w:rsid w:val="005F5C73"/>
    <w:rsid w:val="00600D93"/>
    <w:rsid w:val="00606664"/>
    <w:rsid w:val="00607593"/>
    <w:rsid w:val="00632341"/>
    <w:rsid w:val="0063261B"/>
    <w:rsid w:val="0063300C"/>
    <w:rsid w:val="0064453C"/>
    <w:rsid w:val="00655028"/>
    <w:rsid w:val="00655736"/>
    <w:rsid w:val="00662E69"/>
    <w:rsid w:val="00663B8D"/>
    <w:rsid w:val="00681836"/>
    <w:rsid w:val="006842B2"/>
    <w:rsid w:val="00685E01"/>
    <w:rsid w:val="0068642D"/>
    <w:rsid w:val="006872A1"/>
    <w:rsid w:val="0069005D"/>
    <w:rsid w:val="00696C8D"/>
    <w:rsid w:val="00697C93"/>
    <w:rsid w:val="006A2AC2"/>
    <w:rsid w:val="006A2EB4"/>
    <w:rsid w:val="006A3617"/>
    <w:rsid w:val="006B51DE"/>
    <w:rsid w:val="006B6D58"/>
    <w:rsid w:val="006C28CA"/>
    <w:rsid w:val="006D2468"/>
    <w:rsid w:val="006E46E4"/>
    <w:rsid w:val="006F41B4"/>
    <w:rsid w:val="007018C9"/>
    <w:rsid w:val="00703FBF"/>
    <w:rsid w:val="0070600A"/>
    <w:rsid w:val="00706D38"/>
    <w:rsid w:val="00710677"/>
    <w:rsid w:val="0071273F"/>
    <w:rsid w:val="00713BAE"/>
    <w:rsid w:val="00717DA5"/>
    <w:rsid w:val="00720AB2"/>
    <w:rsid w:val="00727DFF"/>
    <w:rsid w:val="00727FD4"/>
    <w:rsid w:val="00744484"/>
    <w:rsid w:val="00763046"/>
    <w:rsid w:val="00763A0D"/>
    <w:rsid w:val="00773188"/>
    <w:rsid w:val="00783782"/>
    <w:rsid w:val="00784B8C"/>
    <w:rsid w:val="007958B1"/>
    <w:rsid w:val="007B223F"/>
    <w:rsid w:val="007B35E7"/>
    <w:rsid w:val="007D6313"/>
    <w:rsid w:val="007F414E"/>
    <w:rsid w:val="00800203"/>
    <w:rsid w:val="00811D5E"/>
    <w:rsid w:val="00823A11"/>
    <w:rsid w:val="008244A1"/>
    <w:rsid w:val="008328F5"/>
    <w:rsid w:val="00852866"/>
    <w:rsid w:val="0085414A"/>
    <w:rsid w:val="0086269D"/>
    <w:rsid w:val="0086543A"/>
    <w:rsid w:val="00865FB9"/>
    <w:rsid w:val="00866AE3"/>
    <w:rsid w:val="008724E5"/>
    <w:rsid w:val="00884A9D"/>
    <w:rsid w:val="0088512B"/>
    <w:rsid w:val="008948AA"/>
    <w:rsid w:val="008A1ED4"/>
    <w:rsid w:val="008A2B2D"/>
    <w:rsid w:val="008A4E1E"/>
    <w:rsid w:val="008B4AF1"/>
    <w:rsid w:val="008C296C"/>
    <w:rsid w:val="008C3571"/>
    <w:rsid w:val="008D4305"/>
    <w:rsid w:val="00912252"/>
    <w:rsid w:val="009163A7"/>
    <w:rsid w:val="0091661F"/>
    <w:rsid w:val="009166EB"/>
    <w:rsid w:val="00916C5E"/>
    <w:rsid w:val="00937C25"/>
    <w:rsid w:val="0094593F"/>
    <w:rsid w:val="00946D0B"/>
    <w:rsid w:val="00946DAB"/>
    <w:rsid w:val="009509BF"/>
    <w:rsid w:val="00957A61"/>
    <w:rsid w:val="0096220E"/>
    <w:rsid w:val="00962997"/>
    <w:rsid w:val="00962CD3"/>
    <w:rsid w:val="009649C6"/>
    <w:rsid w:val="00973222"/>
    <w:rsid w:val="00982889"/>
    <w:rsid w:val="00982C1E"/>
    <w:rsid w:val="009936EC"/>
    <w:rsid w:val="009A18CD"/>
    <w:rsid w:val="009B0065"/>
    <w:rsid w:val="009B448C"/>
    <w:rsid w:val="009C0B8D"/>
    <w:rsid w:val="009C687F"/>
    <w:rsid w:val="009D3D38"/>
    <w:rsid w:val="009F080D"/>
    <w:rsid w:val="009F4420"/>
    <w:rsid w:val="00A04686"/>
    <w:rsid w:val="00A048CA"/>
    <w:rsid w:val="00A12558"/>
    <w:rsid w:val="00A13903"/>
    <w:rsid w:val="00A140AA"/>
    <w:rsid w:val="00A25631"/>
    <w:rsid w:val="00A25BDE"/>
    <w:rsid w:val="00A30AA7"/>
    <w:rsid w:val="00A34ED5"/>
    <w:rsid w:val="00A45DBF"/>
    <w:rsid w:val="00A46782"/>
    <w:rsid w:val="00A473F4"/>
    <w:rsid w:val="00A56D40"/>
    <w:rsid w:val="00A61A01"/>
    <w:rsid w:val="00A645DF"/>
    <w:rsid w:val="00A65C29"/>
    <w:rsid w:val="00A755A2"/>
    <w:rsid w:val="00A759DB"/>
    <w:rsid w:val="00A75CC3"/>
    <w:rsid w:val="00AA160B"/>
    <w:rsid w:val="00AA41A2"/>
    <w:rsid w:val="00AA6660"/>
    <w:rsid w:val="00AB1433"/>
    <w:rsid w:val="00AB2C36"/>
    <w:rsid w:val="00AB70B6"/>
    <w:rsid w:val="00AC02C4"/>
    <w:rsid w:val="00AC05B2"/>
    <w:rsid w:val="00AC3484"/>
    <w:rsid w:val="00AC3AC5"/>
    <w:rsid w:val="00AD1A86"/>
    <w:rsid w:val="00AE103E"/>
    <w:rsid w:val="00AE2368"/>
    <w:rsid w:val="00AF0A07"/>
    <w:rsid w:val="00AF4754"/>
    <w:rsid w:val="00AF4AEC"/>
    <w:rsid w:val="00AF625E"/>
    <w:rsid w:val="00B044BC"/>
    <w:rsid w:val="00B04D98"/>
    <w:rsid w:val="00B13292"/>
    <w:rsid w:val="00B20052"/>
    <w:rsid w:val="00B35401"/>
    <w:rsid w:val="00B370A8"/>
    <w:rsid w:val="00B4098B"/>
    <w:rsid w:val="00B45DD7"/>
    <w:rsid w:val="00B70B0C"/>
    <w:rsid w:val="00B75EAD"/>
    <w:rsid w:val="00B916D1"/>
    <w:rsid w:val="00B921CB"/>
    <w:rsid w:val="00B96B09"/>
    <w:rsid w:val="00BA1037"/>
    <w:rsid w:val="00BB04AF"/>
    <w:rsid w:val="00BB2F77"/>
    <w:rsid w:val="00BD2158"/>
    <w:rsid w:val="00BD52C9"/>
    <w:rsid w:val="00BD6922"/>
    <w:rsid w:val="00BE19AE"/>
    <w:rsid w:val="00BE6354"/>
    <w:rsid w:val="00BF24BE"/>
    <w:rsid w:val="00C20B31"/>
    <w:rsid w:val="00C225FC"/>
    <w:rsid w:val="00C23A97"/>
    <w:rsid w:val="00C30EAB"/>
    <w:rsid w:val="00C42C66"/>
    <w:rsid w:val="00C43C79"/>
    <w:rsid w:val="00C50660"/>
    <w:rsid w:val="00C513B5"/>
    <w:rsid w:val="00C57055"/>
    <w:rsid w:val="00C57694"/>
    <w:rsid w:val="00C617A5"/>
    <w:rsid w:val="00C70EA7"/>
    <w:rsid w:val="00C710BB"/>
    <w:rsid w:val="00C7516E"/>
    <w:rsid w:val="00C75770"/>
    <w:rsid w:val="00C86CA3"/>
    <w:rsid w:val="00C9070D"/>
    <w:rsid w:val="00C91275"/>
    <w:rsid w:val="00CA0A2C"/>
    <w:rsid w:val="00CB5AE6"/>
    <w:rsid w:val="00CB7DF8"/>
    <w:rsid w:val="00CC2CE5"/>
    <w:rsid w:val="00CC4819"/>
    <w:rsid w:val="00CC756E"/>
    <w:rsid w:val="00CC76E6"/>
    <w:rsid w:val="00CE040C"/>
    <w:rsid w:val="00D00A19"/>
    <w:rsid w:val="00D00B2B"/>
    <w:rsid w:val="00D143FC"/>
    <w:rsid w:val="00D22120"/>
    <w:rsid w:val="00D24877"/>
    <w:rsid w:val="00D344D9"/>
    <w:rsid w:val="00D34F6A"/>
    <w:rsid w:val="00D40847"/>
    <w:rsid w:val="00D4784E"/>
    <w:rsid w:val="00D5452C"/>
    <w:rsid w:val="00D65D80"/>
    <w:rsid w:val="00D85B51"/>
    <w:rsid w:val="00D95C4C"/>
    <w:rsid w:val="00DA36ED"/>
    <w:rsid w:val="00DC26C2"/>
    <w:rsid w:val="00DE34F1"/>
    <w:rsid w:val="00DE5A77"/>
    <w:rsid w:val="00DF1D35"/>
    <w:rsid w:val="00DF4942"/>
    <w:rsid w:val="00E00B99"/>
    <w:rsid w:val="00E5262D"/>
    <w:rsid w:val="00E5543C"/>
    <w:rsid w:val="00E627B1"/>
    <w:rsid w:val="00E820B3"/>
    <w:rsid w:val="00E82A24"/>
    <w:rsid w:val="00E86B8A"/>
    <w:rsid w:val="00E92CAB"/>
    <w:rsid w:val="00E9376C"/>
    <w:rsid w:val="00E96C22"/>
    <w:rsid w:val="00EA335E"/>
    <w:rsid w:val="00EA528C"/>
    <w:rsid w:val="00EB1A56"/>
    <w:rsid w:val="00ED14F3"/>
    <w:rsid w:val="00ED3540"/>
    <w:rsid w:val="00ED6A03"/>
    <w:rsid w:val="00EE0B30"/>
    <w:rsid w:val="00EF19A6"/>
    <w:rsid w:val="00EF34E2"/>
    <w:rsid w:val="00EF4F1F"/>
    <w:rsid w:val="00EF69E3"/>
    <w:rsid w:val="00F010E0"/>
    <w:rsid w:val="00F05307"/>
    <w:rsid w:val="00F060E2"/>
    <w:rsid w:val="00F10643"/>
    <w:rsid w:val="00F21DD2"/>
    <w:rsid w:val="00F53DE9"/>
    <w:rsid w:val="00F56044"/>
    <w:rsid w:val="00F576CB"/>
    <w:rsid w:val="00F67F2A"/>
    <w:rsid w:val="00F71A02"/>
    <w:rsid w:val="00F8246E"/>
    <w:rsid w:val="00FA10AC"/>
    <w:rsid w:val="00FA3D53"/>
    <w:rsid w:val="00FB6630"/>
    <w:rsid w:val="00FC3FCB"/>
    <w:rsid w:val="00FC5EC8"/>
    <w:rsid w:val="00FD1226"/>
    <w:rsid w:val="00FD6D8B"/>
    <w:rsid w:val="00FE01D0"/>
    <w:rsid w:val="00FF4830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43F4874"/>
  <w15:docId w15:val="{518C2B6B-41BC-4C7D-BFA9-3954A95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GA Heading,COM Heading"/>
    <w:basedOn w:val="Normal"/>
    <w:next w:val="Normal"/>
    <w:link w:val="Titre4Car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aliases w:val="GA Heading Car,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724E5"/>
    <w:rPr>
      <w:lang w:val="ru-RU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ru-RU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character" w:customStyle="1" w:styleId="MargeChar">
    <w:name w:val="Marge Char"/>
    <w:link w:val="Marge"/>
    <w:rsid w:val="003B0668"/>
    <w:rPr>
      <w:rFonts w:ascii="Arial" w:eastAsia="Times New Roman" w:hAnsi="Arial"/>
      <w:snapToGrid w:val="0"/>
      <w:sz w:val="22"/>
      <w:szCs w:val="24"/>
      <w:lang w:val="ru-RU" w:eastAsia="en-US"/>
    </w:r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GAPara">
    <w:name w:val="GA Para"/>
    <w:qFormat/>
    <w:rsid w:val="00345CB4"/>
    <w:pPr>
      <w:numPr>
        <w:numId w:val="2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3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</w:rPr>
  </w:style>
  <w:style w:type="paragraph" w:styleId="Paragraphedeliste">
    <w:name w:val="List Paragraph"/>
    <w:basedOn w:val="Normal"/>
    <w:uiPriority w:val="34"/>
    <w:qFormat/>
    <w:rsid w:val="002F312A"/>
    <w:pPr>
      <w:ind w:left="720"/>
      <w:contextualSpacing/>
    </w:pPr>
  </w:style>
  <w:style w:type="paragraph" w:customStyle="1" w:styleId="COMParaDecision">
    <w:name w:val="COM Para Decision"/>
    <w:basedOn w:val="Normal"/>
    <w:qFormat/>
    <w:rsid w:val="008A1ED4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paragraph" w:customStyle="1" w:styleId="COMPara">
    <w:name w:val="COM Para"/>
    <w:qFormat/>
    <w:rsid w:val="009D3D38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95928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59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5928"/>
    <w:rPr>
      <w:rFonts w:ascii="Times New Roman" w:eastAsia="Times New Roman" w:hAnsi="Times New Roman"/>
      <w:lang w:val="ru-RU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95928"/>
    <w:rPr>
      <w:vertAlign w:val="superscript"/>
    </w:rPr>
  </w:style>
  <w:style w:type="character" w:styleId="Accentuation">
    <w:name w:val="Emphasis"/>
    <w:uiPriority w:val="20"/>
    <w:qFormat/>
    <w:rsid w:val="00295928"/>
    <w:rPr>
      <w:b/>
      <w:bCs/>
      <w:i w:val="0"/>
      <w:iCs w:val="0"/>
    </w:rPr>
  </w:style>
  <w:style w:type="table" w:styleId="TableauGrille4-Accentuation1">
    <w:name w:val="Grid Table 4 Accent 1"/>
    <w:basedOn w:val="TableauNormal"/>
    <w:uiPriority w:val="49"/>
    <w:rsid w:val="00713BA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D00A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65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65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65CB"/>
    <w:rPr>
      <w:rFonts w:ascii="Times New Roman" w:eastAsia="Times New Roman" w:hAnsi="Times New Roman"/>
      <w:lang w:val="ru-RU" w:eastAsia="fr-FR"/>
    </w:rPr>
  </w:style>
  <w:style w:type="paragraph" w:customStyle="1" w:styleId="COMTitleDecision">
    <w:name w:val="COM Title Decision"/>
    <w:basedOn w:val="Normal"/>
    <w:qFormat/>
    <w:rsid w:val="003B0668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3B0668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Paragraph">
    <w:name w:val="Paragraph"/>
    <w:basedOn w:val="Marge"/>
    <w:link w:val="ParagraphChar"/>
    <w:qFormat/>
    <w:rsid w:val="003B0668"/>
    <w:pPr>
      <w:numPr>
        <w:numId w:val="15"/>
      </w:numPr>
    </w:pPr>
    <w:rPr>
      <w:rFonts w:cs="Arial"/>
      <w:szCs w:val="22"/>
    </w:rPr>
  </w:style>
  <w:style w:type="character" w:customStyle="1" w:styleId="ParagraphChar">
    <w:name w:val="Paragraph Char"/>
    <w:link w:val="Paragraph"/>
    <w:rsid w:val="003B0668"/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668"/>
    <w:rPr>
      <w:rFonts w:ascii="Times New Roman" w:eastAsia="Times New Roman" w:hAnsi="Times New Roman"/>
      <w:b/>
      <w:bCs/>
      <w:lang w:val="ru-RU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668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B066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B0668"/>
    <w:rPr>
      <w:rFonts w:ascii="Times New Roman" w:eastAsia="Times New Roman" w:hAnsi="Times New Roman"/>
      <w:lang w:val="ru-RU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B0668"/>
    <w:rPr>
      <w:color w:val="954F72" w:themeColor="followedHyperlink"/>
      <w:u w:val="single"/>
    </w:rPr>
  </w:style>
  <w:style w:type="character" w:customStyle="1" w:styleId="hps">
    <w:name w:val="hps"/>
    <w:rsid w:val="003B0668"/>
  </w:style>
  <w:style w:type="character" w:styleId="lev">
    <w:name w:val="Strong"/>
    <w:basedOn w:val="Policepardfaut"/>
    <w:uiPriority w:val="22"/>
    <w:qFormat/>
    <w:rsid w:val="003B0668"/>
    <w:rPr>
      <w:b/>
      <w:bCs/>
    </w:rPr>
  </w:style>
  <w:style w:type="paragraph" w:customStyle="1" w:styleId="OGParagraphLevel1Numbered">
    <w:name w:val="OG Paragraph Level 1 Numbered"/>
    <w:basedOn w:val="Normal"/>
    <w:uiPriority w:val="1"/>
    <w:qFormat/>
    <w:rsid w:val="003B0668"/>
    <w:pPr>
      <w:keepLines/>
      <w:numPr>
        <w:numId w:val="24"/>
      </w:numPr>
      <w:suppressAutoHyphens/>
      <w:spacing w:after="200"/>
      <w:jc w:val="both"/>
    </w:pPr>
    <w:rPr>
      <w:rFonts w:eastAsiaTheme="minorEastAsia" w:cstheme="minorBidi"/>
      <w:spacing w:val="-4"/>
      <w:sz w:val="22"/>
      <w:szCs w:val="22"/>
      <w:lang w:eastAsia="zh-CN"/>
      <w14:ligatures w14:val="standardContextual"/>
    </w:rPr>
  </w:style>
  <w:style w:type="paragraph" w:styleId="Rvision">
    <w:name w:val="Revision"/>
    <w:hidden/>
    <w:uiPriority w:val="99"/>
    <w:semiHidden/>
    <w:rsid w:val="0071273F"/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3.COM/6" TargetMode="External"/><Relationship Id="rId13" Type="http://schemas.openxmlformats.org/officeDocument/2006/relationships/hyperlink" Target="https://ich.unesco.org/en/Decisions/13.COM/10" TargetMode="External"/><Relationship Id="rId18" Type="http://schemas.openxmlformats.org/officeDocument/2006/relationships/hyperlink" Target="https://ich.unesco.org/doc/src/LHE-19-14.COM-14-EN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ch.unesco.org/en/Decisions/14.COM/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ch.unesco.org/en/Decisions/13.COM/6" TargetMode="External"/><Relationship Id="rId17" Type="http://schemas.openxmlformats.org/officeDocument/2006/relationships/hyperlink" Target="https://ich.unesco.org/doc/src/LHE-19-14.COM-14-EN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ch.unesco.org/doc/src/LHE-20-8.GA-10-RU.docx" TargetMode="External"/><Relationship Id="rId20" Type="http://schemas.openxmlformats.org/officeDocument/2006/relationships/hyperlink" Target="https://ich.unesco.org/en/Decisions/13.COM/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en/Decisions/12.COM/14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en/Decisions/13.COM/1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ich.unesco.org/en/Decisions/14.COM/14" TargetMode="External"/><Relationship Id="rId19" Type="http://schemas.openxmlformats.org/officeDocument/2006/relationships/hyperlink" Target="https://ich.unesco.org/en/Decisions/13.COM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13.COM/10" TargetMode="External"/><Relationship Id="rId14" Type="http://schemas.openxmlformats.org/officeDocument/2006/relationships/hyperlink" Target="https://ich.unesco.org/en/Decisions/14.COM/14" TargetMode="External"/><Relationship Id="rId22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4_STATUTORY%20MEETINGS\2014-06_5GA_PARIS\Documents%205.GA\00_Templates\GA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8D0E-CE1B-4410-857A-C21E4D6B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GA_Working document_EN.dotx</Template>
  <TotalTime>49</TotalTime>
  <Pages>6</Pages>
  <Words>2045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dc:description/>
  <cp:lastModifiedBy>Ohinata, Fumiko</cp:lastModifiedBy>
  <cp:revision>11</cp:revision>
  <cp:lastPrinted>2020-07-30T15:51:00Z</cp:lastPrinted>
  <dcterms:created xsi:type="dcterms:W3CDTF">2020-08-07T13:46:00Z</dcterms:created>
  <dcterms:modified xsi:type="dcterms:W3CDTF">2020-08-07T17:14:00Z</dcterms:modified>
</cp:coreProperties>
</file>