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06" w:rsidRDefault="00867406" w:rsidP="00E664F9">
      <w:pPr>
        <w:pStyle w:val="Heading1"/>
        <w:rPr>
          <w:rFonts w:eastAsia="Arial Unicode MS"/>
          <w:u w:color="000000"/>
          <w:bdr w:val="nil"/>
          <w:lang w:val="en-US"/>
        </w:rPr>
      </w:pPr>
      <w:r>
        <w:rPr>
          <w:rFonts w:eastAsia="Arial Unicode MS"/>
          <w:u w:color="000000"/>
          <w:bdr w:val="nil"/>
          <w:lang w:val="en-US"/>
        </w:rPr>
        <w:t>Table</w:t>
      </w:r>
      <w:r w:rsidR="00072823">
        <w:rPr>
          <w:rFonts w:eastAsia="Arial Unicode MS"/>
          <w:u w:color="000000"/>
          <w:bdr w:val="nil"/>
          <w:lang w:val="en-US"/>
        </w:rPr>
        <w:t xml:space="preserve"> S2</w:t>
      </w:r>
      <w:bookmarkStart w:id="0" w:name="_GoBack"/>
      <w:bookmarkEnd w:id="0"/>
    </w:p>
    <w:p w:rsidR="00722463" w:rsidRPr="00867406" w:rsidRDefault="00722463" w:rsidP="0086740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20"/>
        </w:tabs>
        <w:spacing w:before="360" w:after="120"/>
        <w:ind w:firstLine="0"/>
        <w:outlineLvl w:val="3"/>
        <w:rPr>
          <w:rFonts w:eastAsia="Arial Unicode MS"/>
          <w:b/>
          <w:color w:val="000000"/>
          <w:sz w:val="22"/>
          <w:szCs w:val="22"/>
          <w:u w:color="000000"/>
          <w:bdr w:val="nil"/>
          <w:lang w:val="en-US"/>
        </w:rPr>
      </w:pPr>
      <w:r w:rsidRPr="00722463">
        <w:rPr>
          <w:rFonts w:eastAsia="Arial Unicode MS"/>
          <w:b/>
          <w:color w:val="000000"/>
          <w:sz w:val="22"/>
          <w:szCs w:val="22"/>
          <w:u w:color="000000"/>
          <w:bdr w:val="nil"/>
          <w:lang w:val="en-US"/>
        </w:rPr>
        <w:t xml:space="preserve">Stems in 1% sample analysed semantically (stems, </w:t>
      </w:r>
      <w:r w:rsidRPr="00722463">
        <w:rPr>
          <w:rFonts w:eastAsia="Arial Unicode MS"/>
          <w:i/>
          <w:color w:val="000000"/>
          <w:sz w:val="22"/>
          <w:szCs w:val="22"/>
          <w:u w:color="000000"/>
          <w:bdr w:val="nil"/>
          <w:lang w:val="en-US"/>
        </w:rPr>
        <w:t>sub-stems</w:t>
      </w:r>
      <w:r w:rsidRPr="00722463">
        <w:rPr>
          <w:rFonts w:eastAsia="Arial Unicode MS"/>
          <w:b/>
          <w:color w:val="000000"/>
          <w:sz w:val="22"/>
          <w:szCs w:val="22"/>
          <w:u w:color="000000"/>
          <w:bdr w:val="nil"/>
          <w:lang w:val="en-US"/>
        </w:rPr>
        <w:t xml:space="preserve">) </w:t>
      </w:r>
    </w:p>
    <w:tbl>
      <w:tblPr>
        <w:tblW w:w="952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3806"/>
        <w:gridCol w:w="833"/>
        <w:gridCol w:w="878"/>
        <w:gridCol w:w="872"/>
        <w:gridCol w:w="1015"/>
      </w:tblGrid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244061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244061"/>
                <w:u w:color="000000"/>
                <w:bdr w:val="nil"/>
                <w:lang w:val="en-US"/>
              </w:rPr>
              <w:t>INN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eastAsia="Arial Unicode MS"/>
                <w:b/>
                <w:color w:val="244061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244061"/>
                <w:u w:color="000000"/>
                <w:bdr w:val="nil"/>
                <w:lang w:val="en-US"/>
              </w:rPr>
              <w:t>Actions and uses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eastAsia="Arial Unicode MS"/>
                <w:b/>
                <w:color w:val="244061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244061"/>
                <w:u w:color="000000"/>
                <w:bdr w:val="nil"/>
                <w:lang w:val="en-US"/>
              </w:rPr>
              <w:t>freefix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eastAsia="Arial Unicode MS"/>
                <w:b/>
                <w:color w:val="244061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244061"/>
                <w:u w:color="000000"/>
                <w:bdr w:val="nil"/>
                <w:lang w:val="en-US"/>
              </w:rPr>
              <w:t>prefix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eastAsia="Arial Unicode MS"/>
                <w:b/>
                <w:color w:val="244061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244061"/>
                <w:u w:color="000000"/>
                <w:bdr w:val="nil"/>
                <w:lang w:val="en-US"/>
              </w:rPr>
              <w:t>infix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eastAsia="Arial Unicode MS"/>
                <w:b/>
                <w:color w:val="244061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244061"/>
                <w:u w:color="000000"/>
                <w:bdr w:val="nil"/>
                <w:lang w:val="en-US"/>
              </w:rPr>
              <w:t>suffix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acridorex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Anorexic agent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orex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alverine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Relieves smooth muscle spasm in irritable bowel syndrome and dysmenorrhoea [2]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verine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amezepine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Antidepressant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t> 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ze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pine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arterolane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Antimala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rial; also known as RBx11160 [3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arte</w:t>
            </w: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balaglitazone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Peroxisome proliferator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noBreakHyphen/>
              <w:t>activated receptor (PPAR) gamma partial agonist, and poten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tial treatment for diabetics [4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gli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tazone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benfosformin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Antihyperglycaemic agent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fos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formin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cebaracetam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Amide-type nootropic agent [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5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racetam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cipamfylline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Phosphodiesterase (type IV) inhibitor. Selective inhibitor of tumour necrosis factor alfa production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fylline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clemastine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Allergic rhinitis and dermatoses [2]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astine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conivaptan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Vasopressin receptor antagonist. Treatment of hyponatraemia [2]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vaptan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disofenin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Imaging agent of liver and kidneys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fenin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doxaprost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Cs/>
                <w:color w:val="000000"/>
                <w:szCs w:val="22"/>
                <w:u w:color="000000"/>
                <w:bdr w:val="nil"/>
                <w:lang w:val="en-US"/>
              </w:rPr>
              <w:t>Bronchodilator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prost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enolicam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Cyclooxyge</w:t>
            </w:r>
            <w:r w:rsidR="00CB4DE4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nase and lipoxygenase inhibitor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. Anti-inflammatory, antirheumatic, antiarthritic agent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icam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fluperlapine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Antidepressant, neuroleptic agent. Never marketed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t> 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a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pine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indanidine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Partial alpha1-adrenoceptor agonist, alpha2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noBreakHyphen/>
              <w:t xml:space="preserve">adrenoceptor antagonist; antihypertensive agent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nidine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indoprofen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Analgesic. Nonsteroidal anti-inflammatory agent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profen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inolimomab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932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Murine monoclonal antibody targeting interleukin-2 receptor-alpha chains [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6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lim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 xml:space="preserve"> 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br/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o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mab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ioxilan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Radiographic contract medium for urography or angiography</w:t>
            </w:r>
            <w:r w:rsidRPr="00722463">
              <w:rPr>
                <w:rFonts w:eastAsia="Arial Unicode MS"/>
                <w:color w:val="000000"/>
                <w:sz w:val="22"/>
                <w:u w:color="000000"/>
                <w:bdr w:val="nil"/>
                <w:lang w:val="en-US"/>
              </w:rPr>
              <w:t xml:space="preserve"> 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[2]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io</w:t>
            </w: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lastRenderedPageBreak/>
              <w:t>lagatide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Antidiarrhoeal [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5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tide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levopropylhexedrine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CNS stimulant; nasal decongestant; vasoconstrictor. Used as an anorectic in Germany.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drine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meprylcaine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Local anaesthetic used in dentistry [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7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caine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micinicate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Vasodilator, spasmolytic agent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nico</w:t>
            </w: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nicate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montelukast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Treatment and prophylaxis of asthma symptoms [2]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luk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ast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nedocromil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Management of mild to moderate bronchial asthma; allergic conjunctivitis [2]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cromil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nonabine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Cannabis analogue. Antiemetic agent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nab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palonosetron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5HT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vertAlign w:val="subscript"/>
                <w:lang w:val="en-US"/>
              </w:rPr>
              <w:t>3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 receptor antagonist. Antiemetic used in cancer chemotherapy [2]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setron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pelubiprofen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it-IT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it-IT"/>
              </w:rPr>
              <w:t>Analgesic. Non-steroidal anti-inflammatory drug [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it-IT"/>
              </w:rPr>
              <w:t>8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it-IT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it-IT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it-IT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it-IT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it-IT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it-IT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it-IT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profen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peplomycin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Antineoplastic antibiotic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mycin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phenylephrine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Relief of nasal congestion associated with colds and hayfever [2]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frine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pibutidine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Histamine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noBreakHyphen/>
              <w:t>H2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noBreakHyphen/>
              <w:t>receptor antagonist [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5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tidine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pimelautide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Immunostimulant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tide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pranazepide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Allergic conjunctivitis [2]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azepide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riodipine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Calcium channel blocker [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5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dipine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salazosulfadimidine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 xml:space="preserve">Antibacterial agent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sal</w:t>
            </w: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 xml:space="preserve"> </w:t>
            </w: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br/>
              <w:t>sulfa</w:t>
            </w: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azo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CB4DE4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s</w:t>
            </w:r>
            <w:r w:rsidR="00722463"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etiptiline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Tetracyclic antidepressant [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9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62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  <w:r w:rsidR="00623661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tiline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CB4DE4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s</w:t>
            </w:r>
            <w:r w:rsidR="00722463"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iplizumab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Humanized monoclonal antibody targeting CD2 receptors on T cells and natural killer cells [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10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li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 xml:space="preserve"> 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br/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zu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mab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CB4DE4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s</w:t>
            </w:r>
            <w:r w:rsidR="00722463"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ulfamerazine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Sulfonamide. Cream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noBreakHyphen/>
              <w:t xml:space="preserve">coloured powder, darkens on exposure to light 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[1]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sulfa</w:t>
            </w: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CB4DE4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t</w:t>
            </w:r>
            <w:r w:rsidR="00722463"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ilmacoxib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s-E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s-ES"/>
              </w:rPr>
              <w:t>COX-2 inhibitor [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s-ES"/>
              </w:rPr>
              <w:t>11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s-E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s-E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s-E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s-E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s-E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s-E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s-E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coxib</w:t>
            </w: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CB4DE4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t</w:t>
            </w:r>
            <w:r w:rsidR="00722463"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rifenagrel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Inhibitor of arachidonate and collagen-induced aggregation of platelets [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12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grel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CB4DE4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u</w:t>
            </w:r>
            <w:r w:rsidR="00722463"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benimex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Competitive protease inhibitor [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13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imex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CB4DE4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u</w:t>
            </w:r>
            <w:r w:rsidR="00722463"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lipristal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Emergency contraception within 120 hours [2]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pris</w:t>
            </w: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CB4DE4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lastRenderedPageBreak/>
              <w:t>v</w:t>
            </w:r>
            <w:r w:rsidR="00722463"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alaciclovir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Treatment of herpes zoster and ophthalmic zoster [2]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vir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ciclo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</w:p>
        </w:tc>
      </w:tr>
      <w:tr w:rsidR="00722463" w:rsidRPr="00722463" w:rsidTr="008618F5">
        <w:trPr>
          <w:trHeight w:val="1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CB4DE4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v</w:t>
            </w:r>
            <w:r w:rsidR="00722463"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olociximab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Chimeric monoclonal antibody targeting human α5β1 integrin [</w:t>
            </w:r>
            <w:r w:rsidR="0093236A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14</w:t>
            </w:r>
            <w:r w:rsidRPr="00722463">
              <w:rPr>
                <w:rFonts w:eastAsia="Arial Unicode MS"/>
                <w:color w:val="000000"/>
                <w:szCs w:val="22"/>
                <w:u w:color="000000"/>
                <w:bdr w:val="nil"/>
                <w:lang w:val="en-US"/>
              </w:rPr>
              <w:t>]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ci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 xml:space="preserve"> 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br/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  <w:t>xi</w:t>
            </w:r>
            <w:r w:rsidRPr="00722463">
              <w:rPr>
                <w:rFonts w:eastAsia="Arial Unicode MS"/>
                <w:i/>
                <w:color w:val="000000"/>
                <w:szCs w:val="22"/>
                <w:u w:color="000000"/>
                <w:bdr w:val="nil"/>
                <w:lang w:val="en-US"/>
              </w:rPr>
              <w:noBreakHyphen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463" w:rsidRPr="00722463" w:rsidRDefault="00722463" w:rsidP="0072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20"/>
              </w:tabs>
              <w:ind w:firstLine="0"/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</w:pPr>
            <w:r w:rsidRPr="00722463">
              <w:rPr>
                <w:rFonts w:eastAsia="Arial Unicode MS"/>
                <w:b/>
                <w:color w:val="000000"/>
                <w:szCs w:val="22"/>
                <w:u w:color="000000"/>
                <w:bdr w:val="nil"/>
                <w:lang w:val="en-US"/>
              </w:rPr>
              <w:noBreakHyphen/>
              <w:t>mab</w:t>
            </w:r>
          </w:p>
        </w:tc>
      </w:tr>
    </w:tbl>
    <w:p w:rsidR="00E21E41" w:rsidRDefault="00E21E41" w:rsidP="00E21E41"/>
    <w:p w:rsidR="0093236A" w:rsidRDefault="0093236A" w:rsidP="0093236A">
      <w:pPr>
        <w:pStyle w:val="Heading2"/>
      </w:pPr>
      <w:r>
        <w:t>References</w:t>
      </w:r>
    </w:p>
    <w:p w:rsidR="0093236A" w:rsidRPr="0093236A" w:rsidRDefault="0093236A" w:rsidP="0093236A">
      <w:pPr>
        <w:pStyle w:val="NormalWeb"/>
        <w:numPr>
          <w:ilvl w:val="0"/>
          <w:numId w:val="31"/>
        </w:numPr>
        <w:tabs>
          <w:tab w:val="left" w:pos="828"/>
        </w:tabs>
        <w:spacing w:before="0" w:after="0"/>
        <w:rPr>
          <w:rFonts w:ascii="Segoe UI" w:eastAsia="Calibri" w:hAnsi="Segoe UI" w:cs="Segoe UI"/>
          <w:color w:val="auto"/>
          <w:sz w:val="20"/>
          <w:szCs w:val="20"/>
        </w:rPr>
      </w:pPr>
      <w:r w:rsidRPr="0093236A">
        <w:rPr>
          <w:rFonts w:ascii="Segoe UI" w:eastAsia="Calibri" w:hAnsi="Segoe UI" w:cs="Segoe UI"/>
          <w:color w:val="auto"/>
          <w:sz w:val="20"/>
          <w:szCs w:val="20"/>
        </w:rPr>
        <w:t>Ganellin, CR, Triggle, DJ. Dictionary of Pharmacological Agents. London: Chapman &amp; Hall; 1996.</w:t>
      </w:r>
    </w:p>
    <w:p w:rsidR="0093236A" w:rsidRPr="0093236A" w:rsidRDefault="0093236A" w:rsidP="0093236A">
      <w:pPr>
        <w:pStyle w:val="NormalWeb"/>
        <w:numPr>
          <w:ilvl w:val="0"/>
          <w:numId w:val="31"/>
        </w:numPr>
        <w:tabs>
          <w:tab w:val="left" w:pos="828"/>
        </w:tabs>
        <w:spacing w:before="0" w:after="0"/>
        <w:rPr>
          <w:rFonts w:ascii="Segoe UI" w:eastAsia="Calibri" w:hAnsi="Segoe UI" w:cs="Segoe UI"/>
          <w:color w:val="auto"/>
          <w:sz w:val="20"/>
          <w:szCs w:val="20"/>
        </w:rPr>
      </w:pPr>
      <w:r w:rsidRPr="0093236A">
        <w:rPr>
          <w:rFonts w:ascii="Segoe UI" w:eastAsia="Calibri" w:hAnsi="Segoe UI" w:cs="Segoe UI"/>
          <w:color w:val="auto"/>
          <w:sz w:val="20"/>
          <w:szCs w:val="20"/>
        </w:rPr>
        <w:t xml:space="preserve">Electronic Medicines Compedium, eMC. Home page [cited 22 Jul 2015]. Available from: </w:t>
      </w:r>
      <w:hyperlink r:id="rId8" w:history="1">
        <w:r w:rsidRPr="0093236A">
          <w:rPr>
            <w:rStyle w:val="Hyperlink"/>
            <w:rFonts w:ascii="Segoe UI" w:eastAsia="Calibri" w:hAnsi="Segoe UI" w:cs="Segoe UI"/>
            <w:sz w:val="20"/>
            <w:szCs w:val="20"/>
          </w:rPr>
          <w:t>http://www.medicines.org.uk/emc/</w:t>
        </w:r>
      </w:hyperlink>
      <w:r w:rsidRPr="0093236A">
        <w:rPr>
          <w:rFonts w:ascii="Segoe UI" w:eastAsia="Calibri" w:hAnsi="Segoe UI" w:cs="Segoe UI"/>
          <w:color w:val="auto"/>
          <w:sz w:val="20"/>
          <w:szCs w:val="20"/>
        </w:rPr>
        <w:t>.</w:t>
      </w:r>
    </w:p>
    <w:p w:rsidR="0093236A" w:rsidRPr="0093236A" w:rsidRDefault="0093236A" w:rsidP="0093236A">
      <w:pPr>
        <w:pStyle w:val="NormalWeb"/>
        <w:numPr>
          <w:ilvl w:val="0"/>
          <w:numId w:val="31"/>
        </w:numPr>
        <w:tabs>
          <w:tab w:val="left" w:pos="828"/>
        </w:tabs>
        <w:spacing w:before="0" w:after="0"/>
        <w:rPr>
          <w:rFonts w:ascii="Segoe UI" w:eastAsia="Calibri" w:hAnsi="Segoe UI" w:cs="Segoe UI"/>
          <w:color w:val="auto"/>
          <w:sz w:val="20"/>
          <w:szCs w:val="20"/>
        </w:rPr>
      </w:pPr>
      <w:r w:rsidRPr="0093236A">
        <w:rPr>
          <w:rFonts w:ascii="Segoe UI" w:eastAsia="Calibri" w:hAnsi="Segoe UI" w:cs="Segoe UI"/>
          <w:color w:val="auto"/>
          <w:sz w:val="20"/>
          <w:szCs w:val="20"/>
          <w:lang w:val="de-DE"/>
        </w:rPr>
        <w:t xml:space="preserve">Uhlemann, A-C, Wittlin, S, Hugues, M, Bustamente, LY, Krishna, S. </w:t>
      </w:r>
      <w:r w:rsidRPr="0093236A">
        <w:rPr>
          <w:rFonts w:ascii="Segoe UI" w:eastAsia="Calibri" w:hAnsi="Segoe UI" w:cs="Segoe UI"/>
          <w:color w:val="auto"/>
          <w:sz w:val="20"/>
          <w:szCs w:val="20"/>
        </w:rPr>
        <w:t>Mechanism of Antimalarial Action of the Synthetic Trioxolane RBX11160 (OZ277). Antimicrob Agents Chemother. 2007;51(2):667–672.</w:t>
      </w:r>
    </w:p>
    <w:p w:rsidR="0093236A" w:rsidRPr="0093236A" w:rsidRDefault="0093236A" w:rsidP="0093236A">
      <w:pPr>
        <w:pStyle w:val="NormalWeb"/>
        <w:numPr>
          <w:ilvl w:val="0"/>
          <w:numId w:val="31"/>
        </w:numPr>
        <w:tabs>
          <w:tab w:val="left" w:pos="828"/>
        </w:tabs>
        <w:spacing w:before="0" w:after="0"/>
        <w:rPr>
          <w:rFonts w:ascii="Segoe UI" w:hAnsi="Segoe UI" w:cs="Segoe UI"/>
          <w:color w:val="auto"/>
          <w:sz w:val="20"/>
          <w:szCs w:val="20"/>
        </w:rPr>
      </w:pPr>
      <w:r w:rsidRPr="0093236A">
        <w:rPr>
          <w:rFonts w:ascii="Segoe UI" w:hAnsi="Segoe UI" w:cs="Segoe UI"/>
          <w:color w:val="auto"/>
          <w:sz w:val="20"/>
          <w:szCs w:val="20"/>
          <w:lang w:val="de-DE"/>
        </w:rPr>
        <w:t xml:space="preserve">Youssef, JA, Badr, MZ. </w:t>
      </w:r>
      <w:r w:rsidRPr="0093236A">
        <w:rPr>
          <w:rFonts w:ascii="Segoe UI" w:hAnsi="Segoe UI" w:cs="Segoe UI"/>
          <w:color w:val="auto"/>
          <w:sz w:val="20"/>
          <w:szCs w:val="20"/>
        </w:rPr>
        <w:t>Peroxisome Proliferator-Activated Receptors. New York: Humana Press; 2013.</w:t>
      </w:r>
    </w:p>
    <w:p w:rsidR="0093236A" w:rsidRPr="0093236A" w:rsidRDefault="0093236A" w:rsidP="0093236A">
      <w:pPr>
        <w:pStyle w:val="NormalWeb"/>
        <w:numPr>
          <w:ilvl w:val="0"/>
          <w:numId w:val="31"/>
        </w:numPr>
        <w:tabs>
          <w:tab w:val="left" w:pos="828"/>
        </w:tabs>
        <w:spacing w:before="0" w:after="0"/>
        <w:rPr>
          <w:rFonts w:ascii="Segoe UI" w:hAnsi="Segoe UI" w:cs="Segoe UI"/>
          <w:color w:val="auto"/>
          <w:sz w:val="20"/>
          <w:szCs w:val="20"/>
        </w:rPr>
      </w:pPr>
      <w:r w:rsidRPr="0093236A">
        <w:rPr>
          <w:rFonts w:ascii="Segoe UI" w:hAnsi="Segoe UI" w:cs="Segoe UI"/>
          <w:color w:val="auto"/>
          <w:sz w:val="20"/>
          <w:szCs w:val="20"/>
        </w:rPr>
        <w:t>World Health Organization, WHO. WHO Stembook 2009: The use of stems in the selection of International Nonproprietary Names (INN) for pharmaceutical substances. 2009 [cited 22 Jul 2015]. Available from: http://www.who.int/medicines/services/inn/StemBook2009.pdf</w:t>
      </w:r>
    </w:p>
    <w:p w:rsidR="0093236A" w:rsidRPr="0093236A" w:rsidRDefault="0093236A" w:rsidP="0093236A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93236A">
        <w:rPr>
          <w:sz w:val="20"/>
          <w:szCs w:val="20"/>
        </w:rPr>
        <w:t>Bay, JO, Dhédin, N, Goerner, M, Vannier, JP, Marie-Cardine, A, Stamatoullas, A, et al. Inolimomab in steroid-refractory acute graft-versus-host disease following allogeneic hematopoietic stem cell transplantation: retrospective analysis and comparison with other interleukin-2 receptor antibodies. Clin Transplant. 2005;80(6):782</w:t>
      </w:r>
      <w:r w:rsidRPr="0093236A">
        <w:rPr>
          <w:rFonts w:eastAsia="Calibri"/>
          <w:sz w:val="20"/>
          <w:szCs w:val="20"/>
        </w:rPr>
        <w:t>–</w:t>
      </w:r>
      <w:r w:rsidRPr="0093236A">
        <w:rPr>
          <w:sz w:val="20"/>
          <w:szCs w:val="20"/>
        </w:rPr>
        <w:t>788.</w:t>
      </w:r>
    </w:p>
    <w:p w:rsidR="0093236A" w:rsidRPr="0093236A" w:rsidRDefault="0093236A" w:rsidP="0093236A">
      <w:pPr>
        <w:pStyle w:val="NormalWeb"/>
        <w:numPr>
          <w:ilvl w:val="0"/>
          <w:numId w:val="31"/>
        </w:numPr>
        <w:tabs>
          <w:tab w:val="left" w:pos="828"/>
        </w:tabs>
        <w:spacing w:before="0" w:after="0"/>
        <w:rPr>
          <w:rFonts w:ascii="Segoe UI" w:eastAsia="Calibri" w:hAnsi="Segoe UI" w:cs="Segoe UI"/>
          <w:color w:val="auto"/>
          <w:sz w:val="20"/>
          <w:szCs w:val="20"/>
        </w:rPr>
      </w:pPr>
      <w:r w:rsidRPr="0093236A">
        <w:rPr>
          <w:rFonts w:ascii="Segoe UI" w:eastAsia="Calibri" w:hAnsi="Segoe UI" w:cs="Segoe UI"/>
          <w:color w:val="auto"/>
          <w:sz w:val="20"/>
          <w:szCs w:val="20"/>
          <w:lang w:val="it-IT"/>
        </w:rPr>
        <w:t xml:space="preserve">Morton, I, Morton, I, </w:t>
      </w:r>
      <w:r w:rsidRPr="0093236A">
        <w:rPr>
          <w:rFonts w:ascii="Segoe UI" w:eastAsia="Calibri" w:hAnsi="Segoe UI" w:cs="Segoe UI"/>
          <w:color w:val="auto"/>
          <w:sz w:val="20"/>
          <w:szCs w:val="20"/>
        </w:rPr>
        <w:t>Hall, JM. Concise Dictionary of Pharmacological Agents. The Netherlands: Kluwer Academic Publishers; 1999.</w:t>
      </w:r>
    </w:p>
    <w:p w:rsidR="0093236A" w:rsidRPr="0093236A" w:rsidRDefault="0093236A" w:rsidP="0093236A">
      <w:pPr>
        <w:pStyle w:val="NormalWeb"/>
        <w:numPr>
          <w:ilvl w:val="0"/>
          <w:numId w:val="31"/>
        </w:numPr>
        <w:tabs>
          <w:tab w:val="left" w:pos="828"/>
        </w:tabs>
        <w:spacing w:before="0" w:after="0"/>
        <w:rPr>
          <w:rFonts w:ascii="Segoe UI" w:eastAsia="Calibri" w:hAnsi="Segoe UI" w:cs="Segoe UI"/>
          <w:color w:val="auto"/>
          <w:sz w:val="20"/>
          <w:szCs w:val="20"/>
        </w:rPr>
      </w:pPr>
      <w:r w:rsidRPr="0093236A">
        <w:rPr>
          <w:rFonts w:ascii="Segoe UI" w:eastAsia="Calibri" w:hAnsi="Segoe UI" w:cs="Segoe UI"/>
          <w:color w:val="auto"/>
          <w:sz w:val="20"/>
          <w:szCs w:val="20"/>
        </w:rPr>
        <w:t>Nuutinen, L, Raj, PP. An overview of current and investigational non-narcotic drugs for treatment of acute and chronic pain. Curr Rev Pain. 1998;2(3):187–192.</w:t>
      </w:r>
    </w:p>
    <w:p w:rsidR="0093236A" w:rsidRPr="0093236A" w:rsidRDefault="0093236A" w:rsidP="0093236A">
      <w:pPr>
        <w:pStyle w:val="NormalWeb"/>
        <w:numPr>
          <w:ilvl w:val="0"/>
          <w:numId w:val="31"/>
        </w:numPr>
        <w:tabs>
          <w:tab w:val="left" w:pos="828"/>
        </w:tabs>
        <w:spacing w:before="0" w:after="0"/>
        <w:rPr>
          <w:rFonts w:ascii="Segoe UI" w:eastAsia="Calibri" w:hAnsi="Segoe UI" w:cs="Segoe UI"/>
          <w:color w:val="auto"/>
          <w:sz w:val="20"/>
          <w:szCs w:val="20"/>
        </w:rPr>
      </w:pPr>
      <w:r w:rsidRPr="0093236A">
        <w:rPr>
          <w:rFonts w:ascii="Segoe UI" w:eastAsia="Calibri" w:hAnsi="Segoe UI" w:cs="Segoe UI"/>
          <w:color w:val="auto"/>
          <w:sz w:val="20"/>
          <w:szCs w:val="20"/>
        </w:rPr>
        <w:t>Miyamoto, S. Setiptiline Maleate. In: Stolerman, IP, editor. Encyclopedia of Psychopharmacology. Springer: Berlin; 2010.</w:t>
      </w:r>
    </w:p>
    <w:p w:rsidR="0093236A" w:rsidRPr="0093236A" w:rsidRDefault="0093236A" w:rsidP="0093236A">
      <w:pPr>
        <w:pStyle w:val="NormalWeb"/>
        <w:numPr>
          <w:ilvl w:val="0"/>
          <w:numId w:val="31"/>
        </w:numPr>
        <w:tabs>
          <w:tab w:val="left" w:pos="828"/>
        </w:tabs>
        <w:spacing w:before="0" w:after="0"/>
        <w:rPr>
          <w:rFonts w:ascii="Segoe UI" w:eastAsia="Calibri" w:hAnsi="Segoe UI" w:cs="Segoe UI"/>
          <w:color w:val="auto"/>
          <w:sz w:val="20"/>
          <w:szCs w:val="20"/>
        </w:rPr>
      </w:pPr>
      <w:r w:rsidRPr="0093236A">
        <w:rPr>
          <w:rFonts w:ascii="Segoe UI" w:eastAsia="Calibri" w:hAnsi="Segoe UI" w:cs="Segoe UI"/>
          <w:color w:val="auto"/>
          <w:sz w:val="20"/>
          <w:szCs w:val="20"/>
        </w:rPr>
        <w:t>Langley, RG, Papp, K, Bissonnette, R, Toth, D, Matheson, R, Hultquist, M, et al. Safety profile of intravenous and subcutaneous siplizumab, an anti-CD2 monoclonal antibody, for the treatment of plaque psoriasis: results of two randomized, double-blind, placebo-controlled studies. Int J Dermatol. 2010;49(7):818–828.</w:t>
      </w:r>
    </w:p>
    <w:p w:rsidR="0093236A" w:rsidRPr="0093236A" w:rsidRDefault="0093236A" w:rsidP="0093236A">
      <w:pPr>
        <w:pStyle w:val="NormalWeb"/>
        <w:numPr>
          <w:ilvl w:val="0"/>
          <w:numId w:val="31"/>
        </w:numPr>
        <w:tabs>
          <w:tab w:val="left" w:pos="828"/>
        </w:tabs>
        <w:spacing w:before="0" w:after="0"/>
        <w:rPr>
          <w:rFonts w:ascii="Segoe UI" w:hAnsi="Segoe UI" w:cs="Segoe UI"/>
          <w:color w:val="auto"/>
          <w:sz w:val="20"/>
          <w:szCs w:val="20"/>
        </w:rPr>
      </w:pPr>
      <w:r w:rsidRPr="0093236A">
        <w:rPr>
          <w:rFonts w:ascii="Segoe UI" w:hAnsi="Segoe UI" w:cs="Segoe UI"/>
          <w:color w:val="auto"/>
          <w:sz w:val="20"/>
          <w:szCs w:val="20"/>
        </w:rPr>
        <w:t>Yamamoto, H, Kondo, M, Nakamori, S, Nagano, H, Wakasa, KI, Sugita, Y, et al. JTE-522, a cyclooxygenase-2 inhibitor, is an effective chemopreventive agent against rat experimental liver fibrosis. Gastroenterology 2003;125(2):556</w:t>
      </w:r>
      <w:r w:rsidRPr="0093236A">
        <w:rPr>
          <w:rFonts w:ascii="Segoe UI" w:eastAsia="Calibri" w:hAnsi="Segoe UI" w:cs="Segoe UI"/>
          <w:color w:val="auto"/>
          <w:sz w:val="20"/>
          <w:szCs w:val="20"/>
        </w:rPr>
        <w:t>–</w:t>
      </w:r>
      <w:r w:rsidRPr="0093236A">
        <w:rPr>
          <w:rFonts w:ascii="Segoe UI" w:hAnsi="Segoe UI" w:cs="Segoe UI"/>
          <w:color w:val="auto"/>
          <w:sz w:val="20"/>
          <w:szCs w:val="20"/>
        </w:rPr>
        <w:t>571.</w:t>
      </w:r>
    </w:p>
    <w:p w:rsidR="0093236A" w:rsidRPr="0093236A" w:rsidRDefault="0093236A" w:rsidP="0093236A">
      <w:pPr>
        <w:pStyle w:val="NormalWeb"/>
        <w:numPr>
          <w:ilvl w:val="0"/>
          <w:numId w:val="31"/>
        </w:numPr>
        <w:tabs>
          <w:tab w:val="left" w:pos="828"/>
        </w:tabs>
        <w:spacing w:before="0" w:after="0"/>
        <w:rPr>
          <w:rFonts w:ascii="Segoe UI" w:eastAsia="Calibri" w:hAnsi="Segoe UI" w:cs="Segoe UI"/>
          <w:color w:val="auto"/>
          <w:sz w:val="20"/>
          <w:szCs w:val="20"/>
        </w:rPr>
      </w:pPr>
      <w:r w:rsidRPr="0093236A">
        <w:rPr>
          <w:rFonts w:ascii="Segoe UI" w:eastAsia="Calibri" w:hAnsi="Segoe UI" w:cs="Segoe UI"/>
          <w:color w:val="auto"/>
          <w:sz w:val="20"/>
          <w:szCs w:val="20"/>
        </w:rPr>
        <w:t>Mukhopadhyay, C, Tapaswi, PK, Drew, MGB. Room temperature synthesis of tri-, tetrasubstituted imidazoles and bis-analogues by mercaptopropylsilica (MPS) in aqueous methanol: application to the synthesis of the drug trifenagrel. Tetrahedron Lett. 2010;51(30):3944–3950.</w:t>
      </w:r>
    </w:p>
    <w:p w:rsidR="0093236A" w:rsidRPr="0093236A" w:rsidRDefault="0093236A" w:rsidP="0093236A">
      <w:pPr>
        <w:pStyle w:val="NormalWeb"/>
        <w:numPr>
          <w:ilvl w:val="0"/>
          <w:numId w:val="31"/>
        </w:numPr>
        <w:tabs>
          <w:tab w:val="left" w:pos="828"/>
        </w:tabs>
        <w:spacing w:before="0" w:after="0"/>
        <w:rPr>
          <w:rFonts w:ascii="Segoe UI" w:eastAsia="Calibri" w:hAnsi="Segoe UI" w:cs="Segoe UI"/>
          <w:color w:val="auto"/>
          <w:sz w:val="20"/>
          <w:szCs w:val="20"/>
        </w:rPr>
      </w:pPr>
      <w:r w:rsidRPr="0093236A">
        <w:rPr>
          <w:rFonts w:ascii="Segoe UI" w:eastAsia="Calibri" w:hAnsi="Segoe UI" w:cs="Segoe UI"/>
          <w:color w:val="auto"/>
          <w:sz w:val="20"/>
          <w:szCs w:val="20"/>
          <w:lang w:val="de-DE"/>
        </w:rPr>
        <w:t xml:space="preserve">Sekine, K, Fujii, H, Abe, F. </w:t>
      </w:r>
      <w:r w:rsidRPr="0093236A">
        <w:rPr>
          <w:rFonts w:ascii="Segoe UI" w:eastAsia="Calibri" w:hAnsi="Segoe UI" w:cs="Segoe UI"/>
          <w:color w:val="auto"/>
          <w:sz w:val="20"/>
          <w:szCs w:val="20"/>
        </w:rPr>
        <w:t xml:space="preserve">Induction of apoptosis by Bestatin (ubenimex) in human leukemic cell lines. Leukemia. </w:t>
      </w:r>
      <w:r w:rsidRPr="0093236A">
        <w:rPr>
          <w:rFonts w:ascii="Segoe UI" w:eastAsia="Calibri" w:hAnsi="Segoe UI" w:cs="Segoe UI"/>
          <w:color w:val="auto"/>
          <w:sz w:val="20"/>
          <w:szCs w:val="20"/>
          <w:lang w:val="de-DE"/>
        </w:rPr>
        <w:t>1999;</w:t>
      </w:r>
      <w:r w:rsidRPr="0093236A">
        <w:rPr>
          <w:rFonts w:ascii="Segoe UI" w:eastAsia="Calibri" w:hAnsi="Segoe UI" w:cs="Segoe UI"/>
          <w:color w:val="auto"/>
          <w:sz w:val="20"/>
          <w:szCs w:val="20"/>
        </w:rPr>
        <w:t>13(5):729–34.</w:t>
      </w:r>
    </w:p>
    <w:p w:rsidR="0093236A" w:rsidRPr="0093236A" w:rsidRDefault="0093236A" w:rsidP="0093236A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93236A">
        <w:rPr>
          <w:sz w:val="20"/>
          <w:szCs w:val="20"/>
        </w:rPr>
        <w:t>Bell-McGuinn, KM, Matthews, CM, Ho, SN, Barve, M, Gilbert, L, Penson, RT, et al. A phase II, single-arm study of the anti-α5β1 integrin antibody volociximab as monotherapy in patients with platinum-resistant advanced epithelial ovarian or primary peritoneal cancer. Gynecol Oncol. 2011;121(2):273</w:t>
      </w:r>
      <w:r w:rsidRPr="0093236A">
        <w:rPr>
          <w:rFonts w:eastAsia="Calibri"/>
          <w:sz w:val="20"/>
          <w:szCs w:val="20"/>
        </w:rPr>
        <w:t>–</w:t>
      </w:r>
      <w:r>
        <w:rPr>
          <w:sz w:val="20"/>
          <w:szCs w:val="20"/>
        </w:rPr>
        <w:t>279.</w:t>
      </w:r>
    </w:p>
    <w:sectPr w:rsidR="0093236A" w:rsidRPr="0093236A" w:rsidSect="002261F9"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2B" w:rsidRDefault="000C6D2B" w:rsidP="009B56DA">
      <w:r>
        <w:separator/>
      </w:r>
    </w:p>
  </w:endnote>
  <w:endnote w:type="continuationSeparator" w:id="0">
    <w:p w:rsidR="000C6D2B" w:rsidRDefault="000C6D2B" w:rsidP="009B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196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3475" w:rsidRDefault="00633475" w:rsidP="009B56DA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8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3475" w:rsidRDefault="00633475" w:rsidP="009B56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2B" w:rsidRDefault="000C6D2B" w:rsidP="009B56DA">
      <w:r>
        <w:separator/>
      </w:r>
    </w:p>
  </w:footnote>
  <w:footnote w:type="continuationSeparator" w:id="0">
    <w:p w:rsidR="000C6D2B" w:rsidRDefault="000C6D2B" w:rsidP="009B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CDE6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C07313"/>
    <w:multiLevelType w:val="multilevel"/>
    <w:tmpl w:val="CA84E6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987932"/>
    <w:multiLevelType w:val="multilevel"/>
    <w:tmpl w:val="FA227988"/>
    <w:styleLink w:val="list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6C71"/>
    <w:multiLevelType w:val="hybridMultilevel"/>
    <w:tmpl w:val="25885D28"/>
    <w:lvl w:ilvl="0" w:tplc="5734ED96">
      <w:start w:val="1"/>
      <w:numFmt w:val="bullet"/>
      <w:pStyle w:val="IntenseQuo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E26"/>
    <w:multiLevelType w:val="multilevel"/>
    <w:tmpl w:val="F34C37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253410A"/>
    <w:multiLevelType w:val="multilevel"/>
    <w:tmpl w:val="8CB806E6"/>
    <w:lvl w:ilvl="0">
      <w:start w:val="1"/>
      <w:numFmt w:val="decimal"/>
      <w:lvlText w:val="[%1]"/>
      <w:lvlJc w:val="left"/>
      <w:pPr>
        <w:tabs>
          <w:tab w:val="num" w:pos="511"/>
        </w:tabs>
        <w:ind w:left="511" w:hanging="511"/>
      </w:pPr>
      <w:rPr>
        <w:rFonts w:hint="defaul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" w15:restartNumberingAfterBreak="0">
    <w:nsid w:val="1B443DB0"/>
    <w:multiLevelType w:val="multilevel"/>
    <w:tmpl w:val="7DFE14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1D562580"/>
    <w:multiLevelType w:val="multilevel"/>
    <w:tmpl w:val="9A32FE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30766021"/>
    <w:multiLevelType w:val="multilevel"/>
    <w:tmpl w:val="47981B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30B36F9B"/>
    <w:multiLevelType w:val="multilevel"/>
    <w:tmpl w:val="CA5CA19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0" w15:restartNumberingAfterBreak="0">
    <w:nsid w:val="34073509"/>
    <w:multiLevelType w:val="multilevel"/>
    <w:tmpl w:val="997234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37C366B2"/>
    <w:multiLevelType w:val="multilevel"/>
    <w:tmpl w:val="FFA882FE"/>
    <w:lvl w:ilvl="0">
      <w:start w:val="1"/>
      <w:numFmt w:val="bullet"/>
      <w:lvlText w:val="●"/>
      <w:lvlJc w:val="left"/>
      <w:pPr>
        <w:ind w:left="774" w:firstLine="41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4" w:firstLine="113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4" w:firstLine="185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4" w:firstLine="257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4" w:firstLine="329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4" w:firstLine="401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4" w:firstLine="473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4" w:firstLine="545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4" w:firstLine="6174"/>
      </w:pPr>
      <w:rPr>
        <w:rFonts w:ascii="Arial" w:eastAsia="Arial" w:hAnsi="Arial" w:cs="Arial"/>
      </w:rPr>
    </w:lvl>
  </w:abstractNum>
  <w:abstractNum w:abstractNumId="12" w15:restartNumberingAfterBreak="0">
    <w:nsid w:val="39581DE0"/>
    <w:multiLevelType w:val="multilevel"/>
    <w:tmpl w:val="C32612D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3" w15:restartNumberingAfterBreak="0">
    <w:nsid w:val="3B840150"/>
    <w:multiLevelType w:val="hybridMultilevel"/>
    <w:tmpl w:val="14AA1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4649AA"/>
    <w:multiLevelType w:val="multilevel"/>
    <w:tmpl w:val="65363A82"/>
    <w:lvl w:ilvl="0">
      <w:start w:val="1"/>
      <w:numFmt w:val="lowerLetter"/>
      <w:lvlText w:val="(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4554598A"/>
    <w:multiLevelType w:val="multilevel"/>
    <w:tmpl w:val="74A41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470A1048"/>
    <w:multiLevelType w:val="multilevel"/>
    <w:tmpl w:val="524816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49115A4A"/>
    <w:multiLevelType w:val="multilevel"/>
    <w:tmpl w:val="8CB806E6"/>
    <w:lvl w:ilvl="0">
      <w:start w:val="1"/>
      <w:numFmt w:val="decimal"/>
      <w:lvlText w:val="[%1]"/>
      <w:lvlJc w:val="left"/>
      <w:pPr>
        <w:tabs>
          <w:tab w:val="num" w:pos="511"/>
        </w:tabs>
        <w:ind w:left="511" w:hanging="511"/>
      </w:pPr>
      <w:rPr>
        <w:rFonts w:hint="defaul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8" w15:restartNumberingAfterBreak="0">
    <w:nsid w:val="51B67CBC"/>
    <w:multiLevelType w:val="multilevel"/>
    <w:tmpl w:val="2256AC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56583E35"/>
    <w:multiLevelType w:val="multilevel"/>
    <w:tmpl w:val="6D42FC0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5C4D5211"/>
    <w:multiLevelType w:val="multilevel"/>
    <w:tmpl w:val="FA227988"/>
    <w:numStyleLink w:val="listc"/>
  </w:abstractNum>
  <w:abstractNum w:abstractNumId="21" w15:restartNumberingAfterBreak="0">
    <w:nsid w:val="61A71831"/>
    <w:multiLevelType w:val="multilevel"/>
    <w:tmpl w:val="769CD8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 w15:restartNumberingAfterBreak="0">
    <w:nsid w:val="636A1A4B"/>
    <w:multiLevelType w:val="hybridMultilevel"/>
    <w:tmpl w:val="AC385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CA2CBA"/>
    <w:multiLevelType w:val="multilevel"/>
    <w:tmpl w:val="3056A1A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4" w15:restartNumberingAfterBreak="0">
    <w:nsid w:val="6A522964"/>
    <w:multiLevelType w:val="multilevel"/>
    <w:tmpl w:val="48042B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6B3644C6"/>
    <w:multiLevelType w:val="multilevel"/>
    <w:tmpl w:val="5D3E80B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6B5C7846"/>
    <w:multiLevelType w:val="multilevel"/>
    <w:tmpl w:val="CE66D1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6C3206DE"/>
    <w:multiLevelType w:val="hybridMultilevel"/>
    <w:tmpl w:val="55FE8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25355"/>
    <w:multiLevelType w:val="multilevel"/>
    <w:tmpl w:val="5BB0DD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 w15:restartNumberingAfterBreak="0">
    <w:nsid w:val="7EB8390D"/>
    <w:multiLevelType w:val="multilevel"/>
    <w:tmpl w:val="BD24BE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 w15:restartNumberingAfterBreak="0">
    <w:nsid w:val="7F5F337D"/>
    <w:multiLevelType w:val="multilevel"/>
    <w:tmpl w:val="F31882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9"/>
  </w:num>
  <w:num w:numId="2">
    <w:abstractNumId w:val="16"/>
  </w:num>
  <w:num w:numId="3">
    <w:abstractNumId w:val="8"/>
  </w:num>
  <w:num w:numId="4">
    <w:abstractNumId w:val="11"/>
  </w:num>
  <w:num w:numId="5">
    <w:abstractNumId w:val="24"/>
  </w:num>
  <w:num w:numId="6">
    <w:abstractNumId w:val="4"/>
  </w:num>
  <w:num w:numId="7">
    <w:abstractNumId w:val="10"/>
  </w:num>
  <w:num w:numId="8">
    <w:abstractNumId w:val="19"/>
  </w:num>
  <w:num w:numId="9">
    <w:abstractNumId w:val="6"/>
  </w:num>
  <w:num w:numId="10">
    <w:abstractNumId w:val="23"/>
  </w:num>
  <w:num w:numId="11">
    <w:abstractNumId w:val="7"/>
  </w:num>
  <w:num w:numId="12">
    <w:abstractNumId w:val="21"/>
  </w:num>
  <w:num w:numId="13">
    <w:abstractNumId w:val="9"/>
  </w:num>
  <w:num w:numId="14">
    <w:abstractNumId w:val="15"/>
  </w:num>
  <w:num w:numId="15">
    <w:abstractNumId w:val="12"/>
  </w:num>
  <w:num w:numId="16">
    <w:abstractNumId w:val="26"/>
  </w:num>
  <w:num w:numId="17">
    <w:abstractNumId w:val="14"/>
  </w:num>
  <w:num w:numId="18">
    <w:abstractNumId w:val="30"/>
  </w:num>
  <w:num w:numId="19">
    <w:abstractNumId w:val="25"/>
  </w:num>
  <w:num w:numId="20">
    <w:abstractNumId w:val="28"/>
  </w:num>
  <w:num w:numId="21">
    <w:abstractNumId w:val="1"/>
  </w:num>
  <w:num w:numId="22">
    <w:abstractNumId w:val="18"/>
  </w:num>
  <w:num w:numId="23">
    <w:abstractNumId w:val="13"/>
  </w:num>
  <w:num w:numId="24">
    <w:abstractNumId w:val="27"/>
  </w:num>
  <w:num w:numId="25">
    <w:abstractNumId w:val="3"/>
  </w:num>
  <w:num w:numId="26">
    <w:abstractNumId w:val="2"/>
  </w:num>
  <w:num w:numId="27">
    <w:abstractNumId w:val="20"/>
  </w:num>
  <w:num w:numId="28">
    <w:abstractNumId w:val="0"/>
  </w:num>
  <w:num w:numId="29">
    <w:abstractNumId w:val="22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63"/>
    <w:rsid w:val="000321C2"/>
    <w:rsid w:val="000724D5"/>
    <w:rsid w:val="00072823"/>
    <w:rsid w:val="000C6D2B"/>
    <w:rsid w:val="00161B32"/>
    <w:rsid w:val="00175D75"/>
    <w:rsid w:val="001D1B3D"/>
    <w:rsid w:val="001E5DBF"/>
    <w:rsid w:val="0020422B"/>
    <w:rsid w:val="002223F1"/>
    <w:rsid w:val="002261F9"/>
    <w:rsid w:val="0023666F"/>
    <w:rsid w:val="00250F8A"/>
    <w:rsid w:val="00254924"/>
    <w:rsid w:val="002B7EA1"/>
    <w:rsid w:val="002E789E"/>
    <w:rsid w:val="003403FE"/>
    <w:rsid w:val="003608FA"/>
    <w:rsid w:val="003D684A"/>
    <w:rsid w:val="00466767"/>
    <w:rsid w:val="004D10D8"/>
    <w:rsid w:val="004D2132"/>
    <w:rsid w:val="004E55B0"/>
    <w:rsid w:val="005120A7"/>
    <w:rsid w:val="005144CD"/>
    <w:rsid w:val="00524C35"/>
    <w:rsid w:val="00560D01"/>
    <w:rsid w:val="0058063B"/>
    <w:rsid w:val="0058321F"/>
    <w:rsid w:val="00595EE7"/>
    <w:rsid w:val="005A3691"/>
    <w:rsid w:val="005B3C55"/>
    <w:rsid w:val="00623661"/>
    <w:rsid w:val="00633475"/>
    <w:rsid w:val="0064704D"/>
    <w:rsid w:val="00652184"/>
    <w:rsid w:val="0065498C"/>
    <w:rsid w:val="00696F21"/>
    <w:rsid w:val="006B4E5C"/>
    <w:rsid w:val="00715E54"/>
    <w:rsid w:val="00722463"/>
    <w:rsid w:val="00741BF5"/>
    <w:rsid w:val="007430C3"/>
    <w:rsid w:val="00766429"/>
    <w:rsid w:val="007B5CDE"/>
    <w:rsid w:val="007B760F"/>
    <w:rsid w:val="007D6FB5"/>
    <w:rsid w:val="007E415F"/>
    <w:rsid w:val="008503E3"/>
    <w:rsid w:val="00867406"/>
    <w:rsid w:val="00896EFD"/>
    <w:rsid w:val="008D544B"/>
    <w:rsid w:val="009054E9"/>
    <w:rsid w:val="00906AA2"/>
    <w:rsid w:val="0093236A"/>
    <w:rsid w:val="009346C3"/>
    <w:rsid w:val="00986150"/>
    <w:rsid w:val="009A2C67"/>
    <w:rsid w:val="009B56DA"/>
    <w:rsid w:val="009C1F57"/>
    <w:rsid w:val="009C292C"/>
    <w:rsid w:val="00A56ED0"/>
    <w:rsid w:val="00A806B2"/>
    <w:rsid w:val="00AC064E"/>
    <w:rsid w:val="00AC0A09"/>
    <w:rsid w:val="00AD79A5"/>
    <w:rsid w:val="00B103C2"/>
    <w:rsid w:val="00B514D3"/>
    <w:rsid w:val="00B5542E"/>
    <w:rsid w:val="00C02336"/>
    <w:rsid w:val="00CB4DE4"/>
    <w:rsid w:val="00D31AD9"/>
    <w:rsid w:val="00D8537B"/>
    <w:rsid w:val="00D93E38"/>
    <w:rsid w:val="00DA5A6C"/>
    <w:rsid w:val="00DD0FCF"/>
    <w:rsid w:val="00E21E41"/>
    <w:rsid w:val="00E33908"/>
    <w:rsid w:val="00E664F9"/>
    <w:rsid w:val="00E766FB"/>
    <w:rsid w:val="00E86938"/>
    <w:rsid w:val="00E95B2D"/>
    <w:rsid w:val="00E979E1"/>
    <w:rsid w:val="00F10438"/>
    <w:rsid w:val="00F97084"/>
    <w:rsid w:val="00FC4C2A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18C37C-1E35-4258-8D5E-A7AF0583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38"/>
    <w:pPr>
      <w:spacing w:after="0" w:line="240" w:lineRule="auto"/>
      <w:ind w:firstLine="720"/>
    </w:pPr>
    <w:rPr>
      <w:rFonts w:ascii="Segoe UI" w:eastAsia="Quattrocento Sans" w:hAnsi="Segoe UI" w:cs="Segoe UI"/>
      <w:sz w:val="20"/>
      <w:szCs w:val="20"/>
      <w:lang w:eastAsia="en-GB"/>
    </w:rPr>
  </w:style>
  <w:style w:type="paragraph" w:styleId="Heading1">
    <w:name w:val="heading 1"/>
    <w:basedOn w:val="Normal"/>
    <w:next w:val="NoSpacing"/>
    <w:link w:val="Heading1Char"/>
    <w:qFormat/>
    <w:rsid w:val="00254924"/>
    <w:pPr>
      <w:keepNext/>
      <w:spacing w:before="480" w:after="120"/>
      <w:ind w:firstLine="0"/>
      <w:outlineLvl w:val="0"/>
    </w:pPr>
    <w:rPr>
      <w:rFonts w:eastAsia="Times New Roman"/>
      <w:b/>
      <w:bCs/>
      <w:color w:val="1C3387"/>
      <w:sz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9B56DA"/>
    <w:pPr>
      <w:spacing w:before="360"/>
      <w:outlineLvl w:val="1"/>
    </w:pPr>
    <w:rPr>
      <w:sz w:val="20"/>
    </w:rPr>
  </w:style>
  <w:style w:type="paragraph" w:styleId="Heading3">
    <w:name w:val="heading 3"/>
    <w:basedOn w:val="Heading2"/>
    <w:next w:val="NoSpacing"/>
    <w:link w:val="Heading3Char"/>
    <w:unhideWhenUsed/>
    <w:qFormat/>
    <w:rsid w:val="00595EE7"/>
    <w:pPr>
      <w:spacing w:after="8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nhideWhenUsed/>
    <w:qFormat/>
    <w:rsid w:val="00254924"/>
    <w:pPr>
      <w:keepNext/>
      <w:keepLines/>
      <w:spacing w:before="360" w:after="80"/>
      <w:ind w:firstLine="0"/>
      <w:outlineLvl w:val="3"/>
    </w:pPr>
    <w:rPr>
      <w:rFonts w:eastAsiaTheme="majorEastAsia"/>
      <w:b/>
      <w:bCs/>
      <w:i/>
      <w:iCs/>
      <w:color w:val="538135" w:themeColor="accent6" w:themeShade="BF"/>
    </w:rPr>
  </w:style>
  <w:style w:type="paragraph" w:styleId="Heading5">
    <w:name w:val="heading 5"/>
    <w:basedOn w:val="Normal"/>
    <w:next w:val="Normal"/>
    <w:link w:val="Heading5Char"/>
    <w:rsid w:val="00696F21"/>
    <w:pPr>
      <w:keepNext/>
      <w:keepLines/>
      <w:spacing w:before="200"/>
      <w:outlineLvl w:val="4"/>
    </w:pPr>
    <w:rPr>
      <w:rFonts w:ascii="Calibri" w:eastAsia="Calibri" w:hAnsi="Calibri" w:cs="Calibri"/>
      <w:color w:val="1F4D78"/>
    </w:rPr>
  </w:style>
  <w:style w:type="paragraph" w:styleId="Heading6">
    <w:name w:val="heading 6"/>
    <w:basedOn w:val="Normal"/>
    <w:next w:val="Normal"/>
    <w:link w:val="Heading6Char"/>
    <w:rsid w:val="00696F21"/>
    <w:pPr>
      <w:keepNext/>
      <w:keepLines/>
      <w:spacing w:before="200"/>
      <w:outlineLvl w:val="5"/>
    </w:pPr>
    <w:rPr>
      <w:rFonts w:ascii="Calibri" w:eastAsia="Calibri" w:hAnsi="Calibri" w:cs="Calibri"/>
      <w:i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D79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924"/>
    <w:rPr>
      <w:rFonts w:ascii="Segoe UI" w:eastAsia="Times New Roman" w:hAnsi="Segoe UI" w:cs="Segoe UI"/>
      <w:b/>
      <w:bCs/>
      <w:color w:val="1C3387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9B56DA"/>
    <w:rPr>
      <w:rFonts w:ascii="Segoe UI" w:eastAsia="Times New Roman" w:hAnsi="Segoe UI" w:cs="Segoe UI"/>
      <w:b/>
      <w:bCs/>
      <w:color w:val="1C3387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95EE7"/>
    <w:rPr>
      <w:rFonts w:ascii="Segoe UI" w:eastAsia="Times New Roman" w:hAnsi="Segoe UI" w:cs="Segoe UI"/>
      <w:bCs/>
      <w:i/>
      <w:color w:val="1C3387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254924"/>
    <w:rPr>
      <w:rFonts w:ascii="Segoe UI" w:eastAsiaTheme="majorEastAsia" w:hAnsi="Segoe UI" w:cs="Segoe UI"/>
      <w:b/>
      <w:bCs/>
      <w:i/>
      <w:iCs/>
      <w:color w:val="538135" w:themeColor="accent6" w:themeShade="BF"/>
      <w:sz w:val="20"/>
      <w:szCs w:val="20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D31AD9"/>
    <w:pPr>
      <w:spacing w:before="200" w:after="200"/>
      <w:ind w:left="1701"/>
      <w:jc w:val="both"/>
    </w:pPr>
    <w:rPr>
      <w:iCs/>
      <w:color w:val="767171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D31AD9"/>
    <w:rPr>
      <w:rFonts w:ascii="Segoe UI" w:eastAsia="Quattrocento Sans" w:hAnsi="Segoe UI" w:cs="Segoe UI"/>
      <w:iCs/>
      <w:color w:val="767171" w:themeColor="background2" w:themeShade="80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696F21"/>
    <w:rPr>
      <w:rFonts w:ascii="Calibri" w:eastAsia="Calibri" w:hAnsi="Calibri" w:cs="Calibri"/>
      <w:color w:val="1F4D78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96F21"/>
    <w:rPr>
      <w:rFonts w:ascii="Calibri" w:eastAsia="Calibri" w:hAnsi="Calibri" w:cs="Calibri"/>
      <w:i/>
      <w:color w:val="1F4D78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rsid w:val="00696F21"/>
    <w:pPr>
      <w:keepNext/>
      <w:keepLines/>
      <w:spacing w:after="300"/>
    </w:pPr>
    <w:rPr>
      <w:rFonts w:ascii="Calibri" w:eastAsia="Calibri" w:hAnsi="Calibri" w:cs="Calibri"/>
      <w:color w:val="323E4F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6F21"/>
    <w:rPr>
      <w:rFonts w:ascii="Calibri" w:eastAsia="Calibri" w:hAnsi="Calibri" w:cs="Calibri"/>
      <w:color w:val="323E4F"/>
      <w:sz w:val="52"/>
      <w:szCs w:val="52"/>
      <w:lang w:eastAsia="en-GB"/>
    </w:rPr>
  </w:style>
  <w:style w:type="numbering" w:customStyle="1" w:styleId="listc">
    <w:name w:val="listc"/>
    <w:basedOn w:val="NoList"/>
    <w:uiPriority w:val="99"/>
    <w:rsid w:val="003608FA"/>
    <w:pPr>
      <w:numPr>
        <w:numId w:val="2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96F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F21"/>
    <w:rPr>
      <w:rFonts w:ascii="Quattrocento Sans" w:eastAsia="Quattrocento Sans" w:hAnsi="Quattrocento Sans" w:cs="Quattrocento Sans"/>
      <w:color w:val="00000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6F2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21"/>
    <w:rPr>
      <w:rFonts w:ascii="Segoe UI" w:eastAsia="Quattrocento Sans" w:hAnsi="Segoe UI" w:cs="Segoe UI"/>
      <w:color w:val="000000"/>
      <w:sz w:val="18"/>
      <w:szCs w:val="18"/>
      <w:lang w:eastAsia="en-GB"/>
    </w:rPr>
  </w:style>
  <w:style w:type="paragraph" w:styleId="NoSpacing">
    <w:name w:val="No Spacing"/>
    <w:basedOn w:val="Normal"/>
    <w:next w:val="Normal"/>
    <w:uiPriority w:val="1"/>
    <w:qFormat/>
    <w:rsid w:val="009B56DA"/>
    <w:pPr>
      <w:ind w:firstLine="0"/>
    </w:pPr>
  </w:style>
  <w:style w:type="paragraph" w:styleId="IntenseQuote">
    <w:name w:val="Intense Quote"/>
    <w:basedOn w:val="Normal"/>
    <w:link w:val="IntenseQuoteChar"/>
    <w:uiPriority w:val="30"/>
    <w:qFormat/>
    <w:rsid w:val="003608FA"/>
    <w:pPr>
      <w:numPr>
        <w:numId w:val="25"/>
      </w:numPr>
      <w:spacing w:after="80"/>
      <w:contextualSpacing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3608FA"/>
    <w:rPr>
      <w:rFonts w:ascii="Segoe UI" w:eastAsia="Quattrocento Sans" w:hAnsi="Segoe UI" w:cs="Segoe UI"/>
      <w:color w:val="000000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rsid w:val="002261F9"/>
    <w:rPr>
      <w:b/>
      <w:bCs/>
    </w:rPr>
  </w:style>
  <w:style w:type="character" w:styleId="Hyperlink">
    <w:name w:val="Hyperlink"/>
    <w:basedOn w:val="DefaultParagraphFont"/>
    <w:uiPriority w:val="99"/>
    <w:unhideWhenUsed/>
    <w:rsid w:val="002261F9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AD79A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5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E54"/>
    <w:rPr>
      <w:rFonts w:ascii="Segoe UI" w:eastAsia="Quattrocento Sans" w:hAnsi="Segoe UI" w:cs="Segoe UI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5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E54"/>
    <w:rPr>
      <w:rFonts w:ascii="Segoe UI" w:eastAsia="Quattrocento Sans" w:hAnsi="Segoe UI" w:cs="Segoe UI"/>
      <w:sz w:val="20"/>
      <w:szCs w:val="20"/>
      <w:lang w:eastAsia="en-GB"/>
    </w:rPr>
  </w:style>
  <w:style w:type="paragraph" w:styleId="NormalWeb">
    <w:name w:val="Normal (Web)"/>
    <w:uiPriority w:val="99"/>
    <w:rsid w:val="0093236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93236A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20"/>
      </w:tabs>
      <w:ind w:left="720" w:firstLine="0"/>
      <w:contextualSpacing/>
    </w:pPr>
    <w:rPr>
      <w:rFonts w:eastAsia="Arial Unicode MS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ines.org.uk/em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Dropbox\%7b%7b%20My-house-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0180-2F62-4080-95DA-2453EB6F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{{ My-house-style.dotx</Template>
  <TotalTime>6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Bryan</dc:creator>
  <cp:keywords/>
  <dc:description/>
  <cp:lastModifiedBy>Rachel Bryan</cp:lastModifiedBy>
  <cp:revision>8</cp:revision>
  <dcterms:created xsi:type="dcterms:W3CDTF">2015-09-22T11:29:00Z</dcterms:created>
  <dcterms:modified xsi:type="dcterms:W3CDTF">2015-10-08T22:03:00Z</dcterms:modified>
</cp:coreProperties>
</file>